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F0B5A" w14:textId="46B11F8C" w:rsidR="00A249A6" w:rsidRPr="00A5765C" w:rsidRDefault="00D952CA" w:rsidP="00A249A6">
      <w:pPr>
        <w:rPr>
          <w:rFonts w:ascii="Ping LCG Regular" w:hAnsi="Ping LCG Regular" w:cs="Arial"/>
          <w:b/>
          <w:spacing w:val="-14"/>
          <w:lang w:val="el-GR"/>
        </w:rPr>
      </w:pPr>
      <w:r w:rsidRPr="00001E5E">
        <w:rPr>
          <w:rFonts w:ascii="Ping LCG Regular" w:hAnsi="Ping LCG Regular" w:cs="Arial"/>
          <w:b/>
          <w:spacing w:val="-14"/>
          <w:lang w:val="el-GR"/>
        </w:rPr>
        <w:t>20</w:t>
      </w:r>
      <w:r w:rsidR="00A249A6" w:rsidRPr="00D952CA">
        <w:rPr>
          <w:rFonts w:ascii="Ping LCG Regular" w:hAnsi="Ping LCG Regular" w:cs="Arial"/>
          <w:b/>
          <w:spacing w:val="-14"/>
          <w:lang w:val="el-GR"/>
        </w:rPr>
        <w:t xml:space="preserve"> </w:t>
      </w:r>
      <w:r w:rsidR="00A5765C" w:rsidRPr="00D952CA">
        <w:rPr>
          <w:rFonts w:ascii="Ping LCG Regular" w:hAnsi="Ping LCG Regular" w:cs="Arial"/>
          <w:b/>
          <w:spacing w:val="-14"/>
          <w:lang w:val="el-GR"/>
        </w:rPr>
        <w:t>Απριλίου</w:t>
      </w:r>
      <w:r w:rsidR="00A249A6" w:rsidRPr="00A5765C">
        <w:rPr>
          <w:rFonts w:ascii="Ping LCG Regular" w:hAnsi="Ping LCG Regular" w:cs="Arial"/>
          <w:b/>
          <w:spacing w:val="-14"/>
          <w:lang w:val="el-GR"/>
        </w:rPr>
        <w:t xml:space="preserve"> 202</w:t>
      </w:r>
      <w:r>
        <w:rPr>
          <w:rFonts w:ascii="Ping LCG Regular" w:hAnsi="Ping LCG Regular" w:cs="Arial"/>
          <w:b/>
          <w:spacing w:val="-14"/>
          <w:lang w:val="el-GR"/>
        </w:rPr>
        <w:t>1</w:t>
      </w:r>
    </w:p>
    <w:p w14:paraId="78AA2DAA" w14:textId="1264D710" w:rsidR="00A249A6" w:rsidRPr="00A5765C" w:rsidRDefault="00A249A6" w:rsidP="00A249A6">
      <w:pPr>
        <w:rPr>
          <w:rFonts w:ascii="Ping LCG Regular" w:hAnsi="Ping LCG Regular" w:cs="Arial"/>
          <w:b/>
          <w:spacing w:val="-14"/>
          <w:lang w:val="el-GR"/>
        </w:rPr>
      </w:pPr>
    </w:p>
    <w:p w14:paraId="4F135CCD" w14:textId="52D204CA" w:rsidR="00A249A6" w:rsidRPr="00A5765C" w:rsidRDefault="00A249A6" w:rsidP="00A249A6">
      <w:pPr>
        <w:jc w:val="center"/>
        <w:rPr>
          <w:rFonts w:ascii="Ping LCG Bold" w:hAnsi="Ping LCG Bold" w:cs="Arial"/>
          <w:b/>
          <w:spacing w:val="-14"/>
          <w:sz w:val="26"/>
          <w:szCs w:val="26"/>
          <w:lang w:val="el-GR"/>
        </w:rPr>
      </w:pPr>
      <w:r w:rsidRPr="00A5765C">
        <w:rPr>
          <w:rFonts w:ascii="Ping LCG Bold" w:hAnsi="Ping LCG Bold" w:cs="Arial"/>
          <w:b/>
          <w:spacing w:val="-14"/>
          <w:sz w:val="26"/>
          <w:szCs w:val="26"/>
          <w:lang w:val="el-GR"/>
        </w:rPr>
        <w:t>ΑΠΟΤΕΛΕΣΜΑΤΑ Ε</w:t>
      </w:r>
      <w:r w:rsidR="00A5765C">
        <w:rPr>
          <w:rFonts w:ascii="Ping LCG Bold" w:hAnsi="Ping LCG Bold" w:cs="Arial"/>
          <w:b/>
          <w:spacing w:val="-14"/>
          <w:sz w:val="26"/>
          <w:szCs w:val="26"/>
          <w:lang w:val="el-GR"/>
        </w:rPr>
        <w:t>ΤΟΥΣ</w:t>
      </w:r>
      <w:r w:rsidRPr="00A5765C">
        <w:rPr>
          <w:rFonts w:ascii="Ping LCG Bold" w:hAnsi="Ping LCG Bold" w:cs="Arial"/>
          <w:b/>
          <w:spacing w:val="-14"/>
          <w:sz w:val="26"/>
          <w:szCs w:val="26"/>
          <w:lang w:val="el-GR"/>
        </w:rPr>
        <w:t xml:space="preserve"> 2020 ΟΜΙΛΟΥ ΔΕΗ</w:t>
      </w:r>
    </w:p>
    <w:p w14:paraId="34DC0DE6" w14:textId="77777777" w:rsidR="00A249A6" w:rsidRPr="00A5765C" w:rsidRDefault="00A249A6" w:rsidP="00A249A6">
      <w:pPr>
        <w:jc w:val="center"/>
        <w:rPr>
          <w:rFonts w:ascii="Ping LCG Regular" w:hAnsi="Ping LCG Regular" w:cs="Arial"/>
          <w:b/>
          <w:spacing w:val="-14"/>
          <w:sz w:val="28"/>
          <w:szCs w:val="28"/>
          <w:lang w:val="el-GR"/>
        </w:rPr>
      </w:pPr>
    </w:p>
    <w:p w14:paraId="117C0CDF" w14:textId="1487A0D9" w:rsidR="006307C9" w:rsidRDefault="00A249A6" w:rsidP="006307C9">
      <w:pPr>
        <w:pStyle w:val="af1"/>
        <w:numPr>
          <w:ilvl w:val="0"/>
          <w:numId w:val="1"/>
        </w:numPr>
        <w:spacing w:before="80" w:after="80"/>
        <w:contextualSpacing w:val="0"/>
        <w:jc w:val="both"/>
        <w:rPr>
          <w:rFonts w:ascii="Ping LCG Regular" w:hAnsi="Ping LCG Regular" w:cs="Arial"/>
          <w:b/>
          <w:spacing w:val="-14"/>
          <w:szCs w:val="26"/>
        </w:rPr>
      </w:pPr>
      <w:r w:rsidRPr="00AD7643">
        <w:rPr>
          <w:rFonts w:ascii="Ping LCG Regular" w:hAnsi="Ping LCG Regular" w:cs="Arial"/>
          <w:b/>
          <w:spacing w:val="-14"/>
          <w:szCs w:val="26"/>
        </w:rPr>
        <w:t>Επαναλαμβανόμενο EBITDA ύψους €</w:t>
      </w:r>
      <w:r w:rsidR="00A469D4" w:rsidRPr="00107FE2">
        <w:rPr>
          <w:rFonts w:ascii="Ping LCG Regular" w:hAnsi="Ping LCG Regular" w:cs="Arial"/>
          <w:b/>
          <w:spacing w:val="-14"/>
          <w:szCs w:val="26"/>
        </w:rPr>
        <w:t>88</w:t>
      </w:r>
      <w:r w:rsidR="00980A05" w:rsidRPr="00B95D17">
        <w:rPr>
          <w:rFonts w:ascii="Ping LCG Regular" w:hAnsi="Ping LCG Regular" w:cs="Arial"/>
          <w:b/>
          <w:spacing w:val="-14"/>
          <w:szCs w:val="26"/>
        </w:rPr>
        <w:t>5</w:t>
      </w:r>
      <w:r w:rsidR="00A469D4" w:rsidRPr="00107FE2">
        <w:rPr>
          <w:rFonts w:ascii="Ping LCG Regular" w:hAnsi="Ping LCG Regular" w:cs="Arial"/>
          <w:b/>
          <w:spacing w:val="-14"/>
          <w:szCs w:val="26"/>
        </w:rPr>
        <w:t>,</w:t>
      </w:r>
      <w:r w:rsidR="00980A05" w:rsidRPr="00B95D17">
        <w:rPr>
          <w:rFonts w:ascii="Ping LCG Regular" w:hAnsi="Ping LCG Regular" w:cs="Arial"/>
          <w:b/>
          <w:spacing w:val="-14"/>
          <w:szCs w:val="26"/>
        </w:rPr>
        <w:t>8</w:t>
      </w:r>
      <w:r w:rsidR="00617101" w:rsidRPr="00FD1125">
        <w:rPr>
          <w:rFonts w:ascii="Ping LCG Regular" w:hAnsi="Ping LCG Regular" w:cs="Arial"/>
          <w:b/>
          <w:spacing w:val="-14"/>
          <w:szCs w:val="26"/>
        </w:rPr>
        <w:t xml:space="preserve"> </w:t>
      </w:r>
      <w:r w:rsidRPr="00AD7643">
        <w:rPr>
          <w:rFonts w:ascii="Ping LCG Regular" w:hAnsi="Ping LCG Regular" w:cs="Arial"/>
          <w:b/>
          <w:spacing w:val="-14"/>
          <w:szCs w:val="26"/>
        </w:rPr>
        <w:t>εκατ. το 2020 (από €</w:t>
      </w:r>
      <w:r w:rsidR="00FA5A87">
        <w:rPr>
          <w:rFonts w:ascii="Ping LCG Regular" w:hAnsi="Ping LCG Regular" w:cs="Arial"/>
          <w:b/>
          <w:spacing w:val="-14"/>
          <w:szCs w:val="26"/>
        </w:rPr>
        <w:t>333,6</w:t>
      </w:r>
      <w:r w:rsidRPr="00AD7643">
        <w:rPr>
          <w:rFonts w:ascii="Ping LCG Regular" w:hAnsi="Ping LCG Regular" w:cs="Arial"/>
          <w:b/>
          <w:spacing w:val="-14"/>
          <w:szCs w:val="26"/>
        </w:rPr>
        <w:t xml:space="preserve"> εκατ. το</w:t>
      </w:r>
      <w:r w:rsidR="004E3749" w:rsidRPr="00AB5F3E">
        <w:rPr>
          <w:rFonts w:ascii="Ping LCG Regular" w:hAnsi="Ping LCG Regular" w:cs="Arial"/>
          <w:b/>
          <w:spacing w:val="-14"/>
          <w:szCs w:val="26"/>
        </w:rPr>
        <w:t xml:space="preserve"> </w:t>
      </w:r>
      <w:r w:rsidRPr="00AD7643">
        <w:rPr>
          <w:rFonts w:ascii="Ping LCG Regular" w:hAnsi="Ping LCG Regular" w:cs="Arial"/>
          <w:b/>
          <w:spacing w:val="-14"/>
          <w:szCs w:val="26"/>
        </w:rPr>
        <w:t>2019) – Αύξηση κατά €</w:t>
      </w:r>
      <w:r w:rsidR="00A24D9E" w:rsidRPr="00107FE2">
        <w:rPr>
          <w:rFonts w:ascii="Ping LCG Regular" w:hAnsi="Ping LCG Regular" w:cs="Arial"/>
          <w:b/>
          <w:spacing w:val="-14"/>
          <w:szCs w:val="26"/>
        </w:rPr>
        <w:t>55</w:t>
      </w:r>
      <w:r w:rsidR="00222937" w:rsidRPr="00B95D17">
        <w:rPr>
          <w:rFonts w:ascii="Ping LCG Regular" w:hAnsi="Ping LCG Regular" w:cs="Arial"/>
          <w:b/>
          <w:spacing w:val="-14"/>
          <w:szCs w:val="26"/>
        </w:rPr>
        <w:t>2,</w:t>
      </w:r>
      <w:r w:rsidR="00E07445" w:rsidRPr="00B95D17">
        <w:rPr>
          <w:rFonts w:ascii="Ping LCG Regular" w:hAnsi="Ping LCG Regular" w:cs="Arial"/>
          <w:b/>
          <w:spacing w:val="-14"/>
          <w:szCs w:val="26"/>
        </w:rPr>
        <w:t>2</w:t>
      </w:r>
      <w:r w:rsidR="00222937" w:rsidRPr="00B95D17">
        <w:rPr>
          <w:rFonts w:ascii="Ping LCG Regular" w:hAnsi="Ping LCG Regular" w:cs="Arial"/>
          <w:b/>
          <w:spacing w:val="-14"/>
          <w:szCs w:val="26"/>
        </w:rPr>
        <w:t xml:space="preserve"> </w:t>
      </w:r>
      <w:r w:rsidRPr="00AD7643">
        <w:rPr>
          <w:rFonts w:ascii="Ping LCG Regular" w:hAnsi="Ping LCG Regular" w:cs="Arial"/>
          <w:b/>
          <w:spacing w:val="-14"/>
          <w:szCs w:val="26"/>
        </w:rPr>
        <w:t>εκατ.</w:t>
      </w:r>
    </w:p>
    <w:p w14:paraId="4718DD6A" w14:textId="29DE10FE" w:rsidR="00A249A6" w:rsidRDefault="00A249A6" w:rsidP="00A249A6">
      <w:pPr>
        <w:pStyle w:val="af1"/>
        <w:numPr>
          <w:ilvl w:val="0"/>
          <w:numId w:val="1"/>
        </w:numPr>
        <w:spacing w:before="80" w:after="80"/>
        <w:contextualSpacing w:val="0"/>
        <w:jc w:val="both"/>
        <w:rPr>
          <w:rFonts w:ascii="Ping LCG Regular" w:hAnsi="Ping LCG Regular" w:cs="Arial"/>
          <w:b/>
          <w:spacing w:val="-14"/>
          <w:szCs w:val="26"/>
        </w:rPr>
      </w:pPr>
      <w:r w:rsidRPr="00001E5E">
        <w:rPr>
          <w:rFonts w:ascii="Ping LCG Regular" w:hAnsi="Ping LCG Regular" w:cs="Arial"/>
          <w:b/>
          <w:spacing w:val="-14"/>
          <w:szCs w:val="26"/>
        </w:rPr>
        <w:t>Κέρδη προ φόρων €</w:t>
      </w:r>
      <w:r w:rsidR="0077574D">
        <w:rPr>
          <w:rFonts w:ascii="Ping LCG Regular" w:hAnsi="Ping LCG Regular" w:cs="Arial"/>
          <w:b/>
          <w:spacing w:val="-14"/>
          <w:szCs w:val="26"/>
        </w:rPr>
        <w:t>67</w:t>
      </w:r>
      <w:r w:rsidRPr="00001E5E">
        <w:rPr>
          <w:rFonts w:ascii="Ping LCG Regular" w:hAnsi="Ping LCG Regular" w:cs="Arial"/>
          <w:b/>
          <w:spacing w:val="-14"/>
          <w:szCs w:val="26"/>
        </w:rPr>
        <w:t xml:space="preserve"> εκατ. </w:t>
      </w:r>
      <w:r w:rsidR="002C17BB">
        <w:rPr>
          <w:rFonts w:ascii="Ping LCG Regular" w:hAnsi="Ping LCG Regular" w:cs="Arial"/>
          <w:b/>
          <w:spacing w:val="-14"/>
          <w:szCs w:val="26"/>
          <w:lang w:val="en-US"/>
        </w:rPr>
        <w:t xml:space="preserve"> </w:t>
      </w:r>
      <w:r w:rsidR="003F4E12">
        <w:rPr>
          <w:rFonts w:ascii="Ping LCG Regular" w:hAnsi="Ping LCG Regular" w:cs="Arial"/>
          <w:b/>
          <w:spacing w:val="-14"/>
          <w:szCs w:val="26"/>
        </w:rPr>
        <w:t xml:space="preserve"> </w:t>
      </w:r>
    </w:p>
    <w:p w14:paraId="55B65087" w14:textId="3D52B8D0" w:rsidR="00B46BC3" w:rsidRPr="00B46BC3" w:rsidRDefault="00B46BC3" w:rsidP="00A249A6">
      <w:pPr>
        <w:pStyle w:val="af1"/>
        <w:numPr>
          <w:ilvl w:val="0"/>
          <w:numId w:val="1"/>
        </w:numPr>
        <w:spacing w:before="80" w:after="80"/>
        <w:contextualSpacing w:val="0"/>
        <w:jc w:val="both"/>
        <w:rPr>
          <w:rFonts w:ascii="Ping LCG Regular" w:hAnsi="Ping LCG Regular" w:cs="Arial"/>
          <w:b/>
          <w:spacing w:val="-14"/>
          <w:szCs w:val="26"/>
        </w:rPr>
      </w:pPr>
      <w:r>
        <w:rPr>
          <w:rFonts w:ascii="Ping LCG Regular" w:hAnsi="Ping LCG Regular" w:cs="Arial"/>
          <w:b/>
          <w:spacing w:val="-14"/>
          <w:szCs w:val="26"/>
        </w:rPr>
        <w:t>Μείωση</w:t>
      </w:r>
      <w:r w:rsidRPr="00B46BC3">
        <w:rPr>
          <w:rFonts w:ascii="Ping LCG Regular" w:hAnsi="Ping LCG Regular" w:cs="Arial"/>
          <w:b/>
          <w:spacing w:val="-14"/>
          <w:szCs w:val="26"/>
        </w:rPr>
        <w:t xml:space="preserve"> </w:t>
      </w:r>
      <w:r>
        <w:rPr>
          <w:rFonts w:ascii="Ping LCG Regular" w:hAnsi="Ping LCG Regular" w:cs="Arial"/>
          <w:b/>
          <w:spacing w:val="-14"/>
          <w:szCs w:val="26"/>
        </w:rPr>
        <w:t>της</w:t>
      </w:r>
      <w:r w:rsidRPr="00B46BC3">
        <w:rPr>
          <w:rFonts w:ascii="Ping LCG Regular" w:hAnsi="Ping LCG Regular" w:cs="Arial"/>
          <w:b/>
          <w:spacing w:val="-14"/>
          <w:szCs w:val="26"/>
        </w:rPr>
        <w:t xml:space="preserve"> </w:t>
      </w:r>
      <w:r>
        <w:rPr>
          <w:rFonts w:ascii="Ping LCG Regular" w:hAnsi="Ping LCG Regular" w:cs="Arial"/>
          <w:b/>
          <w:spacing w:val="-14"/>
          <w:szCs w:val="26"/>
        </w:rPr>
        <w:t>συμμετοχής</w:t>
      </w:r>
      <w:r w:rsidRPr="00B46BC3">
        <w:rPr>
          <w:rFonts w:ascii="Ping LCG Regular" w:hAnsi="Ping LCG Regular" w:cs="Arial"/>
          <w:b/>
          <w:spacing w:val="-14"/>
          <w:szCs w:val="26"/>
        </w:rPr>
        <w:t xml:space="preserve"> </w:t>
      </w:r>
      <w:r>
        <w:rPr>
          <w:rFonts w:ascii="Ping LCG Regular" w:hAnsi="Ping LCG Regular" w:cs="Arial"/>
          <w:b/>
          <w:spacing w:val="-14"/>
          <w:szCs w:val="26"/>
        </w:rPr>
        <w:t>της</w:t>
      </w:r>
      <w:r w:rsidRPr="00B46BC3">
        <w:rPr>
          <w:rFonts w:ascii="Ping LCG Regular" w:hAnsi="Ping LCG Regular" w:cs="Arial"/>
          <w:b/>
          <w:spacing w:val="-14"/>
          <w:szCs w:val="26"/>
        </w:rPr>
        <w:t xml:space="preserve"> </w:t>
      </w:r>
      <w:r>
        <w:rPr>
          <w:rFonts w:ascii="Ping LCG Regular" w:hAnsi="Ping LCG Regular" w:cs="Arial"/>
          <w:b/>
          <w:spacing w:val="-14"/>
          <w:szCs w:val="26"/>
        </w:rPr>
        <w:t>λιγνιτικής</w:t>
      </w:r>
      <w:r w:rsidRPr="00B46BC3">
        <w:rPr>
          <w:rFonts w:ascii="Ping LCG Regular" w:hAnsi="Ping LCG Regular" w:cs="Arial"/>
          <w:b/>
          <w:spacing w:val="-14"/>
          <w:szCs w:val="26"/>
        </w:rPr>
        <w:t xml:space="preserve"> </w:t>
      </w:r>
      <w:r>
        <w:rPr>
          <w:rFonts w:ascii="Ping LCG Regular" w:hAnsi="Ping LCG Regular" w:cs="Arial"/>
          <w:b/>
          <w:spacing w:val="-14"/>
          <w:szCs w:val="26"/>
        </w:rPr>
        <w:t>παραγωγής</w:t>
      </w:r>
      <w:r w:rsidRPr="00B46BC3">
        <w:rPr>
          <w:rFonts w:ascii="Ping LCG Regular" w:hAnsi="Ping LCG Regular" w:cs="Arial"/>
          <w:b/>
          <w:spacing w:val="-14"/>
          <w:szCs w:val="26"/>
        </w:rPr>
        <w:t xml:space="preserve"> </w:t>
      </w:r>
      <w:r>
        <w:rPr>
          <w:rFonts w:ascii="Ping LCG Regular" w:hAnsi="Ping LCG Regular" w:cs="Arial"/>
          <w:b/>
          <w:spacing w:val="-14"/>
          <w:szCs w:val="26"/>
        </w:rPr>
        <w:t>κάτω</w:t>
      </w:r>
      <w:r w:rsidRPr="00B46BC3">
        <w:rPr>
          <w:rFonts w:ascii="Ping LCG Regular" w:hAnsi="Ping LCG Regular" w:cs="Arial"/>
          <w:b/>
          <w:spacing w:val="-14"/>
          <w:szCs w:val="26"/>
        </w:rPr>
        <w:t xml:space="preserve"> </w:t>
      </w:r>
      <w:r>
        <w:rPr>
          <w:rFonts w:ascii="Ping LCG Regular" w:hAnsi="Ping LCG Regular" w:cs="Arial"/>
          <w:b/>
          <w:spacing w:val="-14"/>
          <w:szCs w:val="26"/>
        </w:rPr>
        <w:t>από</w:t>
      </w:r>
      <w:r w:rsidRPr="00B46BC3">
        <w:rPr>
          <w:rFonts w:ascii="Ping LCG Regular" w:hAnsi="Ping LCG Regular" w:cs="Arial"/>
          <w:b/>
          <w:spacing w:val="-14"/>
          <w:szCs w:val="26"/>
        </w:rPr>
        <w:t xml:space="preserve"> </w:t>
      </w:r>
      <w:r>
        <w:rPr>
          <w:rFonts w:ascii="Ping LCG Regular" w:hAnsi="Ping LCG Regular" w:cs="Arial"/>
          <w:b/>
          <w:spacing w:val="-14"/>
          <w:szCs w:val="26"/>
        </w:rPr>
        <w:t>το</w:t>
      </w:r>
      <w:r w:rsidRPr="00B46BC3">
        <w:rPr>
          <w:rFonts w:ascii="Ping LCG Regular" w:hAnsi="Ping LCG Regular" w:cs="Arial"/>
          <w:b/>
          <w:spacing w:val="-14"/>
          <w:szCs w:val="26"/>
        </w:rPr>
        <w:t xml:space="preserve"> 30% </w:t>
      </w:r>
      <w:r>
        <w:rPr>
          <w:rFonts w:ascii="Ping LCG Regular" w:hAnsi="Ping LCG Regular" w:cs="Arial"/>
          <w:b/>
          <w:spacing w:val="-14"/>
          <w:szCs w:val="26"/>
        </w:rPr>
        <w:t>του ενεργειακού μείγματος της ΔΕΗ</w:t>
      </w:r>
    </w:p>
    <w:p w14:paraId="4785EB7F" w14:textId="77777777" w:rsidR="00A249A6" w:rsidRPr="00623FA8" w:rsidRDefault="00A249A6" w:rsidP="00A249A6">
      <w:pPr>
        <w:pStyle w:val="af1"/>
        <w:ind w:left="360"/>
        <w:jc w:val="both"/>
        <w:rPr>
          <w:rFonts w:ascii="Ping LCG Regular" w:hAnsi="Ping LCG Regular" w:cs="Arial"/>
          <w:b/>
          <w:color w:val="FF0000"/>
          <w:spacing w:val="-14"/>
          <w:sz w:val="26"/>
          <w:szCs w:val="26"/>
          <w:highlight w:val="yellow"/>
        </w:rPr>
      </w:pPr>
    </w:p>
    <w:p w14:paraId="69F8AAD4" w14:textId="0010DB57" w:rsidR="00887E3D" w:rsidRDefault="00A249A6" w:rsidP="00A249A6">
      <w:pPr>
        <w:spacing w:line="276" w:lineRule="auto"/>
        <w:rPr>
          <w:rFonts w:ascii="Ping LCG Regular" w:hAnsi="Ping LCG Regular" w:cs="Arial"/>
          <w:b/>
          <w:spacing w:val="-14"/>
          <w:szCs w:val="28"/>
          <w:lang w:val="el-GR"/>
        </w:rPr>
      </w:pPr>
      <w:r w:rsidRPr="00001E5E">
        <w:rPr>
          <w:rFonts w:ascii="Ping LCG Regular" w:hAnsi="Ping LCG Regular" w:cs="Arial"/>
          <w:b/>
          <w:spacing w:val="-14"/>
          <w:szCs w:val="28"/>
          <w:lang w:val="el-GR"/>
        </w:rPr>
        <w:t>Συνοπτικά Οικονομικά Αποτελέσματα Ομίλου</w:t>
      </w:r>
    </w:p>
    <w:p w14:paraId="21BB3D9F" w14:textId="53785089" w:rsidR="00DF15FB" w:rsidRDefault="00F400CD" w:rsidP="00A249A6">
      <w:pPr>
        <w:spacing w:line="276" w:lineRule="auto"/>
        <w:rPr>
          <w:rFonts w:ascii="Ping LCG Regular" w:hAnsi="Ping LCG Regular" w:cs="Arial"/>
          <w:b/>
          <w:spacing w:val="-14"/>
          <w:szCs w:val="28"/>
          <w:lang w:val="el-GR"/>
        </w:rPr>
      </w:pPr>
      <w:r>
        <w:rPr>
          <w:rFonts w:ascii="Ping LCG Regular" w:hAnsi="Ping LCG Regular" w:cs="Arial"/>
          <w:b/>
          <w:spacing w:val="-14"/>
          <w:szCs w:val="28"/>
          <w:lang w:val="el-GR"/>
        </w:rPr>
        <w:pict w14:anchorId="6CD8C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339.6pt">
            <v:imagedata r:id="rId8" o:title=""/>
          </v:shape>
        </w:pict>
      </w:r>
    </w:p>
    <w:p w14:paraId="3626C79F" w14:textId="5FEEA315" w:rsidR="00A10725" w:rsidRDefault="00A10725" w:rsidP="00A10725">
      <w:pPr>
        <w:spacing w:line="276" w:lineRule="auto"/>
        <w:rPr>
          <w:rFonts w:ascii="Ping LCG Regular" w:hAnsi="Ping LCG Regular" w:cs="Arial"/>
          <w:b/>
          <w:spacing w:val="-14"/>
          <w:szCs w:val="28"/>
          <w:lang w:val="el-GR"/>
        </w:rPr>
      </w:pPr>
      <w:r w:rsidRPr="00A10725">
        <w:rPr>
          <w:rFonts w:ascii="Ping LCG Regular" w:hAnsi="Ping LCG Regular" w:cs="Arial"/>
          <w:b/>
          <w:spacing w:val="-14"/>
          <w:szCs w:val="28"/>
          <w:lang w:val="el-GR"/>
        </w:rPr>
        <w:t xml:space="preserve"> </w:t>
      </w:r>
      <w:r>
        <w:rPr>
          <w:rFonts w:ascii="Ping LCG Regular" w:hAnsi="Ping LCG Regular" w:cs="Arial"/>
          <w:b/>
          <w:spacing w:val="-14"/>
          <w:szCs w:val="28"/>
          <w:lang w:val="el-GR"/>
        </w:rPr>
        <w:t>Εξέλιξη Βασικών Μεγεθών</w:t>
      </w:r>
    </w:p>
    <w:p w14:paraId="7EB2B51A" w14:textId="2188933B" w:rsidR="00515715" w:rsidRDefault="00DA48F3" w:rsidP="00A10725">
      <w:pPr>
        <w:spacing w:line="276" w:lineRule="auto"/>
        <w:rPr>
          <w:rFonts w:ascii="Ping LCG Regular" w:hAnsi="Ping LCG Regular" w:cs="Arial"/>
          <w:b/>
          <w:spacing w:val="-14"/>
          <w:szCs w:val="28"/>
          <w:lang w:val="el-GR"/>
        </w:rPr>
      </w:pPr>
      <w:r>
        <w:rPr>
          <w:rFonts w:ascii="Ping LCG Regular" w:hAnsi="Ping LCG Regular" w:cs="Arial"/>
          <w:b/>
          <w:noProof/>
          <w:spacing w:val="-14"/>
          <w:szCs w:val="28"/>
          <w:lang w:val="el-GR"/>
        </w:rPr>
        <w:drawing>
          <wp:inline distT="0" distB="0" distL="0" distR="0" wp14:anchorId="77B9FCAF" wp14:editId="55F0099D">
            <wp:extent cx="6533783" cy="1521409"/>
            <wp:effectExtent l="19050" t="19050" r="19685" b="222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6940" cy="1552415"/>
                    </a:xfrm>
                    <a:prstGeom prst="rect">
                      <a:avLst/>
                    </a:prstGeom>
                    <a:noFill/>
                    <a:ln w="12700">
                      <a:solidFill>
                        <a:schemeClr val="tx1"/>
                      </a:solidFill>
                      <a:prstDash val="solid"/>
                    </a:ln>
                  </pic:spPr>
                </pic:pic>
              </a:graphicData>
            </a:graphic>
          </wp:inline>
        </w:drawing>
      </w:r>
    </w:p>
    <w:p w14:paraId="2B81C35B" w14:textId="60F34D8B" w:rsidR="0038307E" w:rsidRPr="0038307E" w:rsidRDefault="00EA0321" w:rsidP="00851841">
      <w:pPr>
        <w:rPr>
          <w:rFonts w:ascii="Ping LCG Regular" w:hAnsi="Ping LCG Regular" w:cs="Arial"/>
          <w:b/>
          <w:bCs/>
          <w:spacing w:val="-14"/>
          <w:lang w:val="el-GR"/>
        </w:rPr>
      </w:pPr>
      <w:r>
        <w:rPr>
          <w:lang w:val="el-GR"/>
        </w:rPr>
        <w:br w:type="page"/>
      </w:r>
      <w:r w:rsidR="0038307E">
        <w:rPr>
          <w:rFonts w:ascii="Ping LCG Regular" w:hAnsi="Ping LCG Regular" w:cs="Arial"/>
          <w:b/>
          <w:bCs/>
          <w:spacing w:val="-14"/>
          <w:lang w:val="el-GR"/>
        </w:rPr>
        <w:lastRenderedPageBreak/>
        <w:t>Εξέλιξη κερδοφορίας</w:t>
      </w:r>
    </w:p>
    <w:p w14:paraId="52690EBF" w14:textId="77777777" w:rsidR="0038307E" w:rsidRDefault="0038307E" w:rsidP="00263F3B">
      <w:pPr>
        <w:jc w:val="both"/>
        <w:rPr>
          <w:rFonts w:ascii="Ping LCG Regular" w:hAnsi="Ping LCG Regular" w:cs="Arial"/>
          <w:spacing w:val="-14"/>
          <w:lang w:val="el-GR"/>
        </w:rPr>
      </w:pPr>
    </w:p>
    <w:p w14:paraId="46160F27" w14:textId="5666706B" w:rsidR="003C1261" w:rsidRPr="00D9512F" w:rsidRDefault="00B95D17" w:rsidP="003C1261">
      <w:pPr>
        <w:jc w:val="both"/>
        <w:rPr>
          <w:rFonts w:ascii="Ping LCG Regular" w:hAnsi="Ping LCG Regular" w:cs="Arial"/>
          <w:spacing w:val="-14"/>
          <w:lang w:val="el-GR"/>
        </w:rPr>
      </w:pPr>
      <w:r w:rsidRPr="00B95D17">
        <w:rPr>
          <w:rFonts w:ascii="Ping LCG Regular" w:hAnsi="Ping LCG Regular" w:cs="Arial"/>
          <w:spacing w:val="-14"/>
          <w:lang w:val="el-GR"/>
        </w:rPr>
        <w:t>Τα κέρδη προ τόκων, φόρων και αποσβέσεων  (EBITDA) σε επαναλαμβανόμενη βάση διαμορφώθηκαν σε €885,8 εκατ. το 2020 έναντι €333,6 εκατ. το</w:t>
      </w:r>
      <w:r w:rsidRPr="00B80C23">
        <w:rPr>
          <w:rFonts w:ascii="Ping LCG Regular" w:hAnsi="Ping LCG Regular" w:cs="Arial"/>
          <w:spacing w:val="-14"/>
          <w:lang w:val="el-GR"/>
        </w:rPr>
        <w:t xml:space="preserve"> 2019 </w:t>
      </w:r>
      <w:r w:rsidRPr="00B95D17">
        <w:rPr>
          <w:rFonts w:ascii="Ping LCG Regular" w:hAnsi="Ping LCG Regular" w:cs="Arial"/>
          <w:spacing w:val="-14"/>
          <w:lang w:val="el-GR"/>
        </w:rPr>
        <w:t>για το σύνολο του Ομίλου</w:t>
      </w:r>
      <w:r w:rsidR="003C1261">
        <w:rPr>
          <w:rFonts w:ascii="Ping LCG Regular" w:hAnsi="Ping LCG Regular" w:cs="Arial"/>
          <w:spacing w:val="-14"/>
          <w:lang w:val="el-GR"/>
        </w:rPr>
        <w:t xml:space="preserve">, με το αντίστοιχο περιθώριο να αυξάνεται σε </w:t>
      </w:r>
      <w:r w:rsidR="003C1261" w:rsidRPr="00D9512F">
        <w:rPr>
          <w:rFonts w:ascii="Ping LCG Regular" w:hAnsi="Ping LCG Regular" w:cs="Arial"/>
          <w:spacing w:val="-14"/>
          <w:lang w:val="el-GR"/>
        </w:rPr>
        <w:t>19,</w:t>
      </w:r>
      <w:r w:rsidR="003C1261">
        <w:rPr>
          <w:rFonts w:ascii="Ping LCG Regular" w:hAnsi="Ping LCG Regular" w:cs="Arial"/>
          <w:spacing w:val="-14"/>
          <w:lang w:val="el-GR"/>
        </w:rPr>
        <w:t>1</w:t>
      </w:r>
      <w:r w:rsidR="003C1261" w:rsidRPr="00D9512F">
        <w:rPr>
          <w:rFonts w:ascii="Ping LCG Regular" w:hAnsi="Ping LCG Regular" w:cs="Arial"/>
          <w:spacing w:val="-14"/>
          <w:lang w:val="el-GR"/>
        </w:rPr>
        <w:t>% από 6,8%.</w:t>
      </w:r>
    </w:p>
    <w:p w14:paraId="074B0C70" w14:textId="50D468B3" w:rsidR="00B95D17" w:rsidRDefault="00B95D17" w:rsidP="00AF6CD1">
      <w:pPr>
        <w:jc w:val="both"/>
        <w:rPr>
          <w:rFonts w:ascii="Ping LCG Regular" w:hAnsi="Ping LCG Regular" w:cs="Arial"/>
          <w:spacing w:val="-14"/>
          <w:lang w:val="el-GR"/>
        </w:rPr>
      </w:pPr>
      <w:r w:rsidRPr="00B95D17">
        <w:rPr>
          <w:rFonts w:ascii="Ping LCG Regular" w:hAnsi="Ping LCG Regular" w:cs="Arial"/>
          <w:spacing w:val="-14"/>
          <w:lang w:val="el-GR"/>
        </w:rPr>
        <w:t xml:space="preserve"> </w:t>
      </w:r>
    </w:p>
    <w:p w14:paraId="475B2CA7" w14:textId="5DA04486" w:rsidR="00B95D17" w:rsidRPr="00623FA8" w:rsidRDefault="00B95D17" w:rsidP="00B95D17">
      <w:pPr>
        <w:ind w:firstLine="11"/>
        <w:jc w:val="both"/>
        <w:rPr>
          <w:rFonts w:ascii="Ping LCG Regular" w:hAnsi="Ping LCG Regular" w:cs="Arial"/>
          <w:spacing w:val="-14"/>
          <w:lang w:val="el-GR"/>
        </w:rPr>
      </w:pPr>
      <w:r w:rsidRPr="00B95D17">
        <w:rPr>
          <w:rFonts w:ascii="Ping LCG Regular" w:hAnsi="Ping LCG Regular" w:cs="Arial"/>
          <w:spacing w:val="-14"/>
          <w:lang w:val="el-GR"/>
        </w:rPr>
        <w:t xml:space="preserve">Η σημαντική </w:t>
      </w:r>
      <w:r w:rsidR="003C1261">
        <w:rPr>
          <w:rFonts w:ascii="Ping LCG Regular" w:hAnsi="Ping LCG Regular" w:cs="Arial"/>
          <w:spacing w:val="-14"/>
          <w:lang w:val="el-GR"/>
        </w:rPr>
        <w:t xml:space="preserve">αυτή </w:t>
      </w:r>
      <w:r w:rsidRPr="00B95D17">
        <w:rPr>
          <w:rFonts w:ascii="Ping LCG Regular" w:hAnsi="Ping LCG Regular" w:cs="Arial"/>
          <w:spacing w:val="-14"/>
          <w:lang w:val="el-GR"/>
        </w:rPr>
        <w:t xml:space="preserve">αύξηση οφείλεται στην βελτίωση του μεικτού περιθωρίου λόγω των μέτρων που ελήφθησαν τον Σεπτέμβριο του 2019 καθώς και της μείωσης των τιμών φυσικού αερίου και της χονδρεμπορικής αγοράς, η οποία ενισχύθηκε περαιτέρω από την επίπτωση του </w:t>
      </w:r>
      <w:r w:rsidRPr="00B95D17">
        <w:rPr>
          <w:rFonts w:ascii="Ping LCG Regular" w:hAnsi="Ping LCG Regular" w:cs="Arial"/>
          <w:spacing w:val="-14"/>
        </w:rPr>
        <w:t>covid</w:t>
      </w:r>
      <w:r w:rsidRPr="00B95D17">
        <w:rPr>
          <w:rFonts w:ascii="Ping LCG Regular" w:hAnsi="Ping LCG Regular" w:cs="Arial"/>
          <w:spacing w:val="-14"/>
          <w:lang w:val="el-GR"/>
        </w:rPr>
        <w:t xml:space="preserve">-19, ενώ θετικά επέδρασε και ο χαμηλότερος όγκος εκπομπών </w:t>
      </w:r>
      <w:r w:rsidRPr="00B95D17">
        <w:rPr>
          <w:rFonts w:ascii="Ping LCG Regular" w:hAnsi="Ping LCG Regular" w:cs="Arial"/>
          <w:spacing w:val="-14"/>
        </w:rPr>
        <w:t>CO</w:t>
      </w:r>
      <w:r w:rsidRPr="00B95D17">
        <w:rPr>
          <w:rFonts w:ascii="Ping LCG Regular" w:hAnsi="Ping LCG Regular" w:cs="Arial"/>
          <w:spacing w:val="-14"/>
          <w:vertAlign w:val="subscript"/>
          <w:lang w:val="el-GR"/>
        </w:rPr>
        <w:t>2</w:t>
      </w:r>
      <w:r w:rsidRPr="00B95D17">
        <w:rPr>
          <w:rFonts w:ascii="Ping LCG Regular" w:hAnsi="Ping LCG Regular" w:cs="Arial"/>
          <w:spacing w:val="-14"/>
          <w:lang w:val="el-GR"/>
        </w:rPr>
        <w:t>, απόρροια της μειωμένης λιγνιτικής παραγωγής. Επιπλέον, σημαντική εξοικονόμηση προήλθε και από το χαμηλότερο κόστος μισθοδοσίας, ενώ θετική επίπτωση είχε και μία δομική αλλαγή όπως ήταν η κατάργηση των δημοπρασιών ΝΟΜΕ.</w:t>
      </w:r>
    </w:p>
    <w:p w14:paraId="23AD3872" w14:textId="77777777" w:rsidR="00B95D17" w:rsidRDefault="00B95D17" w:rsidP="00AF6CD1">
      <w:pPr>
        <w:jc w:val="both"/>
        <w:rPr>
          <w:rFonts w:ascii="Ping LCG Regular" w:hAnsi="Ping LCG Regular" w:cs="Arial"/>
          <w:spacing w:val="-14"/>
          <w:lang w:val="el-GR"/>
        </w:rPr>
      </w:pPr>
    </w:p>
    <w:p w14:paraId="58D1A8C1" w14:textId="3F6519E6" w:rsidR="00623FA8" w:rsidRDefault="00B95D17">
      <w:pPr>
        <w:jc w:val="both"/>
        <w:rPr>
          <w:rFonts w:ascii="Ping LCG Regular" w:hAnsi="Ping LCG Regular" w:cs="Arial"/>
          <w:spacing w:val="-14"/>
          <w:lang w:val="el-GR"/>
        </w:rPr>
      </w:pPr>
      <w:r>
        <w:rPr>
          <w:rFonts w:ascii="Ping LCG Regular" w:hAnsi="Ping LCG Regular" w:cs="Arial"/>
          <w:spacing w:val="-14"/>
          <w:lang w:val="el-GR"/>
        </w:rPr>
        <w:t xml:space="preserve">Το </w:t>
      </w:r>
      <w:r>
        <w:rPr>
          <w:rFonts w:ascii="Ping LCG Regular" w:hAnsi="Ping LCG Regular" w:cs="Arial"/>
          <w:spacing w:val="-14"/>
        </w:rPr>
        <w:t>EBITDA</w:t>
      </w:r>
      <w:r w:rsidRPr="00B80C23">
        <w:rPr>
          <w:rFonts w:ascii="Ping LCG Regular" w:hAnsi="Ping LCG Regular" w:cs="Arial"/>
          <w:spacing w:val="-14"/>
          <w:lang w:val="el-GR"/>
        </w:rPr>
        <w:t xml:space="preserve"> </w:t>
      </w:r>
      <w:r>
        <w:rPr>
          <w:rFonts w:ascii="Ping LCG Regular" w:hAnsi="Ping LCG Regular" w:cs="Arial"/>
          <w:spacing w:val="-14"/>
          <w:lang w:val="el-GR"/>
        </w:rPr>
        <w:t xml:space="preserve">του 2020 </w:t>
      </w:r>
      <w:r w:rsidR="003C1261">
        <w:rPr>
          <w:rFonts w:ascii="Ping LCG Regular" w:hAnsi="Ping LCG Regular" w:cs="Arial"/>
          <w:spacing w:val="-14"/>
          <w:lang w:val="el-GR"/>
        </w:rPr>
        <w:t xml:space="preserve">όπως και αυτό του 2019 </w:t>
      </w:r>
      <w:r>
        <w:rPr>
          <w:rFonts w:ascii="Ping LCG Regular" w:hAnsi="Ping LCG Regular" w:cs="Arial"/>
          <w:spacing w:val="-14"/>
          <w:lang w:val="el-GR"/>
        </w:rPr>
        <w:t xml:space="preserve">επηρεάστηκε </w:t>
      </w:r>
      <w:r w:rsidR="00AA3C6E">
        <w:rPr>
          <w:rFonts w:ascii="Ping LCG Regular" w:hAnsi="Ping LCG Regular" w:cs="Arial"/>
          <w:spacing w:val="-14"/>
          <w:lang w:val="el-GR"/>
        </w:rPr>
        <w:t xml:space="preserve">επίσης </w:t>
      </w:r>
      <w:r>
        <w:rPr>
          <w:rFonts w:ascii="Ping LCG Regular" w:hAnsi="Ping LCG Regular" w:cs="Arial"/>
          <w:spacing w:val="-14"/>
          <w:lang w:val="el-GR"/>
        </w:rPr>
        <w:t>και από ορισμένες εφάπαξ επιπτώσεις</w:t>
      </w:r>
      <w:r w:rsidR="00B22E18" w:rsidRPr="00851841">
        <w:rPr>
          <w:rFonts w:ascii="Ping LCG Regular" w:hAnsi="Ping LCG Regular" w:cs="Arial"/>
          <w:spacing w:val="-14"/>
          <w:lang w:val="el-GR"/>
        </w:rPr>
        <w:t xml:space="preserve"> </w:t>
      </w:r>
      <w:r w:rsidR="00B22E18">
        <w:rPr>
          <w:rFonts w:ascii="Ping LCG Regular" w:hAnsi="Ping LCG Regular" w:cs="Arial"/>
          <w:spacing w:val="-14"/>
          <w:lang w:val="el-GR"/>
        </w:rPr>
        <w:t xml:space="preserve">και </w:t>
      </w:r>
      <w:r w:rsidR="003C1261">
        <w:rPr>
          <w:rFonts w:ascii="Ping LCG Regular" w:hAnsi="Ping LCG Regular" w:cs="Arial"/>
          <w:spacing w:val="-14"/>
          <w:lang w:val="el-GR"/>
        </w:rPr>
        <w:t xml:space="preserve"> διαμορφώθηκε σε €820,5 εκατ. από 798,9 εκατ</w:t>
      </w:r>
      <w:r w:rsidR="00590E16">
        <w:rPr>
          <w:rFonts w:ascii="Ping LCG Regular" w:hAnsi="Ping LCG Regular" w:cs="Arial"/>
          <w:spacing w:val="-14"/>
          <w:lang w:val="el-GR"/>
        </w:rPr>
        <w:t>. το 2019</w:t>
      </w:r>
      <w:r w:rsidR="00FE7DED">
        <w:rPr>
          <w:rStyle w:val="af9"/>
          <w:rFonts w:ascii="Ping LCG Regular" w:hAnsi="Ping LCG Regular" w:cs="Arial"/>
          <w:spacing w:val="-14"/>
          <w:lang w:val="el-GR"/>
        </w:rPr>
        <w:footnoteReference w:id="1"/>
      </w:r>
      <w:r w:rsidR="003C1261">
        <w:rPr>
          <w:rFonts w:ascii="Ping LCG Regular" w:hAnsi="Ping LCG Regular" w:cs="Arial"/>
          <w:spacing w:val="-14"/>
          <w:lang w:val="el-GR"/>
        </w:rPr>
        <w:t xml:space="preserve">.  </w:t>
      </w:r>
    </w:p>
    <w:p w14:paraId="0CB5DB93" w14:textId="77777777" w:rsidR="001A31CD" w:rsidRDefault="001A31CD" w:rsidP="001A31CD">
      <w:pPr>
        <w:ind w:firstLine="11"/>
        <w:jc w:val="both"/>
        <w:rPr>
          <w:rFonts w:ascii="Ping LCG Regular" w:hAnsi="Ping LCG Regular" w:cs="Arial"/>
          <w:spacing w:val="-14"/>
          <w:lang w:val="el-GR"/>
        </w:rPr>
      </w:pPr>
    </w:p>
    <w:p w14:paraId="7E9E103F" w14:textId="0356887E" w:rsidR="002C17BB" w:rsidRDefault="001B4B5B" w:rsidP="001B4B5B">
      <w:pPr>
        <w:ind w:firstLine="11"/>
        <w:jc w:val="both"/>
        <w:rPr>
          <w:rFonts w:ascii="Ping LCG Regular" w:hAnsi="Ping LCG Regular" w:cs="Arial"/>
          <w:spacing w:val="-14"/>
          <w:lang w:val="el-GR"/>
        </w:rPr>
      </w:pPr>
      <w:r w:rsidRPr="00A249A6">
        <w:rPr>
          <w:rFonts w:ascii="Ping LCG Regular" w:hAnsi="Ping LCG Regular" w:cs="Arial"/>
          <w:spacing w:val="-14"/>
          <w:lang w:val="el-GR"/>
        </w:rPr>
        <w:t>Τα αποτελέσματα προ φόρ</w:t>
      </w:r>
      <w:r>
        <w:rPr>
          <w:rFonts w:ascii="Ping LCG Regular" w:hAnsi="Ping LCG Regular" w:cs="Arial"/>
          <w:spacing w:val="-14"/>
          <w:lang w:val="el-GR"/>
        </w:rPr>
        <w:t xml:space="preserve">ων </w:t>
      </w:r>
      <w:r w:rsidRPr="00A249A6">
        <w:rPr>
          <w:rFonts w:ascii="Ping LCG Regular" w:hAnsi="Ping LCG Regular" w:cs="Arial"/>
          <w:spacing w:val="-14"/>
          <w:lang w:val="el-GR"/>
        </w:rPr>
        <w:t>διαμορφώθηκαν σε €</w:t>
      </w:r>
      <w:r>
        <w:rPr>
          <w:rFonts w:ascii="Ping LCG Regular" w:hAnsi="Ping LCG Regular" w:cs="Arial"/>
          <w:spacing w:val="-14"/>
          <w:lang w:val="el-GR"/>
        </w:rPr>
        <w:t>67</w:t>
      </w:r>
      <w:r w:rsidRPr="00A249A6">
        <w:rPr>
          <w:rFonts w:ascii="Ping LCG Regular" w:hAnsi="Ping LCG Regular" w:cs="Arial"/>
          <w:spacing w:val="-14"/>
          <w:lang w:val="el-GR"/>
        </w:rPr>
        <w:t xml:space="preserve"> εκατ. </w:t>
      </w:r>
      <w:r w:rsidR="002C17BB">
        <w:rPr>
          <w:rFonts w:ascii="Ping LCG Regular" w:hAnsi="Ping LCG Regular" w:cs="Arial"/>
          <w:spacing w:val="-14"/>
          <w:lang w:val="el-GR"/>
        </w:rPr>
        <w:t xml:space="preserve">έναντι </w:t>
      </w:r>
      <w:r w:rsidR="002D5AE3" w:rsidRPr="00851841">
        <w:rPr>
          <w:rFonts w:ascii="Ping LCG Regular" w:hAnsi="Ping LCG Regular" w:cs="Arial"/>
          <w:spacing w:val="-14"/>
          <w:lang w:val="el-GR"/>
        </w:rPr>
        <w:t>ζημιών</w:t>
      </w:r>
      <w:r w:rsidR="002D5AE3">
        <w:rPr>
          <w:rFonts w:ascii="Ping LCG Regular" w:hAnsi="Ping LCG Regular" w:cs="Arial"/>
          <w:spacing w:val="-14"/>
          <w:lang w:val="el-GR"/>
        </w:rPr>
        <w:t xml:space="preserve"> </w:t>
      </w:r>
      <w:r w:rsidRPr="00A249A6">
        <w:rPr>
          <w:rFonts w:ascii="Ping LCG Regular" w:hAnsi="Ping LCG Regular" w:cs="Arial"/>
          <w:spacing w:val="-14"/>
          <w:lang w:val="el-GR"/>
        </w:rPr>
        <w:t>€</w:t>
      </w:r>
      <w:r>
        <w:rPr>
          <w:rFonts w:ascii="Ping LCG Regular" w:hAnsi="Ping LCG Regular" w:cs="Arial"/>
          <w:spacing w:val="-14"/>
          <w:lang w:val="el-GR"/>
        </w:rPr>
        <w:t>2.057,9</w:t>
      </w:r>
      <w:r w:rsidRPr="00A249A6">
        <w:rPr>
          <w:rFonts w:ascii="Ping LCG Regular" w:hAnsi="Ping LCG Regular" w:cs="Arial"/>
          <w:spacing w:val="-14"/>
          <w:lang w:val="el-GR"/>
        </w:rPr>
        <w:t xml:space="preserve"> εκατ. </w:t>
      </w:r>
      <w:r w:rsidR="002C17BB">
        <w:rPr>
          <w:rFonts w:ascii="Ping LCG Regular" w:hAnsi="Ping LCG Regular" w:cs="Arial"/>
          <w:spacing w:val="-14"/>
          <w:lang w:val="el-GR"/>
        </w:rPr>
        <w:t xml:space="preserve"> το 2019.</w:t>
      </w:r>
    </w:p>
    <w:p w14:paraId="4AA36C98" w14:textId="77777777" w:rsidR="000057C4" w:rsidRDefault="000057C4" w:rsidP="001B4B5B">
      <w:pPr>
        <w:ind w:firstLine="11"/>
        <w:jc w:val="both"/>
        <w:rPr>
          <w:rFonts w:ascii="Ping LCG Regular" w:hAnsi="Ping LCG Regular" w:cs="Arial"/>
          <w:spacing w:val="-14"/>
          <w:highlight w:val="yellow"/>
          <w:lang w:val="el-GR"/>
        </w:rPr>
      </w:pPr>
    </w:p>
    <w:p w14:paraId="0148126C" w14:textId="0F790147" w:rsidR="001B4B5B" w:rsidRDefault="001B4B5B" w:rsidP="002F5045">
      <w:pPr>
        <w:ind w:firstLine="11"/>
        <w:jc w:val="both"/>
        <w:rPr>
          <w:rFonts w:ascii="Ping LCG Regular" w:hAnsi="Ping LCG Regular" w:cs="Arial"/>
          <w:spacing w:val="-14"/>
          <w:lang w:val="el-GR"/>
        </w:rPr>
      </w:pPr>
      <w:r w:rsidRPr="00B80C23">
        <w:rPr>
          <w:rFonts w:ascii="Ping LCG Regular" w:hAnsi="Ping LCG Regular" w:cs="Arial"/>
          <w:spacing w:val="-14"/>
          <w:lang w:val="el-GR"/>
        </w:rPr>
        <w:t>Σημειώνεται ότι στα αποτελέσματα προ φόρων του 2020 συμπεριλαμβάνεται θετική επίπτωση ύψους €125,3 εκατ. λόγω (α) της αντιστροφής της πρόβλεψης απομείωσης της επένδυσης της νέας μονάδας Πτολεμαΐδα 5 κατά €209,9 εκατ. , καθώς η λειτουργία της με καύσιμο το ΦΑ προσδιορίζεται πλέον για το 2025 αντί για το 202</w:t>
      </w:r>
      <w:r w:rsidR="001F5F5A">
        <w:rPr>
          <w:rFonts w:ascii="Ping LCG Regular" w:hAnsi="Ping LCG Regular" w:cs="Arial"/>
          <w:spacing w:val="-14"/>
          <w:lang w:val="el-GR"/>
        </w:rPr>
        <w:t>8</w:t>
      </w:r>
      <w:r w:rsidRPr="00B80C23">
        <w:rPr>
          <w:rFonts w:ascii="Ping LCG Regular" w:hAnsi="Ping LCG Regular" w:cs="Arial"/>
          <w:spacing w:val="-14"/>
          <w:lang w:val="el-GR"/>
        </w:rPr>
        <w:t xml:space="preserve"> βάσει του αρχικού πλάνου απολιγνιτοποίησης και (β) πρόσθετων προβλέψεων κυρίως λόγω της παύσης λειτουργίας, των σχετιζόμενων με τη νέα μονάδα ορυχείων, σε συντομότερο χρονικό διάστημα σε σχέση με το αρχικό πλάνο .  Όλα τα  ανωτέρω ποσά δεν έχουν ταμειακή διάσταση.</w:t>
      </w:r>
    </w:p>
    <w:p w14:paraId="1EC7A0BF" w14:textId="50D7E60A" w:rsidR="00A249A6" w:rsidRDefault="00A249A6" w:rsidP="00A249A6">
      <w:pPr>
        <w:ind w:firstLine="11"/>
        <w:jc w:val="both"/>
        <w:rPr>
          <w:rFonts w:ascii="Ping LCG Regular" w:hAnsi="Ping LCG Regular" w:cs="Arial"/>
          <w:spacing w:val="-14"/>
          <w:lang w:val="el-GR"/>
        </w:rPr>
      </w:pPr>
    </w:p>
    <w:p w14:paraId="671E721E" w14:textId="77777777" w:rsidR="0038307E" w:rsidRPr="00A469D4" w:rsidRDefault="0038307E" w:rsidP="00A249A6">
      <w:pPr>
        <w:jc w:val="both"/>
        <w:rPr>
          <w:rFonts w:ascii="Ping LCG Regular" w:hAnsi="Ping LCG Regular" w:cs="Arial"/>
          <w:b/>
          <w:bCs/>
          <w:spacing w:val="-14"/>
          <w:lang w:val="el-GR"/>
        </w:rPr>
      </w:pPr>
    </w:p>
    <w:p w14:paraId="6B6E866B" w14:textId="6C3923C7" w:rsidR="00A249A6" w:rsidRDefault="00A249A6" w:rsidP="00A249A6">
      <w:pPr>
        <w:jc w:val="both"/>
        <w:rPr>
          <w:rFonts w:ascii="Ping LCG Regular" w:hAnsi="Ping LCG Regular" w:cs="Arial"/>
          <w:b/>
          <w:bCs/>
          <w:spacing w:val="-14"/>
          <w:lang w:val="el-GR"/>
        </w:rPr>
      </w:pPr>
      <w:bookmarkStart w:id="2" w:name="_Hlk69025904"/>
      <w:r w:rsidRPr="00E24BAE">
        <w:rPr>
          <w:rFonts w:ascii="Ping LCG Regular" w:hAnsi="Ping LCG Regular" w:cs="Arial"/>
          <w:b/>
          <w:bCs/>
          <w:spacing w:val="-14"/>
        </w:rPr>
        <w:t>Covid</w:t>
      </w:r>
      <w:r w:rsidRPr="00E24BAE">
        <w:rPr>
          <w:rFonts w:ascii="Ping LCG Regular" w:hAnsi="Ping LCG Regular" w:cs="Arial"/>
          <w:b/>
          <w:bCs/>
          <w:spacing w:val="-14"/>
          <w:lang w:val="el-GR"/>
        </w:rPr>
        <w:t>-19</w:t>
      </w:r>
    </w:p>
    <w:p w14:paraId="481F0D55" w14:textId="77777777" w:rsidR="0038307E" w:rsidRDefault="0038307E" w:rsidP="002E764E">
      <w:pPr>
        <w:jc w:val="both"/>
        <w:rPr>
          <w:rFonts w:ascii="Ping LCG Regular" w:hAnsi="Ping LCG Regular" w:cs="Arial"/>
          <w:spacing w:val="-14"/>
          <w:lang w:val="el-GR"/>
        </w:rPr>
      </w:pPr>
    </w:p>
    <w:p w14:paraId="222D8D7F" w14:textId="75DE1175" w:rsidR="007E0DA6" w:rsidRPr="00851841" w:rsidRDefault="007E0DA6" w:rsidP="007E0DA6">
      <w:pPr>
        <w:jc w:val="both"/>
        <w:rPr>
          <w:rFonts w:ascii="Ping LCG Regular" w:hAnsi="Ping LCG Regular" w:cs="Times New Roman"/>
          <w:spacing w:val="-14"/>
          <w:lang w:val="el-GR"/>
        </w:rPr>
      </w:pPr>
      <w:r w:rsidRPr="00851841">
        <w:rPr>
          <w:rFonts w:ascii="Ping LCG Regular" w:hAnsi="Ping LCG Regular"/>
          <w:spacing w:val="-14"/>
          <w:lang w:val="el-GR"/>
        </w:rPr>
        <w:t>Κατά τη διάρκεια του 2020 η Διοίκηση του Ομίλου και της Μητρικής Εταιρείας έλαβε έκτακτα μέτρα για την ελάφρυνση των καταναλωτών ηλεκτρικής ενέργειας λόγω της πανδημίας. Παράλληλα εφαρμόζει σειρά δράσεων με στόχο την ενημέρωση των εργαζομένων, την ευαισθητοποίησή τους στα μέτρα πρόληψης και προστασίας, τον εφοδιασμό τους με τα κατάλληλα Μέσα Ατομικής Προστασίας, την προστασία τόσο αυτών όσο και των οικογενειών τους και ταυτόχρονα την διασφάλιση της ομαλής λειτουργίας του Ομίλου.</w:t>
      </w:r>
    </w:p>
    <w:p w14:paraId="489A1030" w14:textId="77777777" w:rsidR="007E0DA6" w:rsidRPr="00851841" w:rsidRDefault="007E0DA6" w:rsidP="007E0DA6">
      <w:pPr>
        <w:jc w:val="both"/>
        <w:rPr>
          <w:rFonts w:ascii="Ping LCG Regular" w:hAnsi="Ping LCG Regular"/>
          <w:spacing w:val="-14"/>
          <w:lang w:val="el-GR"/>
        </w:rPr>
      </w:pPr>
    </w:p>
    <w:p w14:paraId="596BCD1D" w14:textId="4FD22327" w:rsidR="007E0DA6" w:rsidRPr="00851841" w:rsidRDefault="007E0DA6" w:rsidP="007E0DA6">
      <w:pPr>
        <w:jc w:val="both"/>
        <w:rPr>
          <w:rFonts w:ascii="Ping LCG Regular" w:hAnsi="Ping LCG Regular"/>
          <w:spacing w:val="-14"/>
          <w:lang w:val="el-GR"/>
        </w:rPr>
      </w:pPr>
      <w:r w:rsidRPr="00851841">
        <w:rPr>
          <w:rFonts w:ascii="Ping LCG Regular" w:hAnsi="Ping LCG Regular"/>
          <w:spacing w:val="-14"/>
          <w:lang w:val="el-GR"/>
        </w:rPr>
        <w:t xml:space="preserve">Η Διοίκηση του Ομίλου και της Μητρικής Εταιρείας παρακολουθεί καθημερινά τις εξελίξεις σχετικά με τον </w:t>
      </w:r>
      <w:r w:rsidRPr="007E0DA6">
        <w:rPr>
          <w:rFonts w:ascii="Ping LCG Regular" w:hAnsi="Ping LCG Regular"/>
          <w:spacing w:val="-14"/>
        </w:rPr>
        <w:t>Covid</w:t>
      </w:r>
      <w:r w:rsidRPr="00851841">
        <w:rPr>
          <w:rFonts w:ascii="Ping LCG Regular" w:hAnsi="Ping LCG Regular"/>
          <w:spacing w:val="-14"/>
          <w:lang w:val="el-GR"/>
        </w:rPr>
        <w:t xml:space="preserve">-19 και τα μέτρα που λαμβάνει η Πολιτεία, μελετώντας σε συνεχή βάση τυχόν αρνητικές ή θετικές επιπτώσεις, που ενδέχεται να προκύψουν, στην οικονομική τους θέση, τα λειτουργικά τους αποτελέσματα, τις χρηματικές ροές τους και την υλοποίηση των επιχειρηματικών και επενδυτικών τους σχεδίων, προβαίνοντας σε εκτιμήσεις και ποσοτικοποιώντας όπου είναι εφικτό τα σχετικά μεγέθη. </w:t>
      </w:r>
    </w:p>
    <w:p w14:paraId="6CD82BF4" w14:textId="77777777" w:rsidR="007E0DA6" w:rsidRPr="0062023D" w:rsidRDefault="007E0DA6" w:rsidP="002E764E">
      <w:pPr>
        <w:jc w:val="both"/>
        <w:rPr>
          <w:rFonts w:ascii="Ping LCG Regular" w:hAnsi="Ping LCG Regular" w:cs="Arial"/>
          <w:spacing w:val="-14"/>
          <w:lang w:val="el-GR"/>
        </w:rPr>
      </w:pPr>
    </w:p>
    <w:p w14:paraId="7EA9D51E" w14:textId="77777777" w:rsidR="002E764E" w:rsidRPr="00001E5E" w:rsidRDefault="002E764E" w:rsidP="002E764E">
      <w:pPr>
        <w:jc w:val="both"/>
        <w:rPr>
          <w:rFonts w:ascii="Ping LCG Regular" w:hAnsi="Ping LCG Regular" w:cs="Arial"/>
          <w:spacing w:val="-14"/>
          <w:highlight w:val="yellow"/>
          <w:lang w:val="el-GR"/>
        </w:rPr>
      </w:pPr>
    </w:p>
    <w:bookmarkEnd w:id="2"/>
    <w:p w14:paraId="5C157560" w14:textId="77777777" w:rsidR="00E110C8" w:rsidRDefault="00E110C8">
      <w:pPr>
        <w:rPr>
          <w:rFonts w:ascii="Ping LCG Regular" w:hAnsi="Ping LCG Regular"/>
          <w:b/>
          <w:bCs/>
          <w:lang w:val="el-GR"/>
        </w:rPr>
      </w:pPr>
      <w:r>
        <w:rPr>
          <w:rFonts w:ascii="Ping LCG Regular" w:hAnsi="Ping LCG Regular"/>
          <w:b/>
          <w:bCs/>
          <w:lang w:val="el-GR"/>
        </w:rPr>
        <w:br w:type="page"/>
      </w:r>
    </w:p>
    <w:p w14:paraId="2AC8A243" w14:textId="1E41C453" w:rsidR="00A927F5" w:rsidRPr="00A469D4" w:rsidRDefault="00A927F5" w:rsidP="00A469D4">
      <w:pPr>
        <w:jc w:val="both"/>
        <w:rPr>
          <w:rFonts w:ascii="Ping LCG Regular" w:hAnsi="Ping LCG Regular"/>
          <w:b/>
          <w:bCs/>
          <w:lang w:val="el-GR"/>
        </w:rPr>
      </w:pPr>
      <w:r w:rsidRPr="00A469D4">
        <w:rPr>
          <w:rFonts w:ascii="Ping LCG Regular" w:hAnsi="Ping LCG Regular"/>
          <w:b/>
          <w:bCs/>
          <w:lang w:val="el-GR"/>
        </w:rPr>
        <w:lastRenderedPageBreak/>
        <w:t>Σχολιάζοντας τα οικονομικά αποτελέσματα του</w:t>
      </w:r>
      <w:r w:rsidR="00464D0A" w:rsidRPr="00A469D4">
        <w:rPr>
          <w:rFonts w:ascii="Ping LCG Regular" w:hAnsi="Ping LCG Regular"/>
          <w:b/>
          <w:bCs/>
          <w:lang w:val="el-GR"/>
        </w:rPr>
        <w:t xml:space="preserve"> </w:t>
      </w:r>
      <w:r w:rsidRPr="00A469D4">
        <w:rPr>
          <w:rFonts w:ascii="Ping LCG Regular" w:hAnsi="Ping LCG Regular"/>
          <w:b/>
          <w:bCs/>
          <w:lang w:val="el-GR"/>
        </w:rPr>
        <w:t>2020, ο Πρόεδρος και Διευθύνων Σύμβουλος της ΔΕΗ Α.Ε. κ. Γεώργιος Στάσσης δήλωσε:</w:t>
      </w:r>
    </w:p>
    <w:p w14:paraId="5BDB0B2E" w14:textId="77777777" w:rsidR="00A927F5" w:rsidRPr="00C8606C" w:rsidRDefault="00A927F5">
      <w:pPr>
        <w:pStyle w:val="Default"/>
        <w:jc w:val="both"/>
        <w:rPr>
          <w:rFonts w:ascii="Ping LCG Regular" w:hAnsi="Ping LCG Regular" w:cs="Arial"/>
          <w:i/>
        </w:rPr>
      </w:pPr>
    </w:p>
    <w:p w14:paraId="0E32863A" w14:textId="35344FDA" w:rsidR="00D53965" w:rsidRPr="00851841" w:rsidRDefault="00D53965" w:rsidP="00D53965">
      <w:pPr>
        <w:jc w:val="both"/>
        <w:rPr>
          <w:rFonts w:ascii="Ping LCG Regular" w:hAnsi="Ping LCG Regular"/>
          <w:strike/>
          <w:color w:val="FF0000"/>
          <w:lang w:val="el-GR"/>
        </w:rPr>
      </w:pPr>
      <w:r>
        <w:rPr>
          <w:rFonts w:ascii="Ping LCG Regular" w:hAnsi="Ping LCG Regular"/>
          <w:lang w:val="el-GR"/>
        </w:rPr>
        <w:t>"</w:t>
      </w:r>
      <w:r w:rsidRPr="00851841">
        <w:rPr>
          <w:rFonts w:ascii="Ping LCG Regular" w:hAnsi="Ping LCG Regular"/>
          <w:lang w:val="el-GR"/>
        </w:rPr>
        <w:t xml:space="preserve">Το 2020 ήταν μία χρονιά μεγάλων αλλαγών για τη ΔΕΗ σε πολλά επίπεδα, με σημαντική μεταστροφή της λειτουργικής κερδοφορίας και το </w:t>
      </w:r>
      <w:r w:rsidRPr="00851841">
        <w:rPr>
          <w:rFonts w:ascii="Ping LCG Regular" w:hAnsi="Ping LCG Regular"/>
          <w:lang w:val="en-GB"/>
        </w:rPr>
        <w:t>EBITDA</w:t>
      </w:r>
      <w:r w:rsidRPr="00851841">
        <w:rPr>
          <w:rFonts w:ascii="Ping LCG Regular" w:hAnsi="Ping LCG Regular"/>
          <w:lang w:val="el-GR"/>
        </w:rPr>
        <w:t xml:space="preserve"> σε επαναλαμβανόμενη βάση να υπερδιπλασιάζεται σε σχέση με το 2019 και να </w:t>
      </w:r>
      <w:r w:rsidR="008C5887" w:rsidRPr="00851841">
        <w:rPr>
          <w:rFonts w:ascii="Ping LCG Regular" w:hAnsi="Ping LCG Regular"/>
          <w:lang w:val="el-GR"/>
        </w:rPr>
        <w:t xml:space="preserve">ανέρχεται σε </w:t>
      </w:r>
      <w:r w:rsidRPr="00851841">
        <w:rPr>
          <w:rFonts w:ascii="Ping LCG Regular" w:hAnsi="Ping LCG Regular"/>
          <w:lang w:val="el-GR"/>
        </w:rPr>
        <w:t>€</w:t>
      </w:r>
      <w:r w:rsidR="008C5887" w:rsidRPr="00851841">
        <w:rPr>
          <w:rFonts w:ascii="Ping LCG Regular" w:hAnsi="Ping LCG Regular"/>
          <w:lang w:val="el-GR"/>
        </w:rPr>
        <w:t>886</w:t>
      </w:r>
      <w:r w:rsidRPr="00851841">
        <w:rPr>
          <w:rFonts w:ascii="Ping LCG Regular" w:hAnsi="Ping LCG Regular"/>
          <w:lang w:val="el-GR"/>
        </w:rPr>
        <w:t xml:space="preserve"> </w:t>
      </w:r>
      <w:r w:rsidR="008C5887" w:rsidRPr="00851841">
        <w:rPr>
          <w:rFonts w:ascii="Ping LCG Regular" w:hAnsi="Ping LCG Regular"/>
          <w:lang w:val="el-GR"/>
        </w:rPr>
        <w:t>εκατ.</w:t>
      </w:r>
      <w:r w:rsidR="00EA3E57" w:rsidRPr="00851841">
        <w:rPr>
          <w:rFonts w:ascii="Ping LCG Regular" w:hAnsi="Ping LCG Regular"/>
          <w:lang w:val="el-GR"/>
        </w:rPr>
        <w:t xml:space="preserve"> </w:t>
      </w:r>
      <w:r w:rsidR="00FA1C69" w:rsidRPr="00851841">
        <w:rPr>
          <w:rFonts w:ascii="Ping LCG Regular" w:hAnsi="Ping LCG Regular"/>
          <w:lang w:val="el-GR"/>
        </w:rPr>
        <w:t>υπερβαίνοντας</w:t>
      </w:r>
      <w:r w:rsidR="00121A6A" w:rsidRPr="00121A6A">
        <w:rPr>
          <w:rFonts w:ascii="Ping LCG Regular" w:hAnsi="Ping LCG Regular"/>
          <w:lang w:val="el-GR"/>
        </w:rPr>
        <w:t xml:space="preserve"> </w:t>
      </w:r>
      <w:r w:rsidR="00121A6A">
        <w:rPr>
          <w:rFonts w:ascii="Ping LCG Regular" w:hAnsi="Ping LCG Regular"/>
          <w:lang w:val="el-GR"/>
        </w:rPr>
        <w:t>κατά πολύ</w:t>
      </w:r>
      <w:r w:rsidR="00EA3E57" w:rsidRPr="00851841">
        <w:rPr>
          <w:rFonts w:ascii="Ping LCG Regular" w:hAnsi="Ping LCG Regular"/>
          <w:lang w:val="el-GR"/>
        </w:rPr>
        <w:t xml:space="preserve"> τον</w:t>
      </w:r>
      <w:r w:rsidR="00FA1C69" w:rsidRPr="00851841">
        <w:rPr>
          <w:rFonts w:ascii="Ping LCG Regular" w:hAnsi="Ping LCG Regular"/>
          <w:lang w:val="el-GR"/>
        </w:rPr>
        <w:t xml:space="preserve"> </w:t>
      </w:r>
      <w:r w:rsidR="00EA3E57" w:rsidRPr="00851841">
        <w:rPr>
          <w:rFonts w:ascii="Ping LCG Regular" w:hAnsi="Ping LCG Regular"/>
          <w:lang w:val="el-GR"/>
        </w:rPr>
        <w:t>αρχικ</w:t>
      </w:r>
      <w:r w:rsidR="008C5887" w:rsidRPr="00851841">
        <w:rPr>
          <w:rFonts w:ascii="Ping LCG Regular" w:hAnsi="Ping LCG Regular"/>
          <w:lang w:val="el-GR"/>
        </w:rPr>
        <w:t xml:space="preserve">ό προϋπολογισμό </w:t>
      </w:r>
      <w:r w:rsidR="00121A6A">
        <w:rPr>
          <w:rFonts w:ascii="Ping LCG Regular" w:hAnsi="Ping LCG Regular"/>
          <w:lang w:val="el-GR"/>
        </w:rPr>
        <w:t xml:space="preserve">των </w:t>
      </w:r>
      <w:r w:rsidR="008C5887" w:rsidRPr="00851841">
        <w:rPr>
          <w:rFonts w:ascii="Ping LCG Regular" w:hAnsi="Ping LCG Regular"/>
          <w:lang w:val="el-GR"/>
        </w:rPr>
        <w:t>€650 εκατ</w:t>
      </w:r>
      <w:r w:rsidRPr="00851841">
        <w:rPr>
          <w:rFonts w:ascii="Ping LCG Regular" w:hAnsi="Ping LCG Regular"/>
          <w:lang w:val="el-GR"/>
        </w:rPr>
        <w:t>. Η εντυπωσιακή αυτή επίδοση επιτεύχθηκε κυρίως λόγω εσωτερικών δράσεων</w:t>
      </w:r>
      <w:r w:rsidR="007F2A4B" w:rsidRPr="00851841">
        <w:rPr>
          <w:rFonts w:ascii="Ping LCG Regular" w:hAnsi="Ping LCG Regular"/>
          <w:lang w:val="el-GR"/>
        </w:rPr>
        <w:t xml:space="preserve"> </w:t>
      </w:r>
      <w:r w:rsidR="001F4BDF" w:rsidRPr="00851841">
        <w:rPr>
          <w:rFonts w:ascii="Ping LCG Regular" w:hAnsi="Ping LCG Regular"/>
          <w:lang w:val="el-GR"/>
        </w:rPr>
        <w:t>όπως</w:t>
      </w:r>
      <w:r w:rsidRPr="00851841">
        <w:rPr>
          <w:rFonts w:ascii="Ping LCG Regular" w:hAnsi="Ping LCG Regular"/>
          <w:lang w:val="el-GR"/>
        </w:rPr>
        <w:t xml:space="preserve"> η καλύτερη διαχείριση του παραγωγικού μας δυναμικού με μείωση των εκπομπών </w:t>
      </w:r>
      <w:r w:rsidRPr="00851841">
        <w:rPr>
          <w:rFonts w:ascii="Ping LCG Regular" w:hAnsi="Ping LCG Regular"/>
        </w:rPr>
        <w:t>CO</w:t>
      </w:r>
      <w:r w:rsidRPr="00851841">
        <w:rPr>
          <w:rFonts w:ascii="Ping LCG Regular" w:hAnsi="Ping LCG Regular"/>
          <w:vertAlign w:val="subscript"/>
          <w:lang w:val="el-GR"/>
        </w:rPr>
        <w:t>2</w:t>
      </w:r>
      <w:r w:rsidRPr="00851841">
        <w:rPr>
          <w:rFonts w:ascii="Ping LCG Regular" w:hAnsi="Ping LCG Regular"/>
          <w:lang w:val="el-GR"/>
        </w:rPr>
        <w:t xml:space="preserve"> και του κόστους προμήθειας φυσικού αερίου, ενώ ενισχυτικά λειτούργησαν και εξωγενείς παράγοντες όπως οι χαμηλότερες τιμές ενέργειας λόγω και του </w:t>
      </w:r>
      <w:r w:rsidRPr="00851841">
        <w:rPr>
          <w:rFonts w:ascii="Ping LCG Regular" w:hAnsi="Ping LCG Regular"/>
        </w:rPr>
        <w:t>covid</w:t>
      </w:r>
      <w:r w:rsidRPr="00851841">
        <w:rPr>
          <w:rFonts w:ascii="Ping LCG Regular" w:hAnsi="Ping LCG Regular"/>
          <w:lang w:val="el-GR"/>
        </w:rPr>
        <w:t xml:space="preserve">-19 καθώς και η κατάργηση  των ζημιογόνων δημοπρασιών ΝΟΜΕ. </w:t>
      </w:r>
      <w:r w:rsidRPr="00851841">
        <w:rPr>
          <w:rFonts w:ascii="Ping LCG Regular" w:hAnsi="Ping LCG Regular"/>
          <w:strike/>
          <w:color w:val="FF0000"/>
          <w:lang w:val="el-GR"/>
        </w:rPr>
        <w:t xml:space="preserve"> </w:t>
      </w:r>
    </w:p>
    <w:p w14:paraId="0E371475" w14:textId="15B2FA21" w:rsidR="00D53965" w:rsidRPr="00851841" w:rsidRDefault="00D53965" w:rsidP="00D53965">
      <w:pPr>
        <w:jc w:val="both"/>
        <w:rPr>
          <w:rFonts w:ascii="Ping LCG Regular" w:hAnsi="Ping LCG Regular"/>
          <w:color w:val="FF0000"/>
          <w:lang w:val="el-GR"/>
        </w:rPr>
      </w:pPr>
      <w:r w:rsidRPr="00851841">
        <w:rPr>
          <w:rFonts w:ascii="Ping LCG Regular" w:hAnsi="Ping LCG Regular"/>
          <w:color w:val="FF0000"/>
          <w:lang w:val="el-GR"/>
        </w:rPr>
        <w:t xml:space="preserve"> </w:t>
      </w:r>
    </w:p>
    <w:p w14:paraId="72187650" w14:textId="4354286D" w:rsidR="00D53965" w:rsidRPr="00851841" w:rsidRDefault="00D53965" w:rsidP="00D53965">
      <w:pPr>
        <w:jc w:val="both"/>
        <w:rPr>
          <w:rFonts w:ascii="Ping LCG Regular" w:hAnsi="Ping LCG Regular"/>
          <w:strike/>
          <w:color w:val="FF0000"/>
          <w:lang w:val="el-GR"/>
        </w:rPr>
      </w:pPr>
      <w:r w:rsidRPr="00851841">
        <w:rPr>
          <w:rFonts w:ascii="Ping LCG Regular" w:hAnsi="Ping LCG Regular"/>
          <w:lang w:val="el-GR"/>
        </w:rPr>
        <w:t xml:space="preserve">Η σημαντική βελτίωση της κερδοφορίας και η μείωση του καθαρού χρέους κατά €0,4 δισ σε συνδυασμό με την στρατηγική επανατοποθέτηση της ΔΕΗ συνέβαλαν στην αναβάθμιση της μακροπρόθεσμης πιστοληπτικής αξιολόγησης της από τον οίκο </w:t>
      </w:r>
      <w:r w:rsidRPr="00851841">
        <w:rPr>
          <w:rFonts w:ascii="Ping LCG Regular" w:hAnsi="Ping LCG Regular"/>
        </w:rPr>
        <w:t>Standard</w:t>
      </w:r>
      <w:r w:rsidRPr="00851841">
        <w:rPr>
          <w:rFonts w:ascii="Ping LCG Regular" w:hAnsi="Ping LCG Regular"/>
          <w:lang w:val="el-GR"/>
        </w:rPr>
        <w:t xml:space="preserve"> &amp; </w:t>
      </w:r>
      <w:r w:rsidRPr="00851841">
        <w:rPr>
          <w:rFonts w:ascii="Ping LCG Regular" w:hAnsi="Ping LCG Regular"/>
        </w:rPr>
        <w:t>Poor</w:t>
      </w:r>
      <w:r w:rsidRPr="00851841">
        <w:rPr>
          <w:rFonts w:ascii="Ping LCG Regular" w:hAnsi="Ping LCG Regular"/>
          <w:lang w:val="el-GR"/>
        </w:rPr>
        <w:t>’</w:t>
      </w:r>
      <w:r w:rsidRPr="00851841">
        <w:rPr>
          <w:rFonts w:ascii="Ping LCG Regular" w:hAnsi="Ping LCG Regular"/>
        </w:rPr>
        <w:t>s</w:t>
      </w:r>
      <w:r w:rsidRPr="00851841">
        <w:rPr>
          <w:rFonts w:ascii="Ping LCG Regular" w:hAnsi="Ping LCG Regular"/>
          <w:lang w:val="el-GR"/>
        </w:rPr>
        <w:t xml:space="preserve"> σε Β. Επίσης, η αξιολόγηση για πρώτη φορά από την </w:t>
      </w:r>
      <w:r w:rsidRPr="00851841">
        <w:rPr>
          <w:rFonts w:ascii="Ping LCG Regular" w:hAnsi="Ping LCG Regular"/>
        </w:rPr>
        <w:t>Fitch</w:t>
      </w:r>
      <w:r w:rsidRPr="00851841">
        <w:rPr>
          <w:rFonts w:ascii="Ping LCG Regular" w:hAnsi="Ping LCG Regular"/>
          <w:lang w:val="el-GR"/>
        </w:rPr>
        <w:t xml:space="preserve"> με ΒΒ-, τοποθέτησε την ΔΕΗ σε μία νέα επενδυτική κατηγορία, καθιστώντας την πλέον προσβάσιμη σε μεγαλύτερο πλήθος επενδυτών. </w:t>
      </w:r>
      <w:r w:rsidRPr="00851841">
        <w:rPr>
          <w:rFonts w:ascii="Ping LCG Regular" w:hAnsi="Ping LCG Regular"/>
          <w:strike/>
          <w:color w:val="FF0000"/>
          <w:lang w:val="el-GR"/>
        </w:rPr>
        <w:t xml:space="preserve"> </w:t>
      </w:r>
    </w:p>
    <w:p w14:paraId="0E9FB0C5" w14:textId="77777777" w:rsidR="00D53965" w:rsidRPr="00851841" w:rsidRDefault="00D53965" w:rsidP="00D53965">
      <w:pPr>
        <w:jc w:val="both"/>
        <w:rPr>
          <w:rFonts w:ascii="Ping LCG Regular" w:hAnsi="Ping LCG Regular"/>
          <w:lang w:val="el-GR"/>
        </w:rPr>
      </w:pPr>
    </w:p>
    <w:p w14:paraId="2F7FC28A" w14:textId="057C0999" w:rsidR="00D53965" w:rsidRPr="00851841" w:rsidRDefault="00D53965" w:rsidP="00D53965">
      <w:pPr>
        <w:jc w:val="both"/>
        <w:rPr>
          <w:rFonts w:ascii="Ping LCG Regular" w:hAnsi="Ping LCG Regular"/>
          <w:lang w:val="el-GR"/>
        </w:rPr>
      </w:pPr>
      <w:r w:rsidRPr="00851841">
        <w:rPr>
          <w:rFonts w:ascii="Ping LCG Regular" w:hAnsi="Ping LCG Regular"/>
          <w:lang w:val="el-GR"/>
        </w:rPr>
        <w:t xml:space="preserve">Σε συνέχεια των παραπάνω αναβαθμίσεων, προχωρήσαμε πριν από ένα μήνα στην έκδοση ομολογιών βιωσιμότητας συνολικού ύψους €775 εκατ. με σημαντική υπερκάλυψη του αρχικού ποσού, η οποία αποτελεί την  πρώτη έκδοση ομολογιών υψηλής απόδοσης στην Ευρώπη </w:t>
      </w:r>
      <w:r w:rsidR="00121A6A">
        <w:rPr>
          <w:rFonts w:ascii="Ping LCG Regular" w:hAnsi="Ping LCG Regular"/>
          <w:lang w:val="el-GR"/>
        </w:rPr>
        <w:t xml:space="preserve">με ρήτρα αειφορίας </w:t>
      </w:r>
      <w:r w:rsidRPr="00851841">
        <w:rPr>
          <w:rFonts w:ascii="Ping LCG Regular" w:hAnsi="Ping LCG Regular"/>
          <w:lang w:val="el-GR"/>
        </w:rPr>
        <w:t xml:space="preserve">και η οποία ευθυγραμμίζεται με τη συνολική περιβαλλοντική στρατηγική μας. Με αυτό τον τρόπο καταφέραμε να συνδυάσουμε την  επιστροφή μας στις αγορές κεφαλαίου με την στρατηγική μας δέσμευση για μείωση του ανθρακικού αποτυπώματος μας καθώς και με το μετριασμό των επιπτώσεων της κλιματικής αλλαγής. Επιπρόσθετα, σε συνέχεια της ολοκλήρωσης της τιτλοποίησης απαιτήσεων έως 60 ημέρες, υπογράψαμε πρόσφατα </w:t>
      </w:r>
      <w:r w:rsidR="00121A6A">
        <w:rPr>
          <w:rFonts w:ascii="Ping LCG Regular" w:hAnsi="Ping LCG Regular"/>
          <w:lang w:val="el-GR"/>
        </w:rPr>
        <w:t xml:space="preserve">επίσης </w:t>
      </w:r>
      <w:r w:rsidRPr="00851841">
        <w:rPr>
          <w:rFonts w:ascii="Ping LCG Regular" w:hAnsi="Ping LCG Regular"/>
          <w:lang w:val="el-GR"/>
        </w:rPr>
        <w:t>τις συμβάσεις για την τιτλοποίηση ληξιπρόθεσμων απαιτήσεων άνω των 90 ημερών, εξέλιξη που αποτελεί μία επιπλέον ένδειξη εμπιστοσύνης στο πλάνο μας από μεγάλους διεθνείς επενδυτές.</w:t>
      </w:r>
    </w:p>
    <w:p w14:paraId="71BE738A" w14:textId="77777777" w:rsidR="00D53965" w:rsidRPr="00851841" w:rsidRDefault="00D53965" w:rsidP="00D53965">
      <w:pPr>
        <w:jc w:val="both"/>
        <w:rPr>
          <w:rFonts w:ascii="Ping LCG Regular" w:hAnsi="Ping LCG Regular"/>
          <w:lang w:val="el-GR"/>
        </w:rPr>
      </w:pPr>
    </w:p>
    <w:p w14:paraId="5356FC20" w14:textId="7695093E" w:rsidR="00D53965" w:rsidRPr="00851841" w:rsidRDefault="00D53965" w:rsidP="00D53965">
      <w:pPr>
        <w:jc w:val="both"/>
        <w:rPr>
          <w:rFonts w:ascii="Ping LCG Regular" w:hAnsi="Ping LCG Regular"/>
          <w:lang w:val="el-GR"/>
        </w:rPr>
      </w:pPr>
      <w:r w:rsidRPr="00851841">
        <w:rPr>
          <w:rFonts w:ascii="Ping LCG Regular" w:hAnsi="Ping LCG Regular"/>
          <w:lang w:val="el-GR"/>
        </w:rPr>
        <w:t xml:space="preserve">Σημαντική πρόοδος υπήρξε στο σχέδιο απολιγνιτοποίησης, με παύση της λειτουργίας </w:t>
      </w:r>
      <w:r w:rsidR="00121A6A">
        <w:rPr>
          <w:rFonts w:ascii="Ping LCG Regular" w:hAnsi="Ping LCG Regular"/>
          <w:lang w:val="el-GR"/>
        </w:rPr>
        <w:t xml:space="preserve">των </w:t>
      </w:r>
      <w:r w:rsidRPr="00851841">
        <w:rPr>
          <w:rFonts w:ascii="Ping LCG Regular" w:hAnsi="Ping LCG Regular"/>
          <w:lang w:val="el-GR"/>
        </w:rPr>
        <w:t xml:space="preserve">λιγνιτικών μονάδων </w:t>
      </w:r>
      <w:r w:rsidR="00121A6A">
        <w:rPr>
          <w:rFonts w:ascii="Ping LCG Regular" w:hAnsi="Ping LCG Regular"/>
          <w:lang w:val="el-GR"/>
        </w:rPr>
        <w:t xml:space="preserve">Αμύνταιο 1 &amp; 2 </w:t>
      </w:r>
      <w:r w:rsidRPr="00851841">
        <w:rPr>
          <w:rFonts w:ascii="Ping LCG Regular" w:hAnsi="Ping LCG Regular"/>
          <w:lang w:val="el-GR"/>
        </w:rPr>
        <w:t>σύμφωνα με τον προγραμματισμό και</w:t>
      </w:r>
      <w:r w:rsidR="00121A6A">
        <w:rPr>
          <w:rFonts w:ascii="Ping LCG Regular" w:hAnsi="Ping LCG Regular"/>
          <w:lang w:val="el-GR"/>
        </w:rPr>
        <w:t xml:space="preserve"> </w:t>
      </w:r>
      <w:r w:rsidRPr="00851841">
        <w:rPr>
          <w:rFonts w:ascii="Ping LCG Regular" w:hAnsi="Ping LCG Regular"/>
          <w:lang w:val="el-GR"/>
        </w:rPr>
        <w:t xml:space="preserve">δραστική μείωση  των εκπομπών </w:t>
      </w:r>
      <w:r w:rsidRPr="00851841">
        <w:rPr>
          <w:rFonts w:ascii="Ping LCG Regular" w:hAnsi="Ping LCG Regular"/>
        </w:rPr>
        <w:t>CO</w:t>
      </w:r>
      <w:r w:rsidRPr="00851841">
        <w:rPr>
          <w:rFonts w:ascii="Ping LCG Regular" w:hAnsi="Ping LCG Regular"/>
          <w:vertAlign w:val="subscript"/>
          <w:lang w:val="el-GR"/>
        </w:rPr>
        <w:t>2</w:t>
      </w:r>
      <w:r w:rsidRPr="00851841">
        <w:rPr>
          <w:rFonts w:ascii="Ping LCG Regular" w:hAnsi="Ping LCG Regular"/>
          <w:lang w:val="el-GR"/>
        </w:rPr>
        <w:t>. Παράλληλα, θέσαμε τις βάσεις για την υλοποίηση του επενδυτικού πλάνου για τις ΑΠΕ. Έχουμε ξεκινήσει την κατασκευή των φωτοβολταϊκών πάρκων 230</w:t>
      </w:r>
      <w:r w:rsidRPr="00851841">
        <w:rPr>
          <w:rFonts w:ascii="Ping LCG Regular" w:hAnsi="Ping LCG Regular"/>
        </w:rPr>
        <w:t>MW</w:t>
      </w:r>
      <w:r w:rsidRPr="00851841">
        <w:rPr>
          <w:rFonts w:ascii="Ping LCG Regular" w:hAnsi="Ping LCG Regular"/>
          <w:lang w:val="el-GR"/>
        </w:rPr>
        <w:t xml:space="preserve"> στην Πτολεμαΐδα, για τα οποία έχει εξασφαλισθεί η χρηματοδότηση με τη μορφή του </w:t>
      </w:r>
      <w:r w:rsidRPr="00851841">
        <w:rPr>
          <w:rFonts w:ascii="Ping LCG Regular" w:hAnsi="Ping LCG Regular"/>
        </w:rPr>
        <w:t>project</w:t>
      </w:r>
      <w:r w:rsidRPr="00851841">
        <w:rPr>
          <w:rFonts w:ascii="Ping LCG Regular" w:hAnsi="Ping LCG Regular"/>
          <w:lang w:val="el-GR"/>
        </w:rPr>
        <w:t xml:space="preserve"> </w:t>
      </w:r>
      <w:r w:rsidRPr="00851841">
        <w:rPr>
          <w:rFonts w:ascii="Ping LCG Regular" w:hAnsi="Ping LCG Regular"/>
        </w:rPr>
        <w:t>finance</w:t>
      </w:r>
      <w:r w:rsidRPr="00851841">
        <w:rPr>
          <w:rFonts w:ascii="Ping LCG Regular" w:hAnsi="Ping LCG Regular"/>
          <w:lang w:val="el-GR"/>
        </w:rPr>
        <w:t xml:space="preserve"> και είμαστε σε διαδικασία αξιολόγησης των προσφορών για την επιλογή αναδόχου για την κατασκευή του φωτοβολταϊκού πάρκου 50</w:t>
      </w:r>
      <w:r w:rsidRPr="00851841">
        <w:rPr>
          <w:rFonts w:ascii="Ping LCG Regular" w:hAnsi="Ping LCG Regular"/>
        </w:rPr>
        <w:t>MW</w:t>
      </w:r>
      <w:r w:rsidRPr="00851841">
        <w:rPr>
          <w:rFonts w:ascii="Ping LCG Regular" w:hAnsi="Ping LCG Regular"/>
          <w:lang w:val="el-GR"/>
        </w:rPr>
        <w:t xml:space="preserve"> στην Μεγαλόπολη. Επιπρόσθετα, αναπτύσσουμε περαιτέρω το χαρτοφυλάκιο έργων ΑΠΕ μέσω της </w:t>
      </w:r>
      <w:r w:rsidR="00121A6A">
        <w:rPr>
          <w:rFonts w:ascii="Ping LCG Regular" w:hAnsi="Ping LCG Regular"/>
          <w:lang w:val="el-GR"/>
        </w:rPr>
        <w:t>σημαντικής έκδοσης</w:t>
      </w:r>
      <w:r w:rsidRPr="00851841">
        <w:rPr>
          <w:rFonts w:ascii="Ping LCG Regular" w:hAnsi="Ping LCG Regular"/>
          <w:lang w:val="el-GR"/>
        </w:rPr>
        <w:t xml:space="preserve"> αδειών παραγωγής 2</w:t>
      </w:r>
      <w:r w:rsidRPr="00851841">
        <w:rPr>
          <w:rFonts w:ascii="Ping LCG Regular" w:hAnsi="Ping LCG Regular"/>
        </w:rPr>
        <w:t>GW</w:t>
      </w:r>
      <w:r w:rsidRPr="00851841">
        <w:rPr>
          <w:rFonts w:ascii="Ping LCG Regular" w:hAnsi="Ping LCG Regular"/>
          <w:lang w:val="el-GR"/>
        </w:rPr>
        <w:t>, της υποβολής αιτήσεων για επιπλέον άδειες περίπου 600</w:t>
      </w:r>
      <w:r w:rsidRPr="00851841">
        <w:rPr>
          <w:rFonts w:ascii="Ping LCG Regular" w:hAnsi="Ping LCG Regular"/>
        </w:rPr>
        <w:t>MW</w:t>
      </w:r>
      <w:r w:rsidRPr="00851841">
        <w:rPr>
          <w:rFonts w:ascii="Ping LCG Regular" w:hAnsi="Ping LCG Regular"/>
          <w:lang w:val="el-GR"/>
        </w:rPr>
        <w:t xml:space="preserve"> συμπεριλαμβανομένων και πλωτών φωτοβολταϊκών, ενώ </w:t>
      </w:r>
      <w:r w:rsidR="00121A6A">
        <w:rPr>
          <w:rFonts w:ascii="Ping LCG Regular" w:hAnsi="Ping LCG Regular"/>
          <w:lang w:val="el-GR"/>
        </w:rPr>
        <w:t xml:space="preserve">αναπτύσσουμε </w:t>
      </w:r>
      <w:r w:rsidRPr="00851841">
        <w:rPr>
          <w:rFonts w:ascii="Ping LCG Regular" w:hAnsi="Ping LCG Regular"/>
          <w:lang w:val="el-GR"/>
        </w:rPr>
        <w:t>κοιτάζουμε και τον τομέα της αποθήκευσης ενέργειας δεδομένης της αύξησης διείσδυσης των ΑΠΕ.</w:t>
      </w:r>
    </w:p>
    <w:p w14:paraId="2B9C415F" w14:textId="77777777" w:rsidR="00D53965" w:rsidRPr="00851841" w:rsidRDefault="00D53965" w:rsidP="00D53965">
      <w:pPr>
        <w:jc w:val="both"/>
        <w:rPr>
          <w:rFonts w:ascii="Ping LCG Regular" w:hAnsi="Ping LCG Regular"/>
          <w:lang w:val="el-GR"/>
        </w:rPr>
      </w:pPr>
    </w:p>
    <w:p w14:paraId="4B134937" w14:textId="2A657C14" w:rsidR="00D53965" w:rsidRPr="00851841" w:rsidRDefault="00D53965" w:rsidP="00D53965">
      <w:pPr>
        <w:jc w:val="both"/>
        <w:rPr>
          <w:rFonts w:ascii="Ping LCG Regular" w:hAnsi="Ping LCG Regular"/>
          <w:lang w:val="el-GR"/>
        </w:rPr>
      </w:pPr>
      <w:r w:rsidRPr="00851841">
        <w:rPr>
          <w:rFonts w:ascii="Ping LCG Regular" w:hAnsi="Ping LCG Regular"/>
          <w:lang w:val="el-GR"/>
        </w:rPr>
        <w:t>Εντός του 2020, θέσαμε τις βάσεις για την νέα αναμορφωμένη εμπορική μας δραστηριότητα</w:t>
      </w:r>
      <w:r w:rsidR="00BA2873" w:rsidRPr="00851841">
        <w:rPr>
          <w:rFonts w:ascii="Ping LCG Regular" w:hAnsi="Ping LCG Regular"/>
          <w:lang w:val="el-GR"/>
        </w:rPr>
        <w:t xml:space="preserve">, αλλαγή η οποία σηματοδοτήθηκε και από την παρουσίαση της νέας εταιρικής μας </w:t>
      </w:r>
      <w:r w:rsidR="00BA2873" w:rsidRPr="00851841">
        <w:rPr>
          <w:rFonts w:ascii="Ping LCG Regular" w:hAnsi="Ping LCG Regular"/>
          <w:lang w:val="el-GR"/>
        </w:rPr>
        <w:lastRenderedPageBreak/>
        <w:t>ταυτότητας</w:t>
      </w:r>
      <w:r w:rsidRPr="00851841">
        <w:rPr>
          <w:rFonts w:ascii="Ping LCG Regular" w:hAnsi="Ping LCG Regular"/>
          <w:lang w:val="el-GR"/>
        </w:rPr>
        <w:t>. Έχουμε ήδη εισαγάγει ένα νέο χαρτοφυλάκιο προϊόντων και υπηρεσιών και κατά τη διάρκεια του 2021 σκοπεύουμε να το αναπτύξουμε ακόμη περισσότερο. Η πανδημία λειτούργησε στην ουσία ως επιταχυντής στη διαδικασία εισαγωγής και υιοθέτησης νέων τεχνολογιών και για την εμπορική μας δραστηριότητα στο πλαίσιο του ευρύτερου ψηφιακού μετασχηματισμού του Ομίλου.</w:t>
      </w:r>
    </w:p>
    <w:p w14:paraId="0FB68E55" w14:textId="77777777" w:rsidR="00D53965" w:rsidRPr="00851841" w:rsidRDefault="00D53965" w:rsidP="00D53965">
      <w:pPr>
        <w:jc w:val="both"/>
        <w:rPr>
          <w:rFonts w:ascii="Ping LCG Regular" w:hAnsi="Ping LCG Regular"/>
          <w:lang w:val="el-GR"/>
        </w:rPr>
      </w:pPr>
    </w:p>
    <w:p w14:paraId="3DECAAE8" w14:textId="043B0835" w:rsidR="00D53965" w:rsidRPr="00851841" w:rsidRDefault="008C5887" w:rsidP="00D53965">
      <w:pPr>
        <w:jc w:val="both"/>
        <w:rPr>
          <w:rFonts w:ascii="Ping LCG Regular" w:hAnsi="Ping LCG Regular"/>
          <w:lang w:val="el-GR"/>
        </w:rPr>
      </w:pPr>
      <w:r w:rsidRPr="00851841">
        <w:rPr>
          <w:rFonts w:ascii="Ping LCG Regular" w:hAnsi="Ping LCG Regular"/>
          <w:lang w:val="el-GR"/>
        </w:rPr>
        <w:t>Για το 2021, στόχος μας είναι να επαναλάβουμε τις επιδόσεις του 2020</w:t>
      </w:r>
      <w:r w:rsidR="00945DD2" w:rsidRPr="00851841">
        <w:rPr>
          <w:rFonts w:ascii="Ping LCG Regular" w:hAnsi="Ping LCG Regular"/>
          <w:lang w:val="el-GR"/>
        </w:rPr>
        <w:t xml:space="preserve"> σε επίπεδο επαναλαμβανόμενου </w:t>
      </w:r>
      <w:r w:rsidR="00945DD2" w:rsidRPr="00851841">
        <w:rPr>
          <w:rFonts w:ascii="Ping LCG Regular" w:hAnsi="Ping LCG Regular"/>
        </w:rPr>
        <w:t>EBITDA</w:t>
      </w:r>
      <w:r w:rsidRPr="00851841">
        <w:rPr>
          <w:rFonts w:ascii="Ping LCG Regular" w:hAnsi="Ping LCG Regular"/>
          <w:lang w:val="el-GR"/>
        </w:rPr>
        <w:t>, σταθεροποιώντας την</w:t>
      </w:r>
      <w:r w:rsidR="00945DD2" w:rsidRPr="00851841">
        <w:rPr>
          <w:rFonts w:ascii="Ping LCG Regular" w:hAnsi="Ping LCG Regular"/>
          <w:lang w:val="el-GR"/>
        </w:rPr>
        <w:t xml:space="preserve"> λειτουργική κερδοφορία και δημιουργώντας παράλληλα τις συνθήκες για την έναρξη ενός νέου κύκλου ανάπτυξης του Ομίλου τα επόμενα χρόνια. </w:t>
      </w:r>
      <w:r w:rsidR="00D53965" w:rsidRPr="00851841">
        <w:rPr>
          <w:rFonts w:ascii="Ping LCG Regular" w:hAnsi="Ping LCG Regular"/>
          <w:lang w:val="el-GR"/>
        </w:rPr>
        <w:t>Έχουμε ήδη επιτύχει ένα σημαντικό μέρος των συνολικών  στόχων που έχουμε θέσει για να μετατρέψουμε την ΔΕΗ σε μια οικονομικά &amp; περιβαλλοντικά βιώσιμη, σύγχρονη ψηφιακή εταιρεία ενέργειας και παραμένουμε προσηλωμένοι στην συνέχιση της  υλοποίησης του επιχειρηματικού μας πλάνου.”</w:t>
      </w:r>
    </w:p>
    <w:p w14:paraId="0DBA1EE8" w14:textId="77777777" w:rsidR="00555B95" w:rsidRPr="00A249A6" w:rsidRDefault="00555B95" w:rsidP="00555B95">
      <w:pPr>
        <w:spacing w:after="200" w:line="276" w:lineRule="auto"/>
        <w:rPr>
          <w:rFonts w:ascii="Ping LCG Regular" w:hAnsi="Ping LCG Regular" w:cs="Arial"/>
          <w:spacing w:val="-14"/>
          <w:highlight w:val="yellow"/>
          <w:lang w:val="el-GR"/>
        </w:rPr>
      </w:pPr>
    </w:p>
    <w:p w14:paraId="38406B3F" w14:textId="77777777" w:rsidR="00555B95" w:rsidRPr="006B1EF6" w:rsidRDefault="00555B95" w:rsidP="00555B95">
      <w:pPr>
        <w:spacing w:after="200" w:line="276" w:lineRule="auto"/>
        <w:rPr>
          <w:rFonts w:ascii="Ping LCG Regular" w:hAnsi="Ping LCG Regular" w:cs="Arial"/>
          <w:spacing w:val="-14"/>
          <w:highlight w:val="yellow"/>
          <w:lang w:val="el-GR"/>
        </w:rPr>
      </w:pPr>
    </w:p>
    <w:p w14:paraId="33640BEB" w14:textId="77777777" w:rsidR="00A249A6" w:rsidRPr="00A249A6" w:rsidRDefault="00A249A6" w:rsidP="00A249A6">
      <w:pPr>
        <w:spacing w:after="200" w:line="276" w:lineRule="auto"/>
        <w:rPr>
          <w:rFonts w:ascii="Ping LCG Regular" w:hAnsi="Ping LCG Regular" w:cs="Arial"/>
          <w:spacing w:val="-14"/>
          <w:highlight w:val="yellow"/>
          <w:lang w:val="el-GR"/>
        </w:rPr>
      </w:pPr>
    </w:p>
    <w:p w14:paraId="1C008218" w14:textId="77777777" w:rsidR="005F693A" w:rsidRDefault="005F693A">
      <w:pPr>
        <w:rPr>
          <w:rFonts w:ascii="Ping LCG Bold" w:hAnsi="Ping LCG Bold" w:cs="Arial"/>
          <w:b/>
          <w:spacing w:val="-14"/>
          <w:szCs w:val="26"/>
          <w:lang w:val="el-GR"/>
        </w:rPr>
      </w:pPr>
      <w:r>
        <w:rPr>
          <w:rFonts w:ascii="Ping LCG Bold" w:hAnsi="Ping LCG Bold" w:cs="Arial"/>
          <w:b/>
          <w:spacing w:val="-14"/>
          <w:szCs w:val="26"/>
          <w:lang w:val="el-GR"/>
        </w:rPr>
        <w:br w:type="page"/>
      </w:r>
    </w:p>
    <w:p w14:paraId="448FB247" w14:textId="12DBF988" w:rsidR="00A249A6" w:rsidRPr="00CD3233" w:rsidRDefault="00A249A6" w:rsidP="00CD3233">
      <w:pPr>
        <w:autoSpaceDE w:val="0"/>
        <w:autoSpaceDN w:val="0"/>
        <w:adjustRightInd w:val="0"/>
        <w:rPr>
          <w:rFonts w:ascii="Ping LCG Regular" w:hAnsi="Ping LCG Regular" w:cs="Arial"/>
          <w:b/>
          <w:bCs/>
          <w:color w:val="000000"/>
          <w:lang w:val="el-GR"/>
        </w:rPr>
      </w:pPr>
      <w:r w:rsidRPr="00CD3233">
        <w:rPr>
          <w:rFonts w:ascii="Ping LCG Regular" w:hAnsi="Ping LCG Regular" w:cs="Arial"/>
          <w:b/>
          <w:bCs/>
          <w:color w:val="000000"/>
          <w:lang w:val="el-GR"/>
        </w:rPr>
        <w:lastRenderedPageBreak/>
        <w:t xml:space="preserve">ΠΑΡΑΡΤΗΜΑ 1 </w:t>
      </w:r>
    </w:p>
    <w:p w14:paraId="57B72E60" w14:textId="77777777" w:rsidR="00A249A6" w:rsidRPr="00CD3233" w:rsidRDefault="00A249A6" w:rsidP="00CD3233">
      <w:pPr>
        <w:autoSpaceDE w:val="0"/>
        <w:autoSpaceDN w:val="0"/>
        <w:adjustRightInd w:val="0"/>
        <w:rPr>
          <w:rFonts w:ascii="Ping LCG Regular" w:hAnsi="Ping LCG Regular" w:cs="Arial"/>
          <w:b/>
          <w:bCs/>
          <w:color w:val="000000"/>
          <w:lang w:val="el-GR"/>
        </w:rPr>
      </w:pPr>
      <w:r w:rsidRPr="00CD3233">
        <w:rPr>
          <w:rFonts w:ascii="Ping LCG Regular" w:hAnsi="Ping LCG Regular" w:cs="Arial"/>
          <w:b/>
          <w:bCs/>
          <w:color w:val="000000"/>
          <w:lang w:val="el-GR"/>
        </w:rPr>
        <w:t>Ανάλυση Εσόδων &amp; Λειτουργικών δαπανών Ομίλου ΔΕΗ</w:t>
      </w:r>
    </w:p>
    <w:p w14:paraId="297AF7E3" w14:textId="77777777" w:rsidR="00A249A6" w:rsidRPr="00A249A6" w:rsidRDefault="00A249A6" w:rsidP="00A249A6">
      <w:pPr>
        <w:widowControl w:val="0"/>
        <w:autoSpaceDE w:val="0"/>
        <w:autoSpaceDN w:val="0"/>
        <w:adjustRightInd w:val="0"/>
        <w:ind w:right="20"/>
        <w:jc w:val="both"/>
        <w:rPr>
          <w:rFonts w:ascii="Ping LCG Regular" w:hAnsi="Ping LCG Regular" w:cs="Arial"/>
          <w:b/>
          <w:spacing w:val="-14"/>
          <w:sz w:val="26"/>
          <w:szCs w:val="26"/>
          <w:u w:val="single"/>
          <w:lang w:val="el-GR"/>
        </w:rPr>
      </w:pPr>
    </w:p>
    <w:p w14:paraId="426DC15A" w14:textId="77777777" w:rsidR="00851841" w:rsidRDefault="00851841" w:rsidP="00A469D4">
      <w:pPr>
        <w:jc w:val="both"/>
        <w:rPr>
          <w:rFonts w:ascii="Ping LCG Regular" w:hAnsi="Ping LCG Regular" w:cs="Arial"/>
          <w:b/>
          <w:bCs/>
          <w:spacing w:val="-14"/>
          <w:lang w:val="el-GR"/>
        </w:rPr>
      </w:pPr>
      <w:bookmarkStart w:id="3" w:name="_Hlk69205105"/>
    </w:p>
    <w:p w14:paraId="6D847F3A" w14:textId="0B471E9A" w:rsidR="00A249A6" w:rsidRPr="00A469D4" w:rsidRDefault="00A249A6" w:rsidP="00A469D4">
      <w:pPr>
        <w:jc w:val="both"/>
        <w:rPr>
          <w:rFonts w:ascii="Ping LCG Regular" w:hAnsi="Ping LCG Regular" w:cs="Arial"/>
          <w:b/>
          <w:bCs/>
          <w:spacing w:val="-14"/>
          <w:lang w:val="el-GR"/>
        </w:rPr>
      </w:pPr>
      <w:r w:rsidRPr="00A469D4">
        <w:rPr>
          <w:rFonts w:ascii="Ping LCG Regular" w:hAnsi="Ping LCG Regular" w:cs="Arial"/>
          <w:b/>
          <w:bCs/>
          <w:spacing w:val="-14"/>
          <w:lang w:val="el-GR"/>
        </w:rPr>
        <w:t>Έσοδα</w:t>
      </w:r>
    </w:p>
    <w:p w14:paraId="0F11C404" w14:textId="77777777" w:rsidR="00A249A6" w:rsidRPr="00A249A6" w:rsidRDefault="00A249A6" w:rsidP="00A249A6">
      <w:pPr>
        <w:widowControl w:val="0"/>
        <w:autoSpaceDE w:val="0"/>
        <w:autoSpaceDN w:val="0"/>
        <w:adjustRightInd w:val="0"/>
        <w:ind w:right="20"/>
        <w:jc w:val="both"/>
        <w:rPr>
          <w:rFonts w:ascii="Ping LCG Regular" w:hAnsi="Ping LCG Regular" w:cs="Arial"/>
          <w:spacing w:val="-14"/>
          <w:lang w:val="el-GR"/>
        </w:rPr>
      </w:pPr>
    </w:p>
    <w:p w14:paraId="51630D71" w14:textId="0C0BE869" w:rsidR="006A32C3" w:rsidRDefault="00A249A6" w:rsidP="00A249A6">
      <w:pPr>
        <w:widowControl w:val="0"/>
        <w:autoSpaceDE w:val="0"/>
        <w:autoSpaceDN w:val="0"/>
        <w:adjustRightInd w:val="0"/>
        <w:ind w:right="20"/>
        <w:jc w:val="both"/>
        <w:rPr>
          <w:rFonts w:ascii="Ping LCG Regular" w:hAnsi="Ping LCG Regular" w:cs="Arial"/>
          <w:spacing w:val="-14"/>
          <w:lang w:val="el-GR"/>
        </w:rPr>
      </w:pPr>
      <w:r w:rsidRPr="00A249A6">
        <w:rPr>
          <w:rFonts w:ascii="Ping LCG Regular" w:hAnsi="Ping LCG Regular" w:cs="Arial"/>
          <w:spacing w:val="-14"/>
          <w:lang w:val="el-GR"/>
        </w:rPr>
        <w:t xml:space="preserve">Ο κύκλος εργασιών, </w:t>
      </w:r>
      <w:r w:rsidRPr="00E400D1">
        <w:rPr>
          <w:rFonts w:ascii="Ping LCG Regular" w:hAnsi="Ping LCG Regular" w:cs="Arial"/>
          <w:spacing w:val="-14"/>
          <w:lang w:val="el-GR"/>
        </w:rPr>
        <w:t>μειώθηκε το</w:t>
      </w:r>
      <w:r w:rsidR="00BF7FC6">
        <w:rPr>
          <w:rFonts w:ascii="Ping LCG Regular" w:hAnsi="Ping LCG Regular" w:cs="Arial"/>
          <w:spacing w:val="-14"/>
          <w:lang w:val="el-GR"/>
        </w:rPr>
        <w:t xml:space="preserve"> </w:t>
      </w:r>
      <w:r w:rsidRPr="00E400D1">
        <w:rPr>
          <w:rFonts w:ascii="Ping LCG Regular" w:hAnsi="Ping LCG Regular" w:cs="Arial"/>
          <w:spacing w:val="-14"/>
          <w:lang w:val="el-GR"/>
        </w:rPr>
        <w:t>2020 κατά €</w:t>
      </w:r>
      <w:r w:rsidR="00BF7FC6">
        <w:rPr>
          <w:rFonts w:ascii="Ping LCG Regular" w:hAnsi="Ping LCG Regular" w:cs="Arial"/>
          <w:spacing w:val="-14"/>
          <w:lang w:val="el-GR"/>
        </w:rPr>
        <w:t>2</w:t>
      </w:r>
      <w:r w:rsidR="001065EC">
        <w:rPr>
          <w:rFonts w:ascii="Ping LCG Regular" w:hAnsi="Ping LCG Regular" w:cs="Arial"/>
          <w:spacing w:val="-14"/>
          <w:lang w:val="el-GR"/>
        </w:rPr>
        <w:t>82,3</w:t>
      </w:r>
      <w:r w:rsidRPr="00E400D1">
        <w:rPr>
          <w:rFonts w:ascii="Ping LCG Regular" w:hAnsi="Ping LCG Regular" w:cs="Arial"/>
          <w:spacing w:val="-14"/>
          <w:lang w:val="el-GR"/>
        </w:rPr>
        <w:t xml:space="preserve"> εκατ. ή </w:t>
      </w:r>
      <w:r w:rsidR="00BF7FC6">
        <w:rPr>
          <w:rFonts w:ascii="Ping LCG Regular" w:hAnsi="Ping LCG Regular" w:cs="Arial"/>
          <w:spacing w:val="-14"/>
          <w:lang w:val="el-GR"/>
        </w:rPr>
        <w:t>5</w:t>
      </w:r>
      <w:r w:rsidRPr="00E400D1">
        <w:rPr>
          <w:rFonts w:ascii="Ping LCG Regular" w:hAnsi="Ping LCG Regular" w:cs="Arial"/>
          <w:spacing w:val="-14"/>
          <w:lang w:val="el-GR"/>
        </w:rPr>
        <w:t>,</w:t>
      </w:r>
      <w:r w:rsidR="001065EC">
        <w:rPr>
          <w:rFonts w:ascii="Ping LCG Regular" w:hAnsi="Ping LCG Regular" w:cs="Arial"/>
          <w:spacing w:val="-14"/>
          <w:lang w:val="el-GR"/>
        </w:rPr>
        <w:t>7</w:t>
      </w:r>
      <w:r w:rsidRPr="00E400D1">
        <w:rPr>
          <w:rFonts w:ascii="Ping LCG Regular" w:hAnsi="Ping LCG Regular" w:cs="Arial"/>
          <w:spacing w:val="-14"/>
          <w:lang w:val="el-GR"/>
        </w:rPr>
        <w:t xml:space="preserve">% λόγω του μειωμένου όγκου πωλήσεων </w:t>
      </w:r>
      <w:r w:rsidRPr="00E24BAE">
        <w:rPr>
          <w:rFonts w:ascii="Ping LCG Regular" w:hAnsi="Ping LCG Regular" w:cs="Arial"/>
          <w:spacing w:val="-14"/>
          <w:lang w:val="el-GR"/>
        </w:rPr>
        <w:t xml:space="preserve">κατά </w:t>
      </w:r>
      <w:r w:rsidR="00BF7FC6" w:rsidRPr="00055140">
        <w:rPr>
          <w:rFonts w:ascii="Ping LCG Regular" w:hAnsi="Ping LCG Regular" w:cs="Arial"/>
          <w:spacing w:val="-14"/>
          <w:lang w:val="el-GR"/>
        </w:rPr>
        <w:t>5</w:t>
      </w:r>
      <w:r w:rsidRPr="00055140">
        <w:rPr>
          <w:rFonts w:ascii="Ping LCG Regular" w:hAnsi="Ping LCG Regular" w:cs="Arial"/>
          <w:spacing w:val="-14"/>
          <w:lang w:val="el-GR"/>
        </w:rPr>
        <w:t>.</w:t>
      </w:r>
      <w:r w:rsidR="00E47329" w:rsidRPr="00055140">
        <w:rPr>
          <w:rFonts w:ascii="Ping LCG Regular" w:hAnsi="Ping LCG Regular" w:cs="Arial"/>
          <w:spacing w:val="-14"/>
          <w:lang w:val="el-GR"/>
        </w:rPr>
        <w:t>557</w:t>
      </w:r>
      <w:r w:rsidR="00E47329" w:rsidRPr="00E24BAE">
        <w:rPr>
          <w:rFonts w:ascii="Ping LCG Regular" w:hAnsi="Ping LCG Regular" w:cs="Arial"/>
          <w:spacing w:val="-14"/>
          <w:lang w:val="el-GR"/>
        </w:rPr>
        <w:t xml:space="preserve"> </w:t>
      </w:r>
      <w:r w:rsidRPr="00E24BAE">
        <w:rPr>
          <w:rFonts w:ascii="Ping LCG Regular" w:hAnsi="Ping LCG Regular" w:cs="Arial"/>
          <w:spacing w:val="-14"/>
        </w:rPr>
        <w:t>GWh</w:t>
      </w:r>
      <w:r w:rsidRPr="00E24BAE">
        <w:rPr>
          <w:rFonts w:ascii="Ping LCG Regular" w:hAnsi="Ping LCG Regular" w:cs="Arial"/>
          <w:spacing w:val="-14"/>
          <w:lang w:val="el-GR"/>
        </w:rPr>
        <w:t xml:space="preserve"> ή </w:t>
      </w:r>
      <w:r w:rsidRPr="00055140">
        <w:rPr>
          <w:rFonts w:ascii="Ping LCG Regular" w:hAnsi="Ping LCG Regular" w:cs="Arial"/>
          <w:spacing w:val="-14"/>
          <w:lang w:val="el-GR"/>
        </w:rPr>
        <w:t>14,</w:t>
      </w:r>
      <w:r w:rsidR="00E47329" w:rsidRPr="00055140">
        <w:rPr>
          <w:rFonts w:ascii="Ping LCG Regular" w:hAnsi="Ping LCG Regular" w:cs="Arial"/>
          <w:spacing w:val="-14"/>
          <w:lang w:val="el-GR"/>
        </w:rPr>
        <w:t>5</w:t>
      </w:r>
      <w:r w:rsidRPr="00E24BAE">
        <w:rPr>
          <w:rFonts w:ascii="Ping LCG Regular" w:hAnsi="Ping LCG Regular" w:cs="Arial"/>
          <w:spacing w:val="-14"/>
          <w:lang w:val="el-GR"/>
        </w:rPr>
        <w:t>%,</w:t>
      </w:r>
      <w:r w:rsidRPr="00E400D1">
        <w:rPr>
          <w:rFonts w:ascii="Ping LCG Regular" w:hAnsi="Ping LCG Regular" w:cs="Arial"/>
          <w:spacing w:val="-14"/>
          <w:lang w:val="el-GR"/>
        </w:rPr>
        <w:t xml:space="preserve"> συνεπεία της απώλειας μεριδίου αγοράς </w:t>
      </w:r>
      <w:r w:rsidR="00C2769E">
        <w:rPr>
          <w:rFonts w:ascii="Ping LCG Regular" w:hAnsi="Ping LCG Regular" w:cs="Arial"/>
          <w:spacing w:val="-14"/>
          <w:lang w:val="el-GR"/>
        </w:rPr>
        <w:t>(</w:t>
      </w:r>
      <w:r w:rsidR="00055140">
        <w:rPr>
          <w:rFonts w:ascii="Ping LCG Regular" w:hAnsi="Ping LCG Regular" w:cs="Arial"/>
          <w:spacing w:val="-14"/>
          <w:lang w:val="el-GR"/>
        </w:rPr>
        <w:t>7,1 ποσοστιαίες μονάδες</w:t>
      </w:r>
      <w:r w:rsidR="00C2769E">
        <w:rPr>
          <w:rFonts w:ascii="Ping LCG Regular" w:hAnsi="Ping LCG Regular" w:cs="Arial"/>
          <w:spacing w:val="-14"/>
          <w:lang w:val="el-GR"/>
        </w:rPr>
        <w:t>)</w:t>
      </w:r>
      <w:r w:rsidR="00055140">
        <w:rPr>
          <w:rFonts w:ascii="Ping LCG Regular" w:hAnsi="Ping LCG Regular" w:cs="Arial"/>
          <w:spacing w:val="-14"/>
          <w:lang w:val="el-GR"/>
        </w:rPr>
        <w:t xml:space="preserve"> </w:t>
      </w:r>
      <w:r w:rsidRPr="00E400D1">
        <w:rPr>
          <w:rFonts w:ascii="Ping LCG Regular" w:hAnsi="Ping LCG Regular" w:cs="Arial"/>
          <w:spacing w:val="-14"/>
          <w:lang w:val="el-GR"/>
        </w:rPr>
        <w:t xml:space="preserve">και της πτώσης της </w:t>
      </w:r>
      <w:r w:rsidR="00055140">
        <w:rPr>
          <w:rFonts w:ascii="Ping LCG Regular" w:hAnsi="Ping LCG Regular" w:cs="Arial"/>
          <w:spacing w:val="-14"/>
          <w:lang w:val="el-GR"/>
        </w:rPr>
        <w:t xml:space="preserve">εγχώριας </w:t>
      </w:r>
      <w:r w:rsidRPr="00E400D1">
        <w:rPr>
          <w:rFonts w:ascii="Ping LCG Regular" w:hAnsi="Ping LCG Regular" w:cs="Arial"/>
          <w:spacing w:val="-14"/>
          <w:lang w:val="el-GR"/>
        </w:rPr>
        <w:t>ζήτησης</w:t>
      </w:r>
      <w:r w:rsidR="00055140">
        <w:rPr>
          <w:rFonts w:ascii="Ping LCG Regular" w:hAnsi="Ping LCG Regular" w:cs="Arial"/>
          <w:spacing w:val="-14"/>
          <w:lang w:val="el-GR"/>
        </w:rPr>
        <w:t xml:space="preserve"> </w:t>
      </w:r>
      <w:r w:rsidR="00C2769E">
        <w:rPr>
          <w:rFonts w:ascii="Ping LCG Regular" w:hAnsi="Ping LCG Regular" w:cs="Arial"/>
          <w:spacing w:val="-14"/>
          <w:lang w:val="el-GR"/>
        </w:rPr>
        <w:t>(</w:t>
      </w:r>
      <w:r w:rsidR="00055140">
        <w:rPr>
          <w:rFonts w:ascii="Ping LCG Regular" w:hAnsi="Ping LCG Regular" w:cs="Arial"/>
          <w:spacing w:val="-14"/>
          <w:lang w:val="el-GR"/>
        </w:rPr>
        <w:t>κατά 6,7%</w:t>
      </w:r>
      <w:r w:rsidR="00C2769E">
        <w:rPr>
          <w:rFonts w:ascii="Ping LCG Regular" w:hAnsi="Ping LCG Regular" w:cs="Arial"/>
          <w:spacing w:val="-14"/>
          <w:lang w:val="el-GR"/>
        </w:rPr>
        <w:t>).</w:t>
      </w:r>
      <w:r w:rsidRPr="00A249A6">
        <w:rPr>
          <w:rFonts w:ascii="Ping LCG Regular" w:hAnsi="Ping LCG Regular" w:cs="Arial"/>
          <w:spacing w:val="-14"/>
          <w:lang w:val="el-GR"/>
        </w:rPr>
        <w:t xml:space="preserve"> </w:t>
      </w:r>
    </w:p>
    <w:p w14:paraId="6EDE8FF2" w14:textId="0F2EE1F7" w:rsidR="00FF2BB9" w:rsidRDefault="00FF2BB9" w:rsidP="00A249A6">
      <w:pPr>
        <w:widowControl w:val="0"/>
        <w:autoSpaceDE w:val="0"/>
        <w:autoSpaceDN w:val="0"/>
        <w:adjustRightInd w:val="0"/>
        <w:ind w:right="20"/>
        <w:jc w:val="both"/>
        <w:rPr>
          <w:rFonts w:ascii="Ping LCG Regular" w:hAnsi="Ping LCG Regular" w:cs="Arial"/>
          <w:spacing w:val="-14"/>
          <w:lang w:val="el-GR"/>
        </w:rPr>
      </w:pPr>
      <w:r w:rsidRPr="0053675B">
        <w:rPr>
          <w:rFonts w:ascii="Ping LCG Regular" w:hAnsi="Ping LCG Regular" w:cs="Arial"/>
          <w:spacing w:val="-14"/>
          <w:lang w:val="el-GR"/>
        </w:rPr>
        <w:t xml:space="preserve">Αντίθετα, η απώλεια μεριδίου αγοράς αντισταθμίστηκε εν μέρει από την θετική επίπτωση λόγω των αυξημένων εσόδων από </w:t>
      </w:r>
      <w:r w:rsidR="0053675B" w:rsidRPr="00943616">
        <w:rPr>
          <w:rFonts w:ascii="Ping LCG Regular" w:hAnsi="Ping LCG Regular" w:cs="Arial"/>
          <w:spacing w:val="-14"/>
          <w:lang w:val="el-GR"/>
        </w:rPr>
        <w:t xml:space="preserve">Τέλη </w:t>
      </w:r>
      <w:r w:rsidR="00065351">
        <w:rPr>
          <w:rFonts w:ascii="Ping LCG Regular" w:hAnsi="Ping LCG Regular" w:cs="Arial"/>
          <w:spacing w:val="-14"/>
          <w:lang w:val="el-GR"/>
        </w:rPr>
        <w:t>Χ</w:t>
      </w:r>
      <w:r w:rsidR="0053675B" w:rsidRPr="00943616">
        <w:rPr>
          <w:rFonts w:ascii="Ping LCG Regular" w:hAnsi="Ping LCG Regular" w:cs="Arial"/>
          <w:spacing w:val="-14"/>
          <w:lang w:val="el-GR"/>
        </w:rPr>
        <w:t>ρήσης Δικτύου Διανομής και ΥΚΩ τα οποία εισπράττονται από τρίτους προμηθευτές.</w:t>
      </w:r>
    </w:p>
    <w:p w14:paraId="149F87FE" w14:textId="4730C4C9" w:rsidR="00F7256B" w:rsidRDefault="00F7256B" w:rsidP="00A249A6">
      <w:pPr>
        <w:widowControl w:val="0"/>
        <w:autoSpaceDE w:val="0"/>
        <w:autoSpaceDN w:val="0"/>
        <w:adjustRightInd w:val="0"/>
        <w:ind w:right="20"/>
        <w:jc w:val="both"/>
        <w:rPr>
          <w:rFonts w:ascii="Ping LCG Regular" w:hAnsi="Ping LCG Regular" w:cs="Arial"/>
          <w:spacing w:val="-14"/>
          <w:lang w:val="el-GR"/>
        </w:rPr>
      </w:pPr>
    </w:p>
    <w:bookmarkEnd w:id="3"/>
    <w:p w14:paraId="3E4CD72E" w14:textId="77777777" w:rsidR="00A249A6" w:rsidRPr="00A249A6" w:rsidRDefault="00A249A6" w:rsidP="00A249A6">
      <w:pPr>
        <w:widowControl w:val="0"/>
        <w:autoSpaceDE w:val="0"/>
        <w:autoSpaceDN w:val="0"/>
        <w:adjustRightInd w:val="0"/>
        <w:ind w:right="18"/>
        <w:rPr>
          <w:rFonts w:ascii="Ping LCG Regular" w:hAnsi="Ping LCG Regular" w:cs="Arial"/>
          <w:b/>
          <w:spacing w:val="-14"/>
          <w:sz w:val="26"/>
          <w:szCs w:val="26"/>
          <w:highlight w:val="yellow"/>
          <w:u w:val="single"/>
          <w:lang w:val="el-GR"/>
        </w:rPr>
      </w:pPr>
    </w:p>
    <w:p w14:paraId="24E7D9DA" w14:textId="77777777" w:rsidR="00A249A6" w:rsidRPr="00A469D4" w:rsidRDefault="00A249A6" w:rsidP="00A249A6">
      <w:pPr>
        <w:widowControl w:val="0"/>
        <w:autoSpaceDE w:val="0"/>
        <w:autoSpaceDN w:val="0"/>
        <w:adjustRightInd w:val="0"/>
        <w:ind w:right="20"/>
        <w:jc w:val="both"/>
        <w:rPr>
          <w:rFonts w:ascii="Ping LCG Regular" w:hAnsi="Ping LCG Regular" w:cs="Arial"/>
          <w:b/>
          <w:spacing w:val="-14"/>
          <w:szCs w:val="26"/>
          <w:lang w:val="el-GR"/>
        </w:rPr>
      </w:pPr>
      <w:r w:rsidRPr="00A469D4">
        <w:rPr>
          <w:rFonts w:ascii="Ping LCG Regular" w:hAnsi="Ping LCG Regular" w:cs="Arial"/>
          <w:b/>
          <w:spacing w:val="-14"/>
          <w:szCs w:val="26"/>
          <w:lang w:val="el-GR"/>
        </w:rPr>
        <w:t xml:space="preserve">Λειτουργικές Δαπάνες </w:t>
      </w:r>
    </w:p>
    <w:p w14:paraId="6D9D4760" w14:textId="77777777" w:rsidR="00A249A6" w:rsidRPr="00A249A6" w:rsidRDefault="00A249A6" w:rsidP="00A249A6">
      <w:pPr>
        <w:widowControl w:val="0"/>
        <w:autoSpaceDE w:val="0"/>
        <w:autoSpaceDN w:val="0"/>
        <w:adjustRightInd w:val="0"/>
        <w:ind w:right="20"/>
        <w:jc w:val="both"/>
        <w:rPr>
          <w:rFonts w:ascii="Ping LCG Regular" w:hAnsi="Ping LCG Regular" w:cs="Arial"/>
          <w:spacing w:val="-14"/>
          <w:lang w:val="el-GR"/>
        </w:rPr>
      </w:pPr>
    </w:p>
    <w:p w14:paraId="45C81D25" w14:textId="4D9B13B1" w:rsidR="00A249A6" w:rsidRPr="00A249A6" w:rsidRDefault="00A249A6" w:rsidP="002F17FD">
      <w:pPr>
        <w:widowControl w:val="0"/>
        <w:autoSpaceDE w:val="0"/>
        <w:autoSpaceDN w:val="0"/>
        <w:adjustRightInd w:val="0"/>
        <w:ind w:right="21"/>
        <w:jc w:val="both"/>
        <w:rPr>
          <w:rFonts w:ascii="Ping LCG Regular" w:hAnsi="Ping LCG Regular" w:cs="Arial"/>
          <w:i/>
          <w:spacing w:val="-14"/>
          <w:lang w:val="el-GR"/>
        </w:rPr>
      </w:pPr>
      <w:r w:rsidRPr="00A249A6">
        <w:rPr>
          <w:rFonts w:ascii="Ping LCG Regular" w:hAnsi="Ping LCG Regular" w:cs="Arial"/>
          <w:spacing w:val="-14"/>
          <w:lang w:val="el-GR"/>
        </w:rPr>
        <w:t>Οι προ αποσβέσεων λειτουργικές δαπάνες το 2020, μειώθηκαν κατά €</w:t>
      </w:r>
      <w:r w:rsidR="00065351">
        <w:rPr>
          <w:rFonts w:ascii="Ping LCG Regular" w:hAnsi="Ping LCG Regular" w:cs="Arial"/>
          <w:spacing w:val="-14"/>
          <w:lang w:val="el-GR"/>
        </w:rPr>
        <w:t>8</w:t>
      </w:r>
      <w:r w:rsidR="00BA74D7">
        <w:rPr>
          <w:rFonts w:ascii="Ping LCG Regular" w:hAnsi="Ping LCG Regular" w:cs="Arial"/>
          <w:spacing w:val="-14"/>
          <w:lang w:val="el-GR"/>
        </w:rPr>
        <w:t>34,5</w:t>
      </w:r>
      <w:r w:rsidRPr="00A249A6">
        <w:rPr>
          <w:rFonts w:ascii="Ping LCG Regular" w:hAnsi="Ping LCG Regular" w:cs="Arial"/>
          <w:spacing w:val="-14"/>
          <w:lang w:val="el-GR"/>
        </w:rPr>
        <w:t xml:space="preserve"> εκατ. (ή κατά </w:t>
      </w:r>
      <w:r w:rsidR="003671B6">
        <w:rPr>
          <w:rFonts w:ascii="Ping LCG Regular" w:hAnsi="Ping LCG Regular" w:cs="Arial"/>
          <w:spacing w:val="-14"/>
          <w:lang w:val="el-GR"/>
        </w:rPr>
        <w:t>1</w:t>
      </w:r>
      <w:r w:rsidR="00065351">
        <w:rPr>
          <w:rFonts w:ascii="Ping LCG Regular" w:hAnsi="Ping LCG Regular" w:cs="Arial"/>
          <w:spacing w:val="-14"/>
          <w:lang w:val="el-GR"/>
        </w:rPr>
        <w:t>8</w:t>
      </w:r>
      <w:r w:rsidRPr="00A249A6">
        <w:rPr>
          <w:rFonts w:ascii="Ping LCG Regular" w:hAnsi="Ping LCG Regular" w:cs="Arial"/>
          <w:spacing w:val="-14"/>
          <w:lang w:val="el-GR"/>
        </w:rPr>
        <w:t>,</w:t>
      </w:r>
      <w:r w:rsidR="00BA74D7">
        <w:rPr>
          <w:rFonts w:ascii="Ping LCG Regular" w:hAnsi="Ping LCG Regular" w:cs="Arial"/>
          <w:spacing w:val="-14"/>
          <w:lang w:val="el-GR"/>
        </w:rPr>
        <w:t>1</w:t>
      </w:r>
      <w:r w:rsidRPr="00A249A6">
        <w:rPr>
          <w:rFonts w:ascii="Ping LCG Regular" w:hAnsi="Ping LCG Regular" w:cs="Arial"/>
          <w:spacing w:val="-14"/>
          <w:lang w:val="el-GR"/>
        </w:rPr>
        <w:t>%) σε €</w:t>
      </w:r>
      <w:r w:rsidR="007B2E24" w:rsidRPr="00AB5F3E">
        <w:rPr>
          <w:rFonts w:ascii="Ping LCG Regular" w:hAnsi="Ping LCG Regular" w:cs="Arial"/>
          <w:spacing w:val="-14"/>
          <w:lang w:val="el-GR"/>
        </w:rPr>
        <w:t>3</w:t>
      </w:r>
      <w:r w:rsidRPr="00A249A6">
        <w:rPr>
          <w:rFonts w:ascii="Ping LCG Regular" w:hAnsi="Ping LCG Regular" w:cs="Arial"/>
          <w:spacing w:val="-14"/>
          <w:lang w:val="el-GR"/>
        </w:rPr>
        <w:t>.</w:t>
      </w:r>
      <w:r w:rsidR="00065351">
        <w:rPr>
          <w:rFonts w:ascii="Ping LCG Regular" w:hAnsi="Ping LCG Regular" w:cs="Arial"/>
          <w:spacing w:val="-14"/>
          <w:lang w:val="el-GR"/>
        </w:rPr>
        <w:t>7</w:t>
      </w:r>
      <w:r w:rsidR="004051DB">
        <w:rPr>
          <w:rFonts w:ascii="Ping LCG Regular" w:hAnsi="Ping LCG Regular" w:cs="Arial"/>
          <w:spacing w:val="-14"/>
          <w:lang w:val="el-GR"/>
        </w:rPr>
        <w:t>6</w:t>
      </w:r>
      <w:r w:rsidR="00BA74D7">
        <w:rPr>
          <w:rFonts w:ascii="Ping LCG Regular" w:hAnsi="Ping LCG Regular" w:cs="Arial"/>
          <w:spacing w:val="-14"/>
          <w:lang w:val="el-GR"/>
        </w:rPr>
        <w:t>3</w:t>
      </w:r>
      <w:r w:rsidR="00065351">
        <w:rPr>
          <w:rFonts w:ascii="Ping LCG Regular" w:hAnsi="Ping LCG Regular" w:cs="Arial"/>
          <w:spacing w:val="-14"/>
          <w:lang w:val="el-GR"/>
        </w:rPr>
        <w:t>,</w:t>
      </w:r>
      <w:r w:rsidR="00BA74D7">
        <w:rPr>
          <w:rFonts w:ascii="Ping LCG Regular" w:hAnsi="Ping LCG Regular" w:cs="Arial"/>
          <w:spacing w:val="-14"/>
          <w:lang w:val="el-GR"/>
        </w:rPr>
        <w:t>5</w:t>
      </w:r>
      <w:r w:rsidR="00065351">
        <w:rPr>
          <w:rFonts w:ascii="Ping LCG Regular" w:hAnsi="Ping LCG Regular" w:cs="Arial"/>
          <w:spacing w:val="-14"/>
          <w:lang w:val="el-GR"/>
        </w:rPr>
        <w:t xml:space="preserve"> </w:t>
      </w:r>
      <w:r w:rsidRPr="00A249A6">
        <w:rPr>
          <w:rFonts w:ascii="Ping LCG Regular" w:hAnsi="Ping LCG Regular" w:cs="Arial"/>
          <w:spacing w:val="-14"/>
          <w:lang w:val="el-GR"/>
        </w:rPr>
        <w:t>εκατ. έναντι €</w:t>
      </w:r>
      <w:r w:rsidR="007B2E24" w:rsidRPr="00AB5F3E">
        <w:rPr>
          <w:rFonts w:ascii="Ping LCG Regular" w:hAnsi="Ping LCG Regular" w:cs="Arial"/>
          <w:spacing w:val="-14"/>
          <w:lang w:val="el-GR"/>
        </w:rPr>
        <w:t>4</w:t>
      </w:r>
      <w:r w:rsidRPr="00A249A6">
        <w:rPr>
          <w:rFonts w:ascii="Ping LCG Regular" w:hAnsi="Ping LCG Regular" w:cs="Arial"/>
          <w:spacing w:val="-14"/>
          <w:lang w:val="el-GR"/>
        </w:rPr>
        <w:t>.</w:t>
      </w:r>
      <w:r w:rsidR="00065351">
        <w:rPr>
          <w:rFonts w:ascii="Ping LCG Regular" w:hAnsi="Ping LCG Regular" w:cs="Arial"/>
          <w:spacing w:val="-14"/>
          <w:lang w:val="el-GR"/>
        </w:rPr>
        <w:t>598</w:t>
      </w:r>
      <w:r w:rsidRPr="00A249A6">
        <w:rPr>
          <w:rFonts w:ascii="Ping LCG Regular" w:hAnsi="Ping LCG Regular" w:cs="Arial"/>
          <w:spacing w:val="-14"/>
          <w:lang w:val="el-GR"/>
        </w:rPr>
        <w:t xml:space="preserve"> </w:t>
      </w:r>
      <w:r w:rsidRPr="00555B95">
        <w:rPr>
          <w:rFonts w:ascii="Ping LCG Regular" w:hAnsi="Ping LCG Regular" w:cs="Arial"/>
          <w:spacing w:val="-14"/>
          <w:lang w:val="el-GR"/>
        </w:rPr>
        <w:t xml:space="preserve">εκατ. το  2019, ως αποτέλεσμα των μειωμένων δαπανών για καύσιμα, αγορές ενέργειας και δικαιώματα εκπομπών </w:t>
      </w:r>
      <w:r w:rsidRPr="00555B95">
        <w:rPr>
          <w:rFonts w:ascii="Ping LCG Regular" w:hAnsi="Ping LCG Regular" w:cs="Arial"/>
          <w:spacing w:val="-14"/>
        </w:rPr>
        <w:t>CO</w:t>
      </w:r>
      <w:r w:rsidRPr="00555B95">
        <w:rPr>
          <w:rFonts w:ascii="Ping LCG Regular" w:hAnsi="Ping LCG Regular" w:cs="Arial"/>
          <w:spacing w:val="-14"/>
          <w:vertAlign w:val="subscript"/>
          <w:lang w:val="el-GR"/>
        </w:rPr>
        <w:t>2</w:t>
      </w:r>
      <w:r w:rsidR="002D0421">
        <w:rPr>
          <w:rFonts w:ascii="Ping LCG Regular" w:hAnsi="Ping LCG Regular" w:cs="Arial"/>
          <w:spacing w:val="-14"/>
          <w:lang w:val="el-GR"/>
        </w:rPr>
        <w:t>,</w:t>
      </w:r>
      <w:r w:rsidR="00C8583E">
        <w:rPr>
          <w:rFonts w:ascii="Ping LCG Regular" w:hAnsi="Ping LCG Regular" w:cs="Arial"/>
          <w:spacing w:val="-14"/>
          <w:lang w:val="el-GR"/>
        </w:rPr>
        <w:t xml:space="preserve"> </w:t>
      </w:r>
      <w:r w:rsidR="00FE04E9" w:rsidRPr="00FD1125">
        <w:rPr>
          <w:rFonts w:ascii="Ping LCG Regular" w:hAnsi="Ping LCG Regular" w:cs="Arial"/>
          <w:spacing w:val="-14"/>
          <w:lang w:val="el-GR"/>
        </w:rPr>
        <w:t xml:space="preserve">της </w:t>
      </w:r>
      <w:r w:rsidR="002D0421">
        <w:rPr>
          <w:rFonts w:ascii="Ping LCG Regular" w:hAnsi="Ping LCG Regular" w:cs="Arial"/>
          <w:spacing w:val="-14"/>
          <w:lang w:val="el-GR"/>
        </w:rPr>
        <w:t xml:space="preserve">απουσίας της επιβάρυνσης από </w:t>
      </w:r>
      <w:r w:rsidR="000436B4">
        <w:rPr>
          <w:rFonts w:ascii="Ping LCG Regular" w:hAnsi="Ping LCG Regular" w:cs="Arial"/>
          <w:spacing w:val="-14"/>
          <w:lang w:val="el-GR"/>
        </w:rPr>
        <w:t xml:space="preserve">τις </w:t>
      </w:r>
      <w:r w:rsidR="005F3323">
        <w:rPr>
          <w:rFonts w:ascii="Ping LCG Regular" w:hAnsi="Ping LCG Regular" w:cs="Arial"/>
          <w:spacing w:val="-14"/>
          <w:lang w:val="el-GR"/>
        </w:rPr>
        <w:t>δημοπρασ</w:t>
      </w:r>
      <w:r w:rsidR="000436B4">
        <w:rPr>
          <w:rFonts w:ascii="Ping LCG Regular" w:hAnsi="Ping LCG Regular" w:cs="Arial"/>
          <w:spacing w:val="-14"/>
          <w:lang w:val="el-GR"/>
        </w:rPr>
        <w:t>ίες</w:t>
      </w:r>
      <w:r w:rsidR="005F3323" w:rsidRPr="00FD1125">
        <w:rPr>
          <w:rFonts w:ascii="Ping LCG Regular" w:hAnsi="Ping LCG Regular" w:cs="Arial"/>
          <w:spacing w:val="-14"/>
          <w:lang w:val="el-GR"/>
        </w:rPr>
        <w:t xml:space="preserve"> </w:t>
      </w:r>
      <w:r w:rsidR="00FE04E9" w:rsidRPr="00FD1125">
        <w:rPr>
          <w:rFonts w:ascii="Ping LCG Regular" w:hAnsi="Ping LCG Regular" w:cs="Arial"/>
          <w:spacing w:val="-14"/>
          <w:lang w:val="el-GR"/>
        </w:rPr>
        <w:t>ΝΟΜΕ</w:t>
      </w:r>
      <w:r w:rsidR="000436B4">
        <w:rPr>
          <w:rFonts w:ascii="Ping LCG Regular" w:hAnsi="Ping LCG Regular" w:cs="Arial"/>
          <w:spacing w:val="-14"/>
          <w:lang w:val="el-GR"/>
        </w:rPr>
        <w:t xml:space="preserve"> λόγω της κατάργησής τους</w:t>
      </w:r>
      <w:r w:rsidR="002D0421">
        <w:rPr>
          <w:rFonts w:ascii="Ping LCG Regular" w:hAnsi="Ping LCG Regular" w:cs="Arial"/>
          <w:spacing w:val="-14"/>
          <w:lang w:val="el-GR"/>
        </w:rPr>
        <w:t>,</w:t>
      </w:r>
      <w:r w:rsidR="00C8583E">
        <w:rPr>
          <w:rFonts w:ascii="Ping LCG Regular" w:hAnsi="Ping LCG Regular" w:cs="Arial"/>
          <w:spacing w:val="-14"/>
          <w:lang w:val="el-GR"/>
        </w:rPr>
        <w:t xml:space="preserve"> </w:t>
      </w:r>
      <w:r w:rsidR="002D0421">
        <w:rPr>
          <w:rFonts w:ascii="Ping LCG Regular" w:hAnsi="Ping LCG Regular" w:cs="Arial"/>
          <w:spacing w:val="-14"/>
          <w:lang w:val="el-GR"/>
        </w:rPr>
        <w:t xml:space="preserve">καθώς και </w:t>
      </w:r>
      <w:r w:rsidR="000436B4">
        <w:rPr>
          <w:rFonts w:ascii="Ping LCG Regular" w:hAnsi="Ping LCG Regular" w:cs="Arial"/>
          <w:spacing w:val="-14"/>
          <w:lang w:val="el-GR"/>
        </w:rPr>
        <w:t xml:space="preserve">λόγω </w:t>
      </w:r>
      <w:r w:rsidR="002D0421">
        <w:rPr>
          <w:rFonts w:ascii="Ping LCG Regular" w:hAnsi="Ping LCG Regular" w:cs="Arial"/>
          <w:spacing w:val="-14"/>
          <w:lang w:val="el-GR"/>
        </w:rPr>
        <w:t xml:space="preserve">της μείωσης του κόστους μισθοδοσίας. </w:t>
      </w:r>
    </w:p>
    <w:p w14:paraId="06795E0F" w14:textId="458FC487" w:rsidR="00A249A6" w:rsidRDefault="001B24AD" w:rsidP="00A249A6">
      <w:pPr>
        <w:widowControl w:val="0"/>
        <w:autoSpaceDE w:val="0"/>
        <w:autoSpaceDN w:val="0"/>
        <w:adjustRightInd w:val="0"/>
        <w:ind w:right="21"/>
        <w:jc w:val="both"/>
        <w:rPr>
          <w:rFonts w:ascii="Ping LCG Regular" w:hAnsi="Ping LCG Regular" w:cs="Arial"/>
          <w:spacing w:val="-14"/>
          <w:lang w:val="el-GR"/>
        </w:rPr>
      </w:pPr>
      <w:r w:rsidRPr="001B24AD">
        <w:rPr>
          <w:rFonts w:ascii="Ping LCG Regular" w:hAnsi="Ping LCG Regular" w:cs="Arial"/>
          <w:spacing w:val="-14"/>
          <w:lang w:val="el-GR"/>
        </w:rPr>
        <w:t xml:space="preserve">Στις προ αποσβέσεων λειτουργικές δαπάνες δεν έχουν συνυπολογισθεί </w:t>
      </w:r>
      <w:r w:rsidR="000E2125">
        <w:rPr>
          <w:rFonts w:ascii="Ping LCG Regular" w:hAnsi="Ping LCG Regular" w:cs="Arial"/>
          <w:spacing w:val="-14"/>
          <w:lang w:val="el-GR"/>
        </w:rPr>
        <w:t>οι εφάπαξ επιπτώσεις</w:t>
      </w:r>
      <w:r w:rsidRPr="001B24AD">
        <w:rPr>
          <w:rFonts w:ascii="Ping LCG Regular" w:hAnsi="Ping LCG Regular" w:cs="Arial"/>
          <w:spacing w:val="-14"/>
          <w:lang w:val="el-GR"/>
        </w:rPr>
        <w:t xml:space="preserve"> </w:t>
      </w:r>
      <w:r w:rsidR="000E2125">
        <w:rPr>
          <w:rFonts w:ascii="Ping LCG Regular" w:hAnsi="Ping LCG Regular" w:cs="Arial"/>
          <w:spacing w:val="-14"/>
          <w:lang w:val="el-GR"/>
        </w:rPr>
        <w:t xml:space="preserve">από την </w:t>
      </w:r>
      <w:r w:rsidR="005F3323">
        <w:rPr>
          <w:rFonts w:ascii="Ping LCG Regular" w:hAnsi="Ping LCG Regular" w:cs="Arial"/>
          <w:spacing w:val="-14"/>
          <w:lang w:val="el-GR"/>
        </w:rPr>
        <w:t xml:space="preserve"> </w:t>
      </w:r>
      <w:r w:rsidR="005F3323" w:rsidRPr="001B24AD">
        <w:rPr>
          <w:rFonts w:ascii="Ping LCG Regular" w:hAnsi="Ping LCG Regular" w:cs="Arial"/>
          <w:spacing w:val="-14"/>
          <w:lang w:val="el-GR"/>
        </w:rPr>
        <w:t xml:space="preserve">πρόβλεψη αποζημιώσεων προσωπικού και </w:t>
      </w:r>
      <w:r w:rsidR="005F3323">
        <w:rPr>
          <w:rFonts w:ascii="Ping LCG Regular" w:hAnsi="Ping LCG Regular" w:cs="Arial"/>
          <w:spacing w:val="-14"/>
          <w:lang w:val="el-GR"/>
        </w:rPr>
        <w:t xml:space="preserve">τις </w:t>
      </w:r>
      <w:r w:rsidR="005F3323" w:rsidRPr="001B24AD">
        <w:rPr>
          <w:rFonts w:ascii="Ping LCG Regular" w:hAnsi="Ping LCG Regular" w:cs="Arial"/>
          <w:spacing w:val="-14"/>
          <w:lang w:val="el-GR"/>
        </w:rPr>
        <w:t>παροχές μετά την συνταξιοδότηση</w:t>
      </w:r>
      <w:r w:rsidR="005F3323">
        <w:rPr>
          <w:rFonts w:ascii="Ping LCG Regular" w:hAnsi="Ping LCG Regular" w:cs="Arial"/>
          <w:spacing w:val="-14"/>
          <w:lang w:val="el-GR"/>
        </w:rPr>
        <w:t xml:space="preserve">, </w:t>
      </w:r>
      <w:r w:rsidR="000D0AB6">
        <w:rPr>
          <w:rFonts w:ascii="Ping LCG Regular" w:hAnsi="Ping LCG Regular" w:cs="Arial"/>
          <w:spacing w:val="-14"/>
          <w:lang w:val="el-GR"/>
        </w:rPr>
        <w:t>την</w:t>
      </w:r>
      <w:r w:rsidR="005F3323">
        <w:rPr>
          <w:rFonts w:ascii="Ping LCG Regular" w:hAnsi="Ping LCG Regular" w:cs="Arial"/>
          <w:spacing w:val="-14"/>
          <w:lang w:val="el-GR"/>
        </w:rPr>
        <w:t xml:space="preserve"> επιστροφή από το πλεόνασμα του ΕΛΑΠΕ</w:t>
      </w:r>
      <w:r w:rsidR="004051DB">
        <w:rPr>
          <w:rFonts w:ascii="Ping LCG Regular" w:hAnsi="Ping LCG Regular" w:cs="Arial"/>
          <w:spacing w:val="-14"/>
          <w:lang w:val="el-GR"/>
        </w:rPr>
        <w:t xml:space="preserve">, </w:t>
      </w:r>
      <w:r w:rsidR="00AF2E22">
        <w:rPr>
          <w:rFonts w:ascii="Ping LCG Regular" w:hAnsi="Ping LCG Regular" w:cs="Arial"/>
          <w:spacing w:val="-14"/>
          <w:lang w:val="el-GR"/>
        </w:rPr>
        <w:t xml:space="preserve">τις έκτακτες </w:t>
      </w:r>
      <w:r w:rsidR="004051DB" w:rsidRPr="004051DB">
        <w:rPr>
          <w:rFonts w:ascii="Ping LCG Regular" w:hAnsi="Ping LCG Regular" w:cs="Arial"/>
          <w:spacing w:val="-14"/>
          <w:lang w:val="el-GR"/>
        </w:rPr>
        <w:t>χρ</w:t>
      </w:r>
      <w:r w:rsidR="00AF2E22">
        <w:rPr>
          <w:rFonts w:ascii="Ping LCG Regular" w:hAnsi="Ping LCG Regular" w:cs="Arial"/>
          <w:spacing w:val="-14"/>
          <w:lang w:val="el-GR"/>
        </w:rPr>
        <w:t xml:space="preserve">εώσεις </w:t>
      </w:r>
      <w:r w:rsidR="004051DB" w:rsidRPr="004051DB">
        <w:rPr>
          <w:rFonts w:ascii="Ping LCG Regular" w:hAnsi="Ping LCG Regular" w:cs="Arial"/>
          <w:spacing w:val="-14"/>
          <w:lang w:val="el-GR"/>
        </w:rPr>
        <w:t>για τον ΕΛΑΠΕ</w:t>
      </w:r>
      <w:r w:rsidR="005F3323">
        <w:rPr>
          <w:rFonts w:ascii="Ping LCG Regular" w:hAnsi="Ping LCG Regular" w:cs="Arial"/>
          <w:spacing w:val="-14"/>
          <w:lang w:val="el-GR"/>
        </w:rPr>
        <w:t xml:space="preserve">, </w:t>
      </w:r>
      <w:r w:rsidR="000057C4">
        <w:rPr>
          <w:rFonts w:ascii="Ping LCG Regular" w:hAnsi="Ping LCG Regular" w:cs="Arial"/>
          <w:spacing w:val="-14"/>
          <w:lang w:val="el-GR"/>
        </w:rPr>
        <w:t>το πιστωτικό τιμολόγιο για την προμήθεια</w:t>
      </w:r>
      <w:r w:rsidRPr="001B24AD">
        <w:rPr>
          <w:rFonts w:ascii="Ping LCG Regular" w:hAnsi="Ping LCG Regular" w:cs="Arial"/>
          <w:spacing w:val="-14"/>
          <w:lang w:val="el-GR"/>
        </w:rPr>
        <w:t xml:space="preserve"> φυσικού αερίου παρελθόντων ετών από την ΔΕΠΑ, καθώς και </w:t>
      </w:r>
      <w:r w:rsidR="000E2125">
        <w:rPr>
          <w:rFonts w:ascii="Ping LCG Regular" w:hAnsi="Ping LCG Regular" w:cs="Arial"/>
          <w:spacing w:val="-14"/>
          <w:lang w:val="el-GR"/>
        </w:rPr>
        <w:t>από</w:t>
      </w:r>
      <w:r w:rsidRPr="001B24AD">
        <w:rPr>
          <w:rFonts w:ascii="Ping LCG Regular" w:hAnsi="Ping LCG Regular" w:cs="Arial"/>
          <w:spacing w:val="-14"/>
          <w:lang w:val="el-GR"/>
        </w:rPr>
        <w:t xml:space="preserve"> την εκκαθάριση ΥΚΩ </w:t>
      </w:r>
      <w:r w:rsidR="000057C4">
        <w:rPr>
          <w:rFonts w:ascii="Ping LCG Regular" w:hAnsi="Ping LCG Regular" w:cs="Arial"/>
          <w:spacing w:val="-14"/>
          <w:lang w:val="el-GR"/>
        </w:rPr>
        <w:t>προηγουμένων</w:t>
      </w:r>
      <w:r w:rsidR="000057C4" w:rsidRPr="001B24AD">
        <w:rPr>
          <w:rFonts w:ascii="Ping LCG Regular" w:hAnsi="Ping LCG Regular" w:cs="Arial"/>
          <w:spacing w:val="-14"/>
          <w:lang w:val="el-GR"/>
        </w:rPr>
        <w:t xml:space="preserve"> </w:t>
      </w:r>
      <w:r w:rsidRPr="001B24AD">
        <w:rPr>
          <w:rFonts w:ascii="Ping LCG Regular" w:hAnsi="Ping LCG Regular" w:cs="Arial"/>
          <w:spacing w:val="-14"/>
          <w:lang w:val="el-GR"/>
        </w:rPr>
        <w:t>ετών.</w:t>
      </w:r>
    </w:p>
    <w:p w14:paraId="32E1BB31" w14:textId="77777777" w:rsidR="00BC0760" w:rsidRPr="00A249A6" w:rsidRDefault="00BC0760" w:rsidP="00A249A6">
      <w:pPr>
        <w:widowControl w:val="0"/>
        <w:autoSpaceDE w:val="0"/>
        <w:autoSpaceDN w:val="0"/>
        <w:adjustRightInd w:val="0"/>
        <w:ind w:right="21"/>
        <w:jc w:val="both"/>
        <w:rPr>
          <w:rFonts w:ascii="Ping LCG Regular" w:hAnsi="Ping LCG Regular" w:cs="Arial"/>
          <w:spacing w:val="-14"/>
          <w:lang w:val="el-GR"/>
        </w:rPr>
      </w:pPr>
    </w:p>
    <w:p w14:paraId="791A27D5" w14:textId="19C2B74D" w:rsidR="00A249A6" w:rsidRPr="00F7256B" w:rsidRDefault="00A249A6" w:rsidP="00A249A6">
      <w:pPr>
        <w:widowControl w:val="0"/>
        <w:autoSpaceDE w:val="0"/>
        <w:autoSpaceDN w:val="0"/>
        <w:adjustRightInd w:val="0"/>
        <w:ind w:left="1" w:right="18"/>
        <w:rPr>
          <w:rFonts w:ascii="Ping LCG Regular" w:hAnsi="Ping LCG Regular" w:cs="Arial"/>
          <w:bCs/>
          <w:spacing w:val="-14"/>
          <w:szCs w:val="26"/>
          <w:u w:val="single"/>
          <w:lang w:val="el-GR"/>
        </w:rPr>
      </w:pPr>
      <w:bookmarkStart w:id="4" w:name="_Hlk69239273"/>
      <w:r w:rsidRPr="00F7256B">
        <w:rPr>
          <w:rFonts w:ascii="Ping LCG Regular" w:hAnsi="Ping LCG Regular" w:cs="Arial"/>
          <w:bCs/>
          <w:spacing w:val="-14"/>
          <w:szCs w:val="26"/>
          <w:u w:val="single"/>
          <w:lang w:val="el-GR"/>
        </w:rPr>
        <w:t xml:space="preserve">Λειτουργικά μεγέθη (παραγωγή - εισαγωγές - εξαγωγές)  </w:t>
      </w:r>
    </w:p>
    <w:p w14:paraId="7B771408" w14:textId="77777777" w:rsidR="00A249A6" w:rsidRPr="00A249A6" w:rsidRDefault="00A249A6" w:rsidP="00A249A6">
      <w:pPr>
        <w:autoSpaceDE w:val="0"/>
        <w:autoSpaceDN w:val="0"/>
        <w:adjustRightInd w:val="0"/>
        <w:jc w:val="both"/>
        <w:rPr>
          <w:rFonts w:ascii="Ping LCG Regular" w:hAnsi="Ping LCG Regular" w:cs="Arial"/>
          <w:spacing w:val="-14"/>
          <w:lang w:val="el-GR"/>
        </w:rPr>
      </w:pPr>
    </w:p>
    <w:p w14:paraId="22486846" w14:textId="5DFEB1C7" w:rsidR="00A249A6" w:rsidRDefault="00A249A6" w:rsidP="00A249A6">
      <w:pPr>
        <w:ind w:firstLine="11"/>
        <w:jc w:val="both"/>
        <w:rPr>
          <w:rFonts w:ascii="Ping LCG Regular" w:hAnsi="Ping LCG Regular" w:cs="Arial"/>
          <w:spacing w:val="-14"/>
          <w:lang w:val="el-GR"/>
        </w:rPr>
      </w:pPr>
      <w:bookmarkStart w:id="5" w:name="_Hlk68250179"/>
      <w:r w:rsidRPr="00A249A6">
        <w:rPr>
          <w:rFonts w:ascii="Ping LCG Regular" w:hAnsi="Ping LCG Regular" w:cs="Arial"/>
          <w:spacing w:val="-14"/>
          <w:lang w:val="el-GR"/>
        </w:rPr>
        <w:t>Το 2020 η εγχώρια ζήτηση ηλεκτρικής ενέργειας μειώθηκε κατά 6</w:t>
      </w:r>
      <w:r w:rsidR="00DD1423">
        <w:rPr>
          <w:rFonts w:ascii="Ping LCG Regular" w:hAnsi="Ping LCG Regular" w:cs="Arial"/>
          <w:spacing w:val="-14"/>
          <w:lang w:val="el-GR"/>
        </w:rPr>
        <w:t>,</w:t>
      </w:r>
      <w:r w:rsidR="00BC0760">
        <w:rPr>
          <w:rFonts w:ascii="Ping LCG Regular" w:hAnsi="Ping LCG Regular" w:cs="Arial"/>
          <w:spacing w:val="-14"/>
          <w:lang w:val="el-GR"/>
        </w:rPr>
        <w:t>7</w:t>
      </w:r>
      <w:r w:rsidRPr="00A249A6">
        <w:rPr>
          <w:rFonts w:ascii="Ping LCG Regular" w:hAnsi="Ping LCG Regular" w:cs="Arial"/>
          <w:spacing w:val="-14"/>
          <w:lang w:val="el-GR"/>
        </w:rPr>
        <w:t xml:space="preserve">% στις </w:t>
      </w:r>
      <w:r w:rsidR="00DD1423">
        <w:rPr>
          <w:rFonts w:ascii="Ping LCG Regular" w:hAnsi="Ping LCG Regular" w:cs="Arial"/>
          <w:spacing w:val="-14"/>
          <w:lang w:val="el-GR"/>
        </w:rPr>
        <w:t>54</w:t>
      </w:r>
      <w:r w:rsidRPr="00A249A6">
        <w:rPr>
          <w:rFonts w:ascii="Ping LCG Regular" w:hAnsi="Ping LCG Regular" w:cs="Arial"/>
          <w:spacing w:val="-14"/>
          <w:lang w:val="el-GR"/>
        </w:rPr>
        <w:t>.</w:t>
      </w:r>
      <w:r w:rsidR="00DD1423">
        <w:rPr>
          <w:rFonts w:ascii="Ping LCG Regular" w:hAnsi="Ping LCG Regular" w:cs="Arial"/>
          <w:spacing w:val="-14"/>
          <w:lang w:val="el-GR"/>
        </w:rPr>
        <w:t>752</w:t>
      </w:r>
      <w:r w:rsidRPr="00A249A6">
        <w:rPr>
          <w:rFonts w:ascii="Ping LCG Regular" w:hAnsi="Ping LCG Regular" w:cs="Arial"/>
          <w:spacing w:val="-14"/>
          <w:lang w:val="el-GR"/>
        </w:rPr>
        <w:t xml:space="preserve"> </w:t>
      </w:r>
      <w:r w:rsidRPr="00AD7643">
        <w:rPr>
          <w:rFonts w:ascii="Ping LCG Regular" w:hAnsi="Ping LCG Regular" w:cs="Arial"/>
          <w:spacing w:val="-14"/>
        </w:rPr>
        <w:t>GWh</w:t>
      </w:r>
      <w:r w:rsidRPr="00A249A6">
        <w:rPr>
          <w:rFonts w:ascii="Ping LCG Regular" w:hAnsi="Ping LCG Regular" w:cs="Arial"/>
          <w:spacing w:val="-14"/>
          <w:lang w:val="el-GR"/>
        </w:rPr>
        <w:t xml:space="preserve"> έναντι </w:t>
      </w:r>
      <w:r w:rsidR="00DD1423">
        <w:rPr>
          <w:rFonts w:ascii="Ping LCG Regular" w:hAnsi="Ping LCG Regular" w:cs="Arial"/>
          <w:spacing w:val="-14"/>
          <w:lang w:val="el-GR"/>
        </w:rPr>
        <w:t>58</w:t>
      </w:r>
      <w:r w:rsidRPr="00A249A6">
        <w:rPr>
          <w:rFonts w:ascii="Ping LCG Regular" w:hAnsi="Ping LCG Regular" w:cs="Arial"/>
          <w:spacing w:val="-14"/>
          <w:lang w:val="el-GR"/>
        </w:rPr>
        <w:t>.</w:t>
      </w:r>
      <w:r w:rsidR="00DD1423">
        <w:rPr>
          <w:rFonts w:ascii="Ping LCG Regular" w:hAnsi="Ping LCG Regular" w:cs="Arial"/>
          <w:spacing w:val="-14"/>
          <w:lang w:val="el-GR"/>
        </w:rPr>
        <w:t>660</w:t>
      </w:r>
      <w:r w:rsidRPr="00A249A6">
        <w:rPr>
          <w:rFonts w:ascii="Ping LCG Regular" w:hAnsi="Ping LCG Regular" w:cs="Arial"/>
          <w:spacing w:val="-14"/>
          <w:lang w:val="el-GR"/>
        </w:rPr>
        <w:t xml:space="preserve"> </w:t>
      </w:r>
      <w:r w:rsidRPr="00AD7643">
        <w:rPr>
          <w:rFonts w:ascii="Ping LCG Regular" w:hAnsi="Ping LCG Regular" w:cs="Arial"/>
          <w:spacing w:val="-14"/>
        </w:rPr>
        <w:t>GWh</w:t>
      </w:r>
      <w:r w:rsidRPr="00A249A6">
        <w:rPr>
          <w:rFonts w:ascii="Ping LCG Regular" w:hAnsi="Ping LCG Regular" w:cs="Arial"/>
          <w:spacing w:val="-14"/>
          <w:lang w:val="el-GR"/>
        </w:rPr>
        <w:t xml:space="preserve"> το 2019</w:t>
      </w:r>
      <w:r w:rsidR="0061134B">
        <w:rPr>
          <w:rFonts w:ascii="Ping LCG Regular" w:hAnsi="Ping LCG Regular" w:cs="Arial"/>
          <w:spacing w:val="-14"/>
          <w:lang w:val="el-GR"/>
        </w:rPr>
        <w:t xml:space="preserve"> </w:t>
      </w:r>
      <w:r w:rsidR="0061134B" w:rsidRPr="00BC0760">
        <w:rPr>
          <w:rFonts w:ascii="Ping LCG Regular" w:hAnsi="Ping LCG Regular" w:cs="Arial"/>
          <w:spacing w:val="-14"/>
          <w:lang w:val="el-GR"/>
        </w:rPr>
        <w:t xml:space="preserve">ως </w:t>
      </w:r>
      <w:r w:rsidR="00EC25C6">
        <w:rPr>
          <w:rFonts w:ascii="Ping LCG Regular" w:hAnsi="Ping LCG Regular" w:cs="Arial"/>
          <w:spacing w:val="-14"/>
          <w:lang w:val="el-GR"/>
        </w:rPr>
        <w:t>αποτέλεσμα</w:t>
      </w:r>
      <w:r w:rsidR="00EC25C6" w:rsidRPr="00BC0760">
        <w:rPr>
          <w:rFonts w:ascii="Ping LCG Regular" w:hAnsi="Ping LCG Regular" w:cs="Arial"/>
          <w:spacing w:val="-14"/>
          <w:lang w:val="el-GR"/>
        </w:rPr>
        <w:t xml:space="preserve"> </w:t>
      </w:r>
      <w:r w:rsidR="0061134B" w:rsidRPr="00BC0760">
        <w:rPr>
          <w:rFonts w:ascii="Ping LCG Regular" w:hAnsi="Ping LCG Regular" w:cs="Arial"/>
          <w:spacing w:val="-14"/>
          <w:lang w:val="el-GR"/>
        </w:rPr>
        <w:t>της πανδημίας</w:t>
      </w:r>
      <w:r w:rsidRPr="00A249A6">
        <w:rPr>
          <w:rFonts w:ascii="Ping LCG Regular" w:hAnsi="Ping LCG Regular" w:cs="Arial"/>
          <w:spacing w:val="-14"/>
          <w:lang w:val="el-GR"/>
        </w:rPr>
        <w:t xml:space="preserve">. </w:t>
      </w:r>
      <w:r w:rsidR="00EC25C6">
        <w:rPr>
          <w:rFonts w:ascii="Ping LCG Regular" w:hAnsi="Ping LCG Regular" w:cs="Arial"/>
          <w:spacing w:val="-14"/>
          <w:lang w:val="el-GR"/>
        </w:rPr>
        <w:t xml:space="preserve"> </w:t>
      </w:r>
      <w:r w:rsidRPr="00A249A6">
        <w:rPr>
          <w:rFonts w:ascii="Ping LCG Regular" w:hAnsi="Ping LCG Regular" w:cs="Arial"/>
          <w:spacing w:val="-14"/>
          <w:lang w:val="el-GR"/>
        </w:rPr>
        <w:t>Σε επίπεδο συνολικής ζήτησης, περιλαμβάνοντας δηλαδή την ηλεκτρική ενέργεια για εξαγωγές και άντληση, καταγράφηκε</w:t>
      </w:r>
      <w:r w:rsidR="001B24AD">
        <w:rPr>
          <w:rFonts w:ascii="Ping LCG Regular" w:hAnsi="Ping LCG Regular" w:cs="Arial"/>
          <w:spacing w:val="-14"/>
          <w:lang w:val="el-GR"/>
        </w:rPr>
        <w:t xml:space="preserve"> ακόμα μεγαλύτερη </w:t>
      </w:r>
      <w:r w:rsidRPr="00A249A6">
        <w:rPr>
          <w:rFonts w:ascii="Ping LCG Regular" w:hAnsi="Ping LCG Regular" w:cs="Arial"/>
          <w:spacing w:val="-14"/>
          <w:lang w:val="el-GR"/>
        </w:rPr>
        <w:t>μείωση κατά 8% λόγω και της μείωσης των εξαγωγών των Τρίτων (μείωση κατά 1.</w:t>
      </w:r>
      <w:r w:rsidR="00DD1423">
        <w:rPr>
          <w:rFonts w:ascii="Ping LCG Regular" w:hAnsi="Ping LCG Regular" w:cs="Arial"/>
          <w:spacing w:val="-14"/>
          <w:lang w:val="el-GR"/>
        </w:rPr>
        <w:t>111</w:t>
      </w:r>
      <w:r w:rsidRPr="00A249A6">
        <w:rPr>
          <w:rFonts w:ascii="Ping LCG Regular" w:hAnsi="Ping LCG Regular" w:cs="Arial"/>
          <w:spacing w:val="-14"/>
          <w:lang w:val="el-GR"/>
        </w:rPr>
        <w:t xml:space="preserve"> </w:t>
      </w:r>
      <w:r w:rsidRPr="00AD7643">
        <w:rPr>
          <w:rFonts w:ascii="Ping LCG Regular" w:hAnsi="Ping LCG Regular" w:cs="Arial"/>
          <w:spacing w:val="-14"/>
        </w:rPr>
        <w:t>GWh</w:t>
      </w:r>
      <w:r w:rsidRPr="00A249A6">
        <w:rPr>
          <w:rFonts w:ascii="Ping LCG Regular" w:hAnsi="Ping LCG Regular" w:cs="Arial"/>
          <w:spacing w:val="-14"/>
          <w:lang w:val="el-GR"/>
        </w:rPr>
        <w:t xml:space="preserve"> σε σχέση με</w:t>
      </w:r>
      <w:r w:rsidR="00DD1423">
        <w:rPr>
          <w:rFonts w:ascii="Ping LCG Regular" w:hAnsi="Ping LCG Regular" w:cs="Arial"/>
          <w:spacing w:val="-14"/>
          <w:lang w:val="el-GR"/>
        </w:rPr>
        <w:t xml:space="preserve"> </w:t>
      </w:r>
      <w:r w:rsidRPr="00A249A6">
        <w:rPr>
          <w:rFonts w:ascii="Ping LCG Regular" w:hAnsi="Ping LCG Regular" w:cs="Arial"/>
          <w:spacing w:val="-14"/>
          <w:lang w:val="el-GR"/>
        </w:rPr>
        <w:t xml:space="preserve">το 2019).  </w:t>
      </w:r>
    </w:p>
    <w:p w14:paraId="0160B31C" w14:textId="77777777" w:rsidR="00BC0760" w:rsidRPr="00A249A6" w:rsidRDefault="00BC0760" w:rsidP="00A249A6">
      <w:pPr>
        <w:ind w:firstLine="11"/>
        <w:jc w:val="both"/>
        <w:rPr>
          <w:rFonts w:ascii="Ping LCG Regular" w:hAnsi="Ping LCG Regular" w:cs="Arial"/>
          <w:spacing w:val="-14"/>
          <w:lang w:val="el-GR"/>
        </w:rPr>
      </w:pPr>
    </w:p>
    <w:bookmarkEnd w:id="5"/>
    <w:p w14:paraId="7BF9D0E3" w14:textId="0457F456" w:rsidR="00A249A6" w:rsidRPr="00A249A6" w:rsidRDefault="00A249A6" w:rsidP="00A249A6">
      <w:pPr>
        <w:ind w:firstLine="11"/>
        <w:jc w:val="both"/>
        <w:rPr>
          <w:rFonts w:ascii="Ping LCG Regular" w:hAnsi="Ping LCG Regular" w:cs="Arial"/>
          <w:spacing w:val="-14"/>
          <w:lang w:val="el-GR"/>
        </w:rPr>
      </w:pPr>
      <w:r w:rsidRPr="00B6233C">
        <w:rPr>
          <w:rFonts w:ascii="Ping LCG Regular" w:hAnsi="Ping LCG Regular" w:cs="Arial"/>
          <w:spacing w:val="-14"/>
          <w:lang w:val="el-GR"/>
        </w:rPr>
        <w:t>Το μέσο μερίδιο της ΔΕΗ στην αγορά προμήθειας στο σύνολο της χώρας μειώθηκε σε 6</w:t>
      </w:r>
      <w:r w:rsidR="00E622A4" w:rsidRPr="00B6233C">
        <w:rPr>
          <w:rFonts w:ascii="Ping LCG Regular" w:hAnsi="Ping LCG Regular" w:cs="Arial"/>
          <w:spacing w:val="-14"/>
          <w:lang w:val="el-GR"/>
        </w:rPr>
        <w:t>8</w:t>
      </w:r>
      <w:r w:rsidRPr="00B6233C">
        <w:rPr>
          <w:rFonts w:ascii="Ping LCG Regular" w:hAnsi="Ping LCG Regular" w:cs="Arial"/>
          <w:spacing w:val="-14"/>
          <w:lang w:val="el-GR"/>
        </w:rPr>
        <w:t>,</w:t>
      </w:r>
      <w:r w:rsidR="00E622A4" w:rsidRPr="00B6233C">
        <w:rPr>
          <w:rFonts w:ascii="Ping LCG Regular" w:hAnsi="Ping LCG Regular" w:cs="Arial"/>
          <w:spacing w:val="-14"/>
          <w:lang w:val="el-GR"/>
        </w:rPr>
        <w:t>7</w:t>
      </w:r>
      <w:r w:rsidRPr="00B6233C">
        <w:rPr>
          <w:rFonts w:ascii="Ping LCG Regular" w:hAnsi="Ping LCG Regular" w:cs="Arial"/>
          <w:spacing w:val="-14"/>
          <w:lang w:val="el-GR"/>
        </w:rPr>
        <w:t>% το</w:t>
      </w:r>
      <w:r w:rsidR="00E622A4" w:rsidRPr="00B6233C">
        <w:rPr>
          <w:rFonts w:ascii="Ping LCG Regular" w:hAnsi="Ping LCG Regular" w:cs="Arial"/>
          <w:spacing w:val="-14"/>
          <w:lang w:val="el-GR"/>
        </w:rPr>
        <w:t xml:space="preserve"> </w:t>
      </w:r>
      <w:r w:rsidRPr="00B6233C">
        <w:rPr>
          <w:rFonts w:ascii="Ping LCG Regular" w:hAnsi="Ping LCG Regular" w:cs="Arial"/>
          <w:spacing w:val="-14"/>
          <w:lang w:val="el-GR"/>
        </w:rPr>
        <w:t>2020 από 7</w:t>
      </w:r>
      <w:r w:rsidR="00E622A4" w:rsidRPr="00B6233C">
        <w:rPr>
          <w:rFonts w:ascii="Ping LCG Regular" w:hAnsi="Ping LCG Regular" w:cs="Arial"/>
          <w:spacing w:val="-14"/>
          <w:lang w:val="el-GR"/>
        </w:rPr>
        <w:t>5,8</w:t>
      </w:r>
      <w:r w:rsidRPr="00B6233C">
        <w:rPr>
          <w:rFonts w:ascii="Ping LCG Regular" w:hAnsi="Ping LCG Regular" w:cs="Arial"/>
          <w:spacing w:val="-14"/>
          <w:lang w:val="el-GR"/>
        </w:rPr>
        <w:t>% το</w:t>
      </w:r>
      <w:r w:rsidR="00E622A4" w:rsidRPr="00B6233C">
        <w:rPr>
          <w:rFonts w:ascii="Ping LCG Regular" w:hAnsi="Ping LCG Regular" w:cs="Arial"/>
          <w:spacing w:val="-14"/>
          <w:lang w:val="el-GR"/>
        </w:rPr>
        <w:t xml:space="preserve"> </w:t>
      </w:r>
      <w:r w:rsidRPr="00B6233C">
        <w:rPr>
          <w:rFonts w:ascii="Ping LCG Regular" w:hAnsi="Ping LCG Regular" w:cs="Arial"/>
          <w:spacing w:val="-14"/>
          <w:lang w:val="el-GR"/>
        </w:rPr>
        <w:t xml:space="preserve">2019. Ειδικότερα, το μέσο μερίδιο αγοράς στο Διασυνδεδεμένο Σύστημα περιορίσθηκε σε </w:t>
      </w:r>
      <w:r w:rsidR="001D4DE5" w:rsidRPr="00B6233C">
        <w:rPr>
          <w:rFonts w:ascii="Ping LCG Regular" w:hAnsi="Ping LCG Regular" w:cs="Arial"/>
          <w:spacing w:val="-14"/>
          <w:lang w:val="el-GR"/>
        </w:rPr>
        <w:t>66</w:t>
      </w:r>
      <w:r w:rsidR="00266CB1" w:rsidRPr="00B6233C">
        <w:rPr>
          <w:rFonts w:ascii="Ping LCG Regular" w:hAnsi="Ping LCG Regular" w:cs="Arial"/>
          <w:spacing w:val="-14"/>
          <w:lang w:val="el-GR"/>
        </w:rPr>
        <w:t>,</w:t>
      </w:r>
      <w:r w:rsidR="001D4DE5" w:rsidRPr="00B6233C">
        <w:rPr>
          <w:rFonts w:ascii="Ping LCG Regular" w:hAnsi="Ping LCG Regular" w:cs="Arial"/>
          <w:spacing w:val="-14"/>
          <w:lang w:val="el-GR"/>
        </w:rPr>
        <w:t>8</w:t>
      </w:r>
      <w:r w:rsidRPr="00B6233C">
        <w:rPr>
          <w:rFonts w:ascii="Ping LCG Regular" w:hAnsi="Ping LCG Regular" w:cs="Arial"/>
          <w:spacing w:val="-14"/>
          <w:lang w:val="el-GR"/>
        </w:rPr>
        <w:t xml:space="preserve">% τον </w:t>
      </w:r>
      <w:r w:rsidR="00266CB1" w:rsidRPr="00B6233C">
        <w:rPr>
          <w:rFonts w:ascii="Ping LCG Regular" w:hAnsi="Ping LCG Regular" w:cs="Arial"/>
          <w:spacing w:val="-14"/>
          <w:lang w:val="el-GR"/>
        </w:rPr>
        <w:t xml:space="preserve">Δεκέμβριο </w:t>
      </w:r>
      <w:r w:rsidRPr="00B6233C">
        <w:rPr>
          <w:rFonts w:ascii="Ping LCG Regular" w:hAnsi="Ping LCG Regular" w:cs="Arial"/>
          <w:spacing w:val="-14"/>
          <w:lang w:val="el-GR"/>
        </w:rPr>
        <w:t xml:space="preserve">του 2020 από </w:t>
      </w:r>
      <w:r w:rsidR="001D4DE5" w:rsidRPr="00B6233C">
        <w:rPr>
          <w:rFonts w:ascii="Ping LCG Regular" w:hAnsi="Ping LCG Regular" w:cs="Arial"/>
          <w:spacing w:val="-14"/>
          <w:lang w:val="el-GR"/>
        </w:rPr>
        <w:t>71</w:t>
      </w:r>
      <w:r w:rsidR="00266CB1" w:rsidRPr="00B6233C">
        <w:rPr>
          <w:rFonts w:ascii="Ping LCG Regular" w:hAnsi="Ping LCG Regular" w:cs="Arial"/>
          <w:spacing w:val="-14"/>
          <w:lang w:val="el-GR"/>
        </w:rPr>
        <w:t>,</w:t>
      </w:r>
      <w:r w:rsidR="009E62CA">
        <w:rPr>
          <w:rFonts w:ascii="Ping LCG Regular" w:hAnsi="Ping LCG Regular" w:cs="Arial"/>
          <w:spacing w:val="-14"/>
          <w:lang w:val="el-GR"/>
        </w:rPr>
        <w:t>7</w:t>
      </w:r>
      <w:r w:rsidRPr="00B6233C">
        <w:rPr>
          <w:rFonts w:ascii="Ping LCG Regular" w:hAnsi="Ping LCG Regular" w:cs="Arial"/>
          <w:spacing w:val="-14"/>
          <w:lang w:val="el-GR"/>
        </w:rPr>
        <w:t xml:space="preserve">% τον </w:t>
      </w:r>
      <w:r w:rsidR="00266CB1" w:rsidRPr="00B6233C">
        <w:rPr>
          <w:rFonts w:ascii="Ping LCG Regular" w:hAnsi="Ping LCG Regular" w:cs="Arial"/>
          <w:spacing w:val="-14"/>
          <w:lang w:val="el-GR"/>
        </w:rPr>
        <w:t>Δεκέμβριο</w:t>
      </w:r>
      <w:r w:rsidR="00266CB1" w:rsidRPr="00B6233C" w:rsidDel="00266CB1">
        <w:rPr>
          <w:rFonts w:ascii="Ping LCG Regular" w:hAnsi="Ping LCG Regular" w:cs="Arial"/>
          <w:spacing w:val="-14"/>
          <w:lang w:val="el-GR"/>
        </w:rPr>
        <w:t xml:space="preserve"> </w:t>
      </w:r>
      <w:r w:rsidRPr="00B6233C">
        <w:rPr>
          <w:rFonts w:ascii="Ping LCG Regular" w:hAnsi="Ping LCG Regular" w:cs="Arial"/>
          <w:spacing w:val="-14"/>
          <w:lang w:val="el-GR"/>
        </w:rPr>
        <w:t xml:space="preserve"> του 2019</w:t>
      </w:r>
      <w:r w:rsidR="009E62CA">
        <w:rPr>
          <w:rFonts w:ascii="Ping LCG Regular" w:hAnsi="Ping LCG Regular" w:cs="Arial"/>
          <w:spacing w:val="-14"/>
          <w:lang w:val="el-GR"/>
        </w:rPr>
        <w:t xml:space="preserve">, </w:t>
      </w:r>
      <w:r w:rsidRPr="00B6233C">
        <w:rPr>
          <w:rFonts w:ascii="Ping LCG Regular" w:hAnsi="Ping LCG Regular" w:cs="Arial"/>
          <w:spacing w:val="-14"/>
          <w:lang w:val="el-GR"/>
        </w:rPr>
        <w:t xml:space="preserve">ενώ το μέσο μερίδιο ανά τάση, ήταν </w:t>
      </w:r>
      <w:r w:rsidR="001D4DE5" w:rsidRPr="00B6233C">
        <w:rPr>
          <w:rFonts w:ascii="Ping LCG Regular" w:hAnsi="Ping LCG Regular" w:cs="Arial"/>
          <w:spacing w:val="-14"/>
          <w:lang w:val="el-GR"/>
        </w:rPr>
        <w:t>94</w:t>
      </w:r>
      <w:r w:rsidRPr="00B6233C">
        <w:rPr>
          <w:rFonts w:ascii="Ping LCG Regular" w:hAnsi="Ping LCG Regular" w:cs="Arial"/>
          <w:spacing w:val="-14"/>
          <w:lang w:val="el-GR"/>
        </w:rPr>
        <w:t>,</w:t>
      </w:r>
      <w:r w:rsidR="001D4DE5" w:rsidRPr="00B6233C">
        <w:rPr>
          <w:rFonts w:ascii="Ping LCG Regular" w:hAnsi="Ping LCG Regular" w:cs="Arial"/>
          <w:spacing w:val="-14"/>
          <w:lang w:val="el-GR"/>
        </w:rPr>
        <w:t>4</w:t>
      </w:r>
      <w:r w:rsidRPr="00B6233C">
        <w:rPr>
          <w:rFonts w:ascii="Ping LCG Regular" w:hAnsi="Ping LCG Regular" w:cs="Arial"/>
          <w:spacing w:val="-14"/>
          <w:lang w:val="el-GR"/>
        </w:rPr>
        <w:t>% (από 9</w:t>
      </w:r>
      <w:r w:rsidR="001D4DE5" w:rsidRPr="00B6233C">
        <w:rPr>
          <w:rFonts w:ascii="Ping LCG Regular" w:hAnsi="Ping LCG Regular" w:cs="Arial"/>
          <w:spacing w:val="-14"/>
          <w:lang w:val="el-GR"/>
        </w:rPr>
        <w:t>7</w:t>
      </w:r>
      <w:r w:rsidRPr="00B6233C">
        <w:rPr>
          <w:rFonts w:ascii="Ping LCG Regular" w:hAnsi="Ping LCG Regular" w:cs="Arial"/>
          <w:spacing w:val="-14"/>
          <w:lang w:val="el-GR"/>
        </w:rPr>
        <w:t>,</w:t>
      </w:r>
      <w:r w:rsidR="001D4DE5" w:rsidRPr="00B6233C">
        <w:rPr>
          <w:rFonts w:ascii="Ping LCG Regular" w:hAnsi="Ping LCG Regular" w:cs="Arial"/>
          <w:spacing w:val="-14"/>
          <w:lang w:val="el-GR"/>
        </w:rPr>
        <w:t>5</w:t>
      </w:r>
      <w:r w:rsidRPr="00B6233C">
        <w:rPr>
          <w:rFonts w:ascii="Ping LCG Regular" w:hAnsi="Ping LCG Regular" w:cs="Arial"/>
          <w:spacing w:val="-14"/>
          <w:lang w:val="el-GR"/>
        </w:rPr>
        <w:t xml:space="preserve">%) στην Υψηλή Τάση, </w:t>
      </w:r>
      <w:r w:rsidR="001D4DE5" w:rsidRPr="00B6233C">
        <w:rPr>
          <w:rFonts w:ascii="Ping LCG Regular" w:hAnsi="Ping LCG Regular" w:cs="Arial"/>
          <w:spacing w:val="-14"/>
          <w:lang w:val="el-GR"/>
        </w:rPr>
        <w:t>3</w:t>
      </w:r>
      <w:r w:rsidR="0028355E">
        <w:rPr>
          <w:rFonts w:ascii="Ping LCG Regular" w:hAnsi="Ping LCG Regular" w:cs="Arial"/>
          <w:spacing w:val="-14"/>
          <w:lang w:val="el-GR"/>
        </w:rPr>
        <w:t>5</w:t>
      </w:r>
      <w:r w:rsidR="001D4DE5" w:rsidRPr="00B6233C">
        <w:rPr>
          <w:rFonts w:ascii="Ping LCG Regular" w:hAnsi="Ping LCG Regular" w:cs="Arial"/>
          <w:spacing w:val="-14"/>
          <w:lang w:val="el-GR"/>
        </w:rPr>
        <w:t>,</w:t>
      </w:r>
      <w:r w:rsidR="0028355E">
        <w:rPr>
          <w:rFonts w:ascii="Ping LCG Regular" w:hAnsi="Ping LCG Regular" w:cs="Arial"/>
          <w:spacing w:val="-14"/>
          <w:lang w:val="el-GR"/>
        </w:rPr>
        <w:t>7</w:t>
      </w:r>
      <w:r w:rsidRPr="00B6233C">
        <w:rPr>
          <w:rFonts w:ascii="Ping LCG Regular" w:hAnsi="Ping LCG Regular" w:cs="Arial"/>
          <w:spacing w:val="-14"/>
          <w:lang w:val="el-GR"/>
        </w:rPr>
        <w:t xml:space="preserve">% (από </w:t>
      </w:r>
      <w:r w:rsidR="001D4DE5" w:rsidRPr="00B6233C">
        <w:rPr>
          <w:rFonts w:ascii="Ping LCG Regular" w:hAnsi="Ping LCG Regular" w:cs="Arial"/>
          <w:spacing w:val="-14"/>
          <w:lang w:val="el-GR"/>
        </w:rPr>
        <w:t>52</w:t>
      </w:r>
      <w:r w:rsidRPr="00B6233C">
        <w:rPr>
          <w:rFonts w:ascii="Ping LCG Regular" w:hAnsi="Ping LCG Regular" w:cs="Arial"/>
          <w:spacing w:val="-14"/>
          <w:lang w:val="el-GR"/>
        </w:rPr>
        <w:t>,6%) στη Μέση Τάση και 6</w:t>
      </w:r>
      <w:r w:rsidR="001D4DE5" w:rsidRPr="00B6233C">
        <w:rPr>
          <w:rFonts w:ascii="Ping LCG Regular" w:hAnsi="Ping LCG Regular" w:cs="Arial"/>
          <w:spacing w:val="-14"/>
          <w:lang w:val="el-GR"/>
        </w:rPr>
        <w:t>9</w:t>
      </w:r>
      <w:r w:rsidRPr="00B6233C">
        <w:rPr>
          <w:rFonts w:ascii="Ping LCG Regular" w:hAnsi="Ping LCG Regular" w:cs="Arial"/>
          <w:spacing w:val="-14"/>
          <w:lang w:val="el-GR"/>
        </w:rPr>
        <w:t>% (από 7</w:t>
      </w:r>
      <w:r w:rsidR="001D4DE5" w:rsidRPr="00B6233C">
        <w:rPr>
          <w:rFonts w:ascii="Ping LCG Regular" w:hAnsi="Ping LCG Regular" w:cs="Arial"/>
          <w:spacing w:val="-14"/>
          <w:lang w:val="el-GR"/>
        </w:rPr>
        <w:t>3,4</w:t>
      </w:r>
      <w:r w:rsidRPr="00B6233C">
        <w:rPr>
          <w:rFonts w:ascii="Ping LCG Regular" w:hAnsi="Ping LCG Regular" w:cs="Arial"/>
          <w:spacing w:val="-14"/>
          <w:lang w:val="el-GR"/>
        </w:rPr>
        <w:t>%) στη Χαμηλή Τάση.</w:t>
      </w:r>
    </w:p>
    <w:p w14:paraId="39CF8DB3" w14:textId="77777777" w:rsidR="00A249A6" w:rsidRPr="00A249A6" w:rsidRDefault="00A249A6" w:rsidP="00A249A6">
      <w:pPr>
        <w:ind w:firstLine="11"/>
        <w:jc w:val="both"/>
        <w:rPr>
          <w:rFonts w:ascii="Ping LCG Regular" w:hAnsi="Ping LCG Regular" w:cs="Arial"/>
          <w:spacing w:val="-14"/>
          <w:highlight w:val="yellow"/>
          <w:lang w:val="el-GR"/>
        </w:rPr>
      </w:pPr>
    </w:p>
    <w:p w14:paraId="6A7BE1F8" w14:textId="3C3151C0" w:rsidR="00A249A6" w:rsidRPr="00A249A6" w:rsidRDefault="00A249A6" w:rsidP="00A249A6">
      <w:pPr>
        <w:autoSpaceDE w:val="0"/>
        <w:autoSpaceDN w:val="0"/>
        <w:adjustRightInd w:val="0"/>
        <w:jc w:val="both"/>
        <w:rPr>
          <w:rFonts w:ascii="Ping LCG Regular" w:hAnsi="Ping LCG Regular" w:cs="Arial"/>
          <w:spacing w:val="-14"/>
          <w:lang w:val="el-GR"/>
        </w:rPr>
      </w:pPr>
      <w:bookmarkStart w:id="6" w:name="_Hlk68767691"/>
      <w:r w:rsidRPr="00A249A6">
        <w:rPr>
          <w:rFonts w:ascii="Ping LCG Regular" w:hAnsi="Ping LCG Regular" w:cs="Arial"/>
          <w:spacing w:val="-14"/>
          <w:lang w:val="el-GR"/>
        </w:rPr>
        <w:t xml:space="preserve">Η παραγωγή και οι εισαγωγές ηλεκτρικής ενέργειας του Ομίλου ΔΕΗ κάλυψαν το </w:t>
      </w:r>
      <w:r w:rsidR="003A5C3F">
        <w:rPr>
          <w:rFonts w:ascii="Ping LCG Regular" w:hAnsi="Ping LCG Regular" w:cs="Arial"/>
          <w:spacing w:val="-14"/>
          <w:lang w:val="el-GR"/>
        </w:rPr>
        <w:t>40</w:t>
      </w:r>
      <w:r w:rsidRPr="00A249A6">
        <w:rPr>
          <w:rFonts w:ascii="Ping LCG Regular" w:hAnsi="Ping LCG Regular" w:cs="Arial"/>
          <w:spacing w:val="-14"/>
          <w:lang w:val="el-GR"/>
        </w:rPr>
        <w:t>,</w:t>
      </w:r>
      <w:r w:rsidR="003A5C3F">
        <w:rPr>
          <w:rFonts w:ascii="Ping LCG Regular" w:hAnsi="Ping LCG Regular" w:cs="Arial"/>
          <w:spacing w:val="-14"/>
          <w:lang w:val="el-GR"/>
        </w:rPr>
        <w:t>7</w:t>
      </w:r>
      <w:r w:rsidRPr="00A249A6">
        <w:rPr>
          <w:rFonts w:ascii="Ping LCG Regular" w:hAnsi="Ping LCG Regular" w:cs="Arial"/>
          <w:spacing w:val="-14"/>
          <w:lang w:val="el-GR"/>
        </w:rPr>
        <w:t>% της συνολικής ζήτησης</w:t>
      </w:r>
      <w:r w:rsidR="003A5C3F">
        <w:rPr>
          <w:rFonts w:ascii="Ping LCG Regular" w:hAnsi="Ping LCG Regular" w:cs="Arial"/>
          <w:spacing w:val="-14"/>
          <w:lang w:val="el-GR"/>
        </w:rPr>
        <w:t xml:space="preserve"> </w:t>
      </w:r>
      <w:r w:rsidRPr="00A249A6">
        <w:rPr>
          <w:rFonts w:ascii="Ping LCG Regular" w:hAnsi="Ping LCG Regular" w:cs="Arial"/>
          <w:spacing w:val="-14"/>
          <w:lang w:val="el-GR"/>
        </w:rPr>
        <w:t>το 2020 (3</w:t>
      </w:r>
      <w:r w:rsidR="003A5C3F">
        <w:rPr>
          <w:rFonts w:ascii="Ping LCG Regular" w:hAnsi="Ping LCG Regular" w:cs="Arial"/>
          <w:spacing w:val="-14"/>
          <w:lang w:val="el-GR"/>
        </w:rPr>
        <w:t>6</w:t>
      </w:r>
      <w:r w:rsidRPr="00A249A6">
        <w:rPr>
          <w:rFonts w:ascii="Ping LCG Regular" w:hAnsi="Ping LCG Regular" w:cs="Arial"/>
          <w:spacing w:val="-14"/>
          <w:lang w:val="el-GR"/>
        </w:rPr>
        <w:t>,</w:t>
      </w:r>
      <w:r w:rsidR="003A5C3F">
        <w:rPr>
          <w:rFonts w:ascii="Ping LCG Regular" w:hAnsi="Ping LCG Regular" w:cs="Arial"/>
          <w:spacing w:val="-14"/>
          <w:lang w:val="el-GR"/>
        </w:rPr>
        <w:t>9</w:t>
      </w:r>
      <w:r w:rsidRPr="00A249A6">
        <w:rPr>
          <w:rFonts w:ascii="Ping LCG Regular" w:hAnsi="Ping LCG Regular" w:cs="Arial"/>
          <w:spacing w:val="-14"/>
          <w:lang w:val="el-GR"/>
        </w:rPr>
        <w:t>% στο Διασυνδεδεμένο Σύστημα), ενώ το αντίστοιχο ποσοστό το</w:t>
      </w:r>
      <w:r w:rsidR="003A5C3F">
        <w:rPr>
          <w:rFonts w:ascii="Ping LCG Regular" w:hAnsi="Ping LCG Regular" w:cs="Arial"/>
          <w:spacing w:val="-14"/>
          <w:lang w:val="el-GR"/>
        </w:rPr>
        <w:t xml:space="preserve"> </w:t>
      </w:r>
      <w:r w:rsidRPr="00A249A6">
        <w:rPr>
          <w:rFonts w:ascii="Ping LCG Regular" w:hAnsi="Ping LCG Regular" w:cs="Arial"/>
          <w:spacing w:val="-14"/>
          <w:lang w:val="el-GR"/>
        </w:rPr>
        <w:t>2019 ήταν 4</w:t>
      </w:r>
      <w:r w:rsidR="003A5C3F">
        <w:rPr>
          <w:rFonts w:ascii="Ping LCG Regular" w:hAnsi="Ping LCG Regular" w:cs="Arial"/>
          <w:spacing w:val="-14"/>
          <w:lang w:val="el-GR"/>
        </w:rPr>
        <w:t>5</w:t>
      </w:r>
      <w:r w:rsidRPr="00A249A6">
        <w:rPr>
          <w:rFonts w:ascii="Ping LCG Regular" w:hAnsi="Ping LCG Regular" w:cs="Arial"/>
          <w:spacing w:val="-14"/>
          <w:lang w:val="el-GR"/>
        </w:rPr>
        <w:t>,</w:t>
      </w:r>
      <w:r w:rsidR="003A5C3F">
        <w:rPr>
          <w:rFonts w:ascii="Ping LCG Regular" w:hAnsi="Ping LCG Regular" w:cs="Arial"/>
          <w:spacing w:val="-14"/>
          <w:lang w:val="el-GR"/>
        </w:rPr>
        <w:t>5</w:t>
      </w:r>
      <w:r w:rsidRPr="00A249A6">
        <w:rPr>
          <w:rFonts w:ascii="Ping LCG Regular" w:hAnsi="Ping LCG Regular" w:cs="Arial"/>
          <w:spacing w:val="-14"/>
          <w:lang w:val="el-GR"/>
        </w:rPr>
        <w:t>% (4</w:t>
      </w:r>
      <w:r w:rsidR="003A5C3F">
        <w:rPr>
          <w:rFonts w:ascii="Ping LCG Regular" w:hAnsi="Ping LCG Regular" w:cs="Arial"/>
          <w:spacing w:val="-14"/>
          <w:lang w:val="el-GR"/>
        </w:rPr>
        <w:t>1</w:t>
      </w:r>
      <w:r w:rsidRPr="00A249A6">
        <w:rPr>
          <w:rFonts w:ascii="Ping LCG Regular" w:hAnsi="Ping LCG Regular" w:cs="Arial"/>
          <w:spacing w:val="-14"/>
          <w:lang w:val="el-GR"/>
        </w:rPr>
        <w:t>,</w:t>
      </w:r>
      <w:r w:rsidR="003A5C3F">
        <w:rPr>
          <w:rFonts w:ascii="Ping LCG Regular" w:hAnsi="Ping LCG Regular" w:cs="Arial"/>
          <w:spacing w:val="-14"/>
          <w:lang w:val="el-GR"/>
        </w:rPr>
        <w:t>6</w:t>
      </w:r>
      <w:r w:rsidRPr="00A249A6">
        <w:rPr>
          <w:rFonts w:ascii="Ping LCG Regular" w:hAnsi="Ping LCG Regular" w:cs="Arial"/>
          <w:spacing w:val="-14"/>
          <w:lang w:val="el-GR"/>
        </w:rPr>
        <w:t>% στο Διασυνδεδεμένο Σύστημα)</w:t>
      </w:r>
      <w:r w:rsidR="005F4126">
        <w:rPr>
          <w:rFonts w:ascii="Ping LCG Regular" w:hAnsi="Ping LCG Regular" w:cs="Arial"/>
          <w:spacing w:val="-14"/>
          <w:lang w:val="el-GR"/>
        </w:rPr>
        <w:t>.</w:t>
      </w:r>
      <w:r w:rsidRPr="00A249A6">
        <w:rPr>
          <w:rFonts w:ascii="Ping LCG Regular" w:hAnsi="Ping LCG Regular" w:cs="Arial"/>
          <w:spacing w:val="-14"/>
          <w:lang w:val="el-GR"/>
        </w:rPr>
        <w:t xml:space="preserve"> </w:t>
      </w:r>
    </w:p>
    <w:p w14:paraId="2D98CE0C" w14:textId="77777777" w:rsidR="00A249A6" w:rsidRPr="00A249A6" w:rsidRDefault="00A249A6" w:rsidP="00A249A6">
      <w:pPr>
        <w:autoSpaceDE w:val="0"/>
        <w:autoSpaceDN w:val="0"/>
        <w:adjustRightInd w:val="0"/>
        <w:jc w:val="both"/>
        <w:rPr>
          <w:rFonts w:ascii="Ping LCG Regular" w:hAnsi="Ping LCG Regular" w:cs="Arial"/>
          <w:spacing w:val="-14"/>
          <w:lang w:val="el-GR"/>
        </w:rPr>
      </w:pPr>
    </w:p>
    <w:p w14:paraId="3D2DE202" w14:textId="77B88C1D" w:rsidR="005F693A" w:rsidRDefault="00A249A6" w:rsidP="00A249A6">
      <w:pPr>
        <w:autoSpaceDE w:val="0"/>
        <w:autoSpaceDN w:val="0"/>
        <w:adjustRightInd w:val="0"/>
        <w:jc w:val="both"/>
        <w:rPr>
          <w:rFonts w:ascii="Ping LCG Regular" w:hAnsi="Ping LCG Regular" w:cs="Arial"/>
          <w:spacing w:val="-14"/>
          <w:lang w:val="el-GR"/>
        </w:rPr>
      </w:pPr>
      <w:r w:rsidRPr="00A249A6">
        <w:rPr>
          <w:rFonts w:ascii="Ping LCG Regular" w:hAnsi="Ping LCG Regular" w:cs="Arial"/>
          <w:spacing w:val="-14"/>
          <w:lang w:val="el-GR"/>
        </w:rPr>
        <w:t xml:space="preserve">Συγκεκριμένα, η λιγνιτική παραγωγή μειώθηκε  </w:t>
      </w:r>
      <w:r w:rsidRPr="00D27A5C">
        <w:rPr>
          <w:rFonts w:ascii="Ping LCG Regular" w:hAnsi="Ping LCG Regular" w:cs="Arial"/>
          <w:spacing w:val="-14"/>
          <w:lang w:val="el-GR"/>
        </w:rPr>
        <w:t xml:space="preserve">κατά </w:t>
      </w:r>
      <w:r w:rsidR="005C719E" w:rsidRPr="00851841">
        <w:rPr>
          <w:rFonts w:ascii="Ping LCG Regular" w:hAnsi="Ping LCG Regular" w:cs="Arial"/>
          <w:spacing w:val="-14"/>
          <w:lang w:val="el-GR"/>
        </w:rPr>
        <w:t>45</w:t>
      </w:r>
      <w:r w:rsidR="000F54C9" w:rsidRPr="00851841">
        <w:rPr>
          <w:rFonts w:ascii="Ping LCG Regular" w:hAnsi="Ping LCG Regular" w:cs="Arial"/>
          <w:spacing w:val="-14"/>
          <w:lang w:val="el-GR"/>
        </w:rPr>
        <w:t>,1</w:t>
      </w:r>
      <w:r w:rsidRPr="00851841">
        <w:rPr>
          <w:rFonts w:ascii="Ping LCG Regular" w:hAnsi="Ping LCG Regular" w:cs="Arial"/>
          <w:spacing w:val="-14"/>
          <w:lang w:val="el-GR"/>
        </w:rPr>
        <w:t>%</w:t>
      </w:r>
      <w:r w:rsidRPr="00A249A6">
        <w:rPr>
          <w:rFonts w:ascii="Ping LCG Regular" w:hAnsi="Ping LCG Regular" w:cs="Arial"/>
          <w:spacing w:val="-14"/>
          <w:lang w:val="el-GR"/>
        </w:rPr>
        <w:t xml:space="preserve"> ή 4.</w:t>
      </w:r>
      <w:r w:rsidR="005C719E">
        <w:rPr>
          <w:rFonts w:ascii="Ping LCG Regular" w:hAnsi="Ping LCG Regular" w:cs="Arial"/>
          <w:spacing w:val="-14"/>
          <w:lang w:val="el-GR"/>
        </w:rPr>
        <w:t>696</w:t>
      </w:r>
      <w:r w:rsidRPr="00A249A6">
        <w:rPr>
          <w:rFonts w:ascii="Ping LCG Regular" w:hAnsi="Ping LCG Regular" w:cs="Arial"/>
          <w:spacing w:val="-14"/>
          <w:lang w:val="el-GR"/>
        </w:rPr>
        <w:t xml:space="preserve"> </w:t>
      </w:r>
      <w:r w:rsidRPr="00AD7643">
        <w:rPr>
          <w:rFonts w:ascii="Ping LCG Regular" w:hAnsi="Ping LCG Regular" w:cs="Arial"/>
          <w:spacing w:val="-14"/>
        </w:rPr>
        <w:t>GWh</w:t>
      </w:r>
      <w:r w:rsidRPr="00A249A6">
        <w:rPr>
          <w:rFonts w:ascii="Ping LCG Regular" w:hAnsi="Ping LCG Regular" w:cs="Arial"/>
          <w:spacing w:val="-14"/>
          <w:lang w:val="el-GR"/>
        </w:rPr>
        <w:t xml:space="preserve">, λόγω χαμηλότερων τιμών φυσικού αερίου και υψηλότερων τιμών </w:t>
      </w:r>
      <w:r w:rsidRPr="00AD7643">
        <w:rPr>
          <w:rFonts w:ascii="Ping LCG Regular" w:hAnsi="Ping LCG Regular" w:cs="Arial"/>
          <w:spacing w:val="-14"/>
        </w:rPr>
        <w:t>CO</w:t>
      </w:r>
      <w:r w:rsidRPr="00A249A6">
        <w:rPr>
          <w:rFonts w:ascii="Ping LCG Regular" w:hAnsi="Ping LCG Regular" w:cs="Arial"/>
          <w:spacing w:val="-14"/>
          <w:vertAlign w:val="subscript"/>
          <w:lang w:val="el-GR"/>
        </w:rPr>
        <w:t xml:space="preserve">2 </w:t>
      </w:r>
      <w:r w:rsidRPr="00A249A6">
        <w:rPr>
          <w:rFonts w:ascii="Ping LCG Regular" w:hAnsi="Ping LCG Regular" w:cs="Arial"/>
          <w:spacing w:val="-14"/>
          <w:lang w:val="el-GR"/>
        </w:rPr>
        <w:t xml:space="preserve">που καθιστούν τις λιγνιτικές μονάδες </w:t>
      </w:r>
      <w:r w:rsidR="007369B8" w:rsidRPr="00A469D4">
        <w:rPr>
          <w:rFonts w:ascii="Ping LCG Regular" w:hAnsi="Ping LCG Regular" w:cs="Arial"/>
          <w:spacing w:val="-14"/>
          <w:lang w:val="el-GR"/>
        </w:rPr>
        <w:t xml:space="preserve">λιγότερο </w:t>
      </w:r>
      <w:r w:rsidRPr="00A469D4">
        <w:rPr>
          <w:rFonts w:ascii="Ping LCG Regular" w:hAnsi="Ping LCG Regular" w:cs="Arial"/>
          <w:spacing w:val="-14"/>
          <w:lang w:val="el-GR"/>
        </w:rPr>
        <w:t>ανταγωνιστικές</w:t>
      </w:r>
      <w:r w:rsidRPr="007369B8">
        <w:rPr>
          <w:rFonts w:ascii="Ping LCG Regular" w:hAnsi="Ping LCG Regular" w:cs="Arial"/>
          <w:spacing w:val="-14"/>
          <w:lang w:val="el-GR"/>
        </w:rPr>
        <w:t>.</w:t>
      </w:r>
      <w:r w:rsidRPr="00A249A6">
        <w:rPr>
          <w:rFonts w:ascii="Ping LCG Regular" w:hAnsi="Ping LCG Regular" w:cs="Arial"/>
          <w:spacing w:val="-14"/>
          <w:lang w:val="el-GR"/>
        </w:rPr>
        <w:t xml:space="preserve"> </w:t>
      </w:r>
    </w:p>
    <w:p w14:paraId="7871DD64" w14:textId="77777777" w:rsidR="003E14D0" w:rsidRDefault="003E14D0" w:rsidP="00A249A6">
      <w:pPr>
        <w:autoSpaceDE w:val="0"/>
        <w:autoSpaceDN w:val="0"/>
        <w:adjustRightInd w:val="0"/>
        <w:jc w:val="both"/>
        <w:rPr>
          <w:rFonts w:ascii="Ping LCG Regular" w:hAnsi="Ping LCG Regular" w:cs="Arial"/>
          <w:spacing w:val="-14"/>
          <w:lang w:val="el-GR"/>
        </w:rPr>
      </w:pPr>
    </w:p>
    <w:p w14:paraId="5FD07C9F" w14:textId="77777777" w:rsidR="005F693A" w:rsidRDefault="00A249A6" w:rsidP="00A249A6">
      <w:pPr>
        <w:autoSpaceDE w:val="0"/>
        <w:autoSpaceDN w:val="0"/>
        <w:adjustRightInd w:val="0"/>
        <w:jc w:val="both"/>
        <w:rPr>
          <w:rFonts w:ascii="Ping LCG Regular" w:hAnsi="Ping LCG Regular" w:cs="Arial"/>
          <w:spacing w:val="-14"/>
          <w:lang w:val="el-GR"/>
        </w:rPr>
      </w:pPr>
      <w:r w:rsidRPr="008A37AE">
        <w:rPr>
          <w:rFonts w:ascii="Ping LCG Regular" w:hAnsi="Ping LCG Regular" w:cs="Arial"/>
          <w:spacing w:val="-14"/>
          <w:lang w:val="el-GR"/>
        </w:rPr>
        <w:t xml:space="preserve">Η παραγωγή από τις μονάδες φυσικού αερίου της ΔΕΗ </w:t>
      </w:r>
      <w:r w:rsidR="008A37AE" w:rsidRPr="008A37AE">
        <w:rPr>
          <w:rFonts w:ascii="Ping LCG Regular" w:hAnsi="Ping LCG Regular" w:cs="Arial"/>
          <w:spacing w:val="-14"/>
          <w:lang w:val="el-GR"/>
        </w:rPr>
        <w:t>αυξήθηκε κατά 20,3% ή κατά 1.447</w:t>
      </w:r>
      <w:r w:rsidR="008A37AE" w:rsidRPr="008A37AE">
        <w:rPr>
          <w:rFonts w:ascii="Ping LCG Regular" w:hAnsi="Ping LCG Regular" w:cs="Arial"/>
          <w:spacing w:val="-14"/>
        </w:rPr>
        <w:t>GWh</w:t>
      </w:r>
      <w:r w:rsidR="005F4126">
        <w:rPr>
          <w:rFonts w:ascii="Ping LCG Regular" w:hAnsi="Ping LCG Regular" w:cs="Arial"/>
          <w:spacing w:val="-14"/>
          <w:lang w:val="el-GR"/>
        </w:rPr>
        <w:t xml:space="preserve">, </w:t>
      </w:r>
      <w:r w:rsidR="00AD2731" w:rsidRPr="00A469D4">
        <w:rPr>
          <w:rFonts w:ascii="Ping LCG Regular" w:hAnsi="Ping LCG Regular" w:cs="Arial"/>
          <w:spacing w:val="-14"/>
          <w:lang w:val="el-GR"/>
        </w:rPr>
        <w:t>κυρίως</w:t>
      </w:r>
      <w:r w:rsidR="005F4126" w:rsidRPr="00A469D4">
        <w:rPr>
          <w:rFonts w:ascii="Ping LCG Regular" w:hAnsi="Ping LCG Regular" w:cs="Arial"/>
          <w:spacing w:val="-14"/>
          <w:lang w:val="el-GR"/>
        </w:rPr>
        <w:t xml:space="preserve"> λόγω </w:t>
      </w:r>
      <w:r w:rsidR="001878DB" w:rsidRPr="00A469D4">
        <w:rPr>
          <w:rFonts w:ascii="Ping LCG Regular" w:hAnsi="Ping LCG Regular" w:cs="Arial"/>
          <w:spacing w:val="-14"/>
          <w:lang w:val="el-GR"/>
        </w:rPr>
        <w:t>του υπερδιπλασιασμού της σχετικής παραγωγής (κατά 119,4%</w:t>
      </w:r>
      <w:r w:rsidR="005F4126" w:rsidRPr="00A469D4">
        <w:rPr>
          <w:rFonts w:ascii="Ping LCG Regular" w:hAnsi="Ping LCG Regular" w:cs="Arial"/>
          <w:spacing w:val="-14"/>
          <w:lang w:val="el-GR"/>
        </w:rPr>
        <w:t xml:space="preserve"> </w:t>
      </w:r>
      <w:r w:rsidR="00AD2731" w:rsidRPr="00A469D4">
        <w:rPr>
          <w:rFonts w:ascii="Ping LCG Regular" w:hAnsi="Ping LCG Regular" w:cs="Arial"/>
          <w:spacing w:val="-14"/>
          <w:lang w:val="el-GR"/>
        </w:rPr>
        <w:t>ή 1</w:t>
      </w:r>
      <w:r w:rsidR="002F17FD" w:rsidRPr="00A469D4">
        <w:rPr>
          <w:rFonts w:ascii="Ping LCG Regular" w:hAnsi="Ping LCG Regular" w:cs="Arial"/>
          <w:spacing w:val="-14"/>
          <w:lang w:val="el-GR"/>
        </w:rPr>
        <w:t>.</w:t>
      </w:r>
      <w:r w:rsidR="00F23290" w:rsidRPr="00A469D4">
        <w:rPr>
          <w:rFonts w:ascii="Ping LCG Regular" w:hAnsi="Ping LCG Regular" w:cs="Arial"/>
          <w:spacing w:val="-14"/>
          <w:lang w:val="el-GR"/>
        </w:rPr>
        <w:t>466</w:t>
      </w:r>
      <w:r w:rsidR="00AD2731" w:rsidRPr="00A469D4">
        <w:rPr>
          <w:rFonts w:ascii="Ping LCG Regular" w:hAnsi="Ping LCG Regular" w:cs="Arial"/>
          <w:spacing w:val="-14"/>
          <w:lang w:val="el-GR"/>
        </w:rPr>
        <w:t xml:space="preserve"> </w:t>
      </w:r>
      <w:r w:rsidR="00AD2731" w:rsidRPr="00A469D4">
        <w:rPr>
          <w:rFonts w:ascii="Ping LCG Regular" w:hAnsi="Ping LCG Regular" w:cs="Arial"/>
          <w:spacing w:val="-14"/>
        </w:rPr>
        <w:t>GWh</w:t>
      </w:r>
      <w:r w:rsidR="001878DB" w:rsidRPr="00A469D4">
        <w:rPr>
          <w:rFonts w:ascii="Ping LCG Regular" w:hAnsi="Ping LCG Regular" w:cs="Arial"/>
          <w:spacing w:val="-14"/>
          <w:lang w:val="el-GR"/>
        </w:rPr>
        <w:t xml:space="preserve">) </w:t>
      </w:r>
      <w:r w:rsidR="00AD2731" w:rsidRPr="00A469D4">
        <w:rPr>
          <w:rFonts w:ascii="Ping LCG Regular" w:hAnsi="Ping LCG Regular" w:cs="Arial"/>
          <w:spacing w:val="-14"/>
          <w:lang w:val="el-GR"/>
        </w:rPr>
        <w:t xml:space="preserve"> στο δ’ τρίμηνο του 2020 σε σχέση με το αντίστοιχο</w:t>
      </w:r>
      <w:r w:rsidR="00AD2731" w:rsidRPr="001878DB">
        <w:rPr>
          <w:rFonts w:ascii="Ping LCG Regular" w:hAnsi="Ping LCG Regular" w:cs="Arial"/>
          <w:spacing w:val="-14"/>
          <w:lang w:val="el-GR"/>
        </w:rPr>
        <w:t xml:space="preserve"> τρίμηνο </w:t>
      </w:r>
      <w:r w:rsidR="00AD2731" w:rsidRPr="00A469D4">
        <w:rPr>
          <w:rFonts w:ascii="Ping LCG Regular" w:hAnsi="Ping LCG Regular" w:cs="Arial"/>
          <w:spacing w:val="-14"/>
          <w:lang w:val="el-GR"/>
        </w:rPr>
        <w:t>του 2019</w:t>
      </w:r>
      <w:r w:rsidR="001878DB" w:rsidRPr="001878DB">
        <w:rPr>
          <w:rFonts w:ascii="Ping LCG Regular" w:hAnsi="Ping LCG Regular" w:cs="Arial"/>
          <w:spacing w:val="-14"/>
          <w:lang w:val="el-GR"/>
        </w:rPr>
        <w:t>.</w:t>
      </w:r>
      <w:r w:rsidR="001878DB">
        <w:rPr>
          <w:rFonts w:ascii="Ping LCG Regular" w:hAnsi="Ping LCG Regular" w:cs="Arial"/>
          <w:spacing w:val="-14"/>
          <w:lang w:val="el-GR"/>
        </w:rPr>
        <w:t xml:space="preserve"> </w:t>
      </w:r>
    </w:p>
    <w:p w14:paraId="1415B461" w14:textId="77777777" w:rsidR="005C1BB8" w:rsidRDefault="005C1BB8" w:rsidP="00A249A6">
      <w:pPr>
        <w:autoSpaceDE w:val="0"/>
        <w:autoSpaceDN w:val="0"/>
        <w:adjustRightInd w:val="0"/>
        <w:jc w:val="both"/>
        <w:rPr>
          <w:rFonts w:ascii="Ping LCG Regular" w:hAnsi="Ping LCG Regular" w:cs="Arial"/>
          <w:spacing w:val="-14"/>
          <w:lang w:val="el-GR"/>
        </w:rPr>
      </w:pPr>
    </w:p>
    <w:p w14:paraId="54FD3464" w14:textId="2C791026" w:rsidR="00A249A6" w:rsidRPr="00A249A6" w:rsidRDefault="00A249A6" w:rsidP="00A249A6">
      <w:pPr>
        <w:autoSpaceDE w:val="0"/>
        <w:autoSpaceDN w:val="0"/>
        <w:adjustRightInd w:val="0"/>
        <w:jc w:val="both"/>
        <w:rPr>
          <w:rFonts w:ascii="Ping LCG Regular" w:hAnsi="Ping LCG Regular" w:cs="Arial"/>
          <w:spacing w:val="-14"/>
          <w:lang w:val="el-GR"/>
        </w:rPr>
      </w:pPr>
      <w:r w:rsidRPr="00A249A6">
        <w:rPr>
          <w:rFonts w:ascii="Ping LCG Regular" w:hAnsi="Ping LCG Regular" w:cs="Arial"/>
          <w:spacing w:val="-14"/>
          <w:lang w:val="el-GR"/>
        </w:rPr>
        <w:t xml:space="preserve">Η </w:t>
      </w:r>
      <w:r w:rsidR="00B2463B">
        <w:rPr>
          <w:rFonts w:ascii="Ping LCG Regular" w:hAnsi="Ping LCG Regular" w:cs="Arial"/>
          <w:spacing w:val="-14"/>
          <w:lang w:val="el-GR"/>
        </w:rPr>
        <w:t>παραγωγή</w:t>
      </w:r>
      <w:r w:rsidRPr="00A249A6">
        <w:rPr>
          <w:rFonts w:ascii="Ping LCG Regular" w:hAnsi="Ping LCG Regular" w:cs="Arial"/>
          <w:spacing w:val="-14"/>
          <w:lang w:val="el-GR"/>
        </w:rPr>
        <w:t xml:space="preserve"> από υδροηλεκτρικές μονάδες </w:t>
      </w:r>
      <w:r w:rsidR="00B2463B">
        <w:rPr>
          <w:rFonts w:ascii="Ping LCG Regular" w:hAnsi="Ping LCG Regular" w:cs="Arial"/>
          <w:spacing w:val="-14"/>
          <w:lang w:val="el-GR"/>
        </w:rPr>
        <w:t>μειώθηκε</w:t>
      </w:r>
      <w:r w:rsidRPr="00A249A6">
        <w:rPr>
          <w:rFonts w:ascii="Ping LCG Regular" w:hAnsi="Ping LCG Regular" w:cs="Arial"/>
          <w:spacing w:val="-14"/>
          <w:lang w:val="el-GR"/>
        </w:rPr>
        <w:t xml:space="preserve"> </w:t>
      </w:r>
      <w:r w:rsidR="00B2463B">
        <w:rPr>
          <w:rFonts w:ascii="Ping LCG Regular" w:hAnsi="Ping LCG Regular" w:cs="Arial"/>
          <w:spacing w:val="-14"/>
          <w:lang w:val="el-GR"/>
        </w:rPr>
        <w:t>κατά</w:t>
      </w:r>
      <w:r w:rsidRPr="00A249A6">
        <w:rPr>
          <w:rFonts w:ascii="Ping LCG Regular" w:hAnsi="Ping LCG Regular" w:cs="Arial"/>
          <w:spacing w:val="-14"/>
          <w:lang w:val="el-GR"/>
        </w:rPr>
        <w:t xml:space="preserve"> 13,</w:t>
      </w:r>
      <w:r w:rsidR="00266CB1">
        <w:rPr>
          <w:rFonts w:ascii="Ping LCG Regular" w:hAnsi="Ping LCG Regular" w:cs="Arial"/>
          <w:spacing w:val="-14"/>
          <w:lang w:val="el-GR"/>
        </w:rPr>
        <w:t>7</w:t>
      </w:r>
      <w:r w:rsidRPr="00A249A6">
        <w:rPr>
          <w:rFonts w:ascii="Ping LCG Regular" w:hAnsi="Ping LCG Regular" w:cs="Arial"/>
          <w:spacing w:val="-14"/>
          <w:lang w:val="el-GR"/>
        </w:rPr>
        <w:t xml:space="preserve">% ή </w:t>
      </w:r>
      <w:r w:rsidR="00266CB1">
        <w:rPr>
          <w:rFonts w:ascii="Ping LCG Regular" w:hAnsi="Ping LCG Regular" w:cs="Arial"/>
          <w:spacing w:val="-14"/>
          <w:lang w:val="el-GR"/>
        </w:rPr>
        <w:t>462</w:t>
      </w:r>
      <w:r w:rsidRPr="00A249A6">
        <w:rPr>
          <w:rFonts w:ascii="Ping LCG Regular" w:hAnsi="Ping LCG Regular" w:cs="Arial"/>
          <w:spacing w:val="-14"/>
          <w:lang w:val="el-GR"/>
        </w:rPr>
        <w:t xml:space="preserve"> </w:t>
      </w:r>
      <w:r w:rsidRPr="00AD7643">
        <w:rPr>
          <w:rFonts w:ascii="Ping LCG Regular" w:hAnsi="Ping LCG Regular" w:cs="Arial"/>
          <w:spacing w:val="-14"/>
        </w:rPr>
        <w:t>GWh</w:t>
      </w:r>
      <w:r w:rsidRPr="00A249A6">
        <w:rPr>
          <w:rFonts w:ascii="Ping LCG Regular" w:hAnsi="Ping LCG Regular" w:cs="Arial"/>
          <w:spacing w:val="-14"/>
          <w:lang w:val="el-GR"/>
        </w:rPr>
        <w:t xml:space="preserve"> λόγω των μικρότερων ποσοτήτων υδατικών εισροών στους ταμιευτήρες των Υδροηλεκτρικών Σταθμών το 2020 σε σχέση με </w:t>
      </w:r>
      <w:r w:rsidR="00CD026F">
        <w:rPr>
          <w:rFonts w:ascii="Ping LCG Regular" w:hAnsi="Ping LCG Regular" w:cs="Arial"/>
          <w:spacing w:val="-14"/>
          <w:lang w:val="el-GR"/>
        </w:rPr>
        <w:t>το 2019</w:t>
      </w:r>
      <w:r w:rsidRPr="00A249A6">
        <w:rPr>
          <w:rFonts w:ascii="Ping LCG Regular" w:hAnsi="Ping LCG Regular" w:cs="Arial"/>
          <w:spacing w:val="-14"/>
          <w:lang w:val="el-GR"/>
        </w:rPr>
        <w:t xml:space="preserve">. </w:t>
      </w:r>
    </w:p>
    <w:p w14:paraId="10CFD2E6" w14:textId="77777777" w:rsidR="00A249A6" w:rsidRPr="00A249A6" w:rsidRDefault="00A249A6" w:rsidP="00A249A6">
      <w:pPr>
        <w:autoSpaceDE w:val="0"/>
        <w:autoSpaceDN w:val="0"/>
        <w:adjustRightInd w:val="0"/>
        <w:jc w:val="both"/>
        <w:rPr>
          <w:rFonts w:ascii="Ping LCG Regular" w:hAnsi="Ping LCG Regular" w:cs="Arial"/>
          <w:spacing w:val="-14"/>
          <w:lang w:val="el-GR"/>
        </w:rPr>
      </w:pPr>
    </w:p>
    <w:p w14:paraId="49A696DB" w14:textId="6EBEFA4E" w:rsidR="003954AE" w:rsidRPr="003954AE" w:rsidRDefault="00E9736B" w:rsidP="003954AE">
      <w:pPr>
        <w:autoSpaceDE w:val="0"/>
        <w:autoSpaceDN w:val="0"/>
        <w:adjustRightInd w:val="0"/>
        <w:jc w:val="both"/>
        <w:rPr>
          <w:rFonts w:ascii="Ping LCG Regular" w:hAnsi="Ping LCG Regular" w:cs="Arial"/>
          <w:spacing w:val="-14"/>
          <w:lang w:val="el-GR"/>
        </w:rPr>
      </w:pPr>
      <w:r>
        <w:rPr>
          <w:rFonts w:ascii="Ping LCG Regular" w:hAnsi="Ping LCG Regular" w:cs="Arial"/>
          <w:spacing w:val="-14"/>
          <w:lang w:val="el-GR"/>
        </w:rPr>
        <w:t>Σε επίπεδο χώρας, σημειώθηκε άνοδος στην παραγωγή από ΑΠΕ κατά 1</w:t>
      </w:r>
      <w:r w:rsidR="00915F18">
        <w:rPr>
          <w:rFonts w:ascii="Ping LCG Regular" w:hAnsi="Ping LCG Regular" w:cs="Arial"/>
          <w:spacing w:val="-14"/>
          <w:lang w:val="el-GR"/>
        </w:rPr>
        <w:t>9</w:t>
      </w:r>
      <w:r>
        <w:rPr>
          <w:rFonts w:ascii="Ping LCG Regular" w:hAnsi="Ping LCG Regular" w:cs="Arial"/>
          <w:spacing w:val="-14"/>
          <w:lang w:val="el-GR"/>
        </w:rPr>
        <w:t>% ή 2</w:t>
      </w:r>
      <w:r w:rsidR="00410FF8">
        <w:rPr>
          <w:rFonts w:ascii="Ping LCG Regular" w:hAnsi="Ping LCG Regular" w:cs="Arial"/>
          <w:spacing w:val="-14"/>
          <w:lang w:val="el-GR"/>
        </w:rPr>
        <w:t>.</w:t>
      </w:r>
      <w:r>
        <w:rPr>
          <w:rFonts w:ascii="Ping LCG Regular" w:hAnsi="Ping LCG Regular" w:cs="Arial"/>
          <w:spacing w:val="-14"/>
          <w:lang w:val="el-GR"/>
        </w:rPr>
        <w:t>42</w:t>
      </w:r>
      <w:r w:rsidR="00915F18">
        <w:rPr>
          <w:rFonts w:ascii="Ping LCG Regular" w:hAnsi="Ping LCG Regular" w:cs="Arial"/>
          <w:spacing w:val="-14"/>
          <w:lang w:val="el-GR"/>
        </w:rPr>
        <w:t>0</w:t>
      </w:r>
      <w:r>
        <w:rPr>
          <w:rFonts w:ascii="Ping LCG Regular" w:hAnsi="Ping LCG Regular" w:cs="Arial"/>
          <w:spacing w:val="-14"/>
          <w:lang w:val="el-GR"/>
        </w:rPr>
        <w:t xml:space="preserve"> </w:t>
      </w:r>
      <w:r>
        <w:rPr>
          <w:rFonts w:ascii="Ping LCG Regular" w:hAnsi="Ping LCG Regular" w:cs="Arial"/>
          <w:spacing w:val="-14"/>
        </w:rPr>
        <w:t>GWh</w:t>
      </w:r>
      <w:r>
        <w:rPr>
          <w:rFonts w:ascii="Ping LCG Regular" w:hAnsi="Ping LCG Regular" w:cs="Arial"/>
          <w:spacing w:val="-14"/>
          <w:lang w:val="el-GR"/>
        </w:rPr>
        <w:t xml:space="preserve">, η οποία κάλυψε σε πολύ μεγάλο βαθμό την μείωση των εισαγωγών </w:t>
      </w:r>
      <w:r w:rsidR="00A249A6" w:rsidRPr="00A249A6">
        <w:rPr>
          <w:rFonts w:ascii="Ping LCG Regular" w:hAnsi="Ping LCG Regular" w:cs="Arial"/>
          <w:spacing w:val="-14"/>
          <w:lang w:val="el-GR"/>
        </w:rPr>
        <w:t xml:space="preserve">ηλεκτρικής ενέργειας κατά </w:t>
      </w:r>
      <w:r w:rsidR="00266CB1">
        <w:rPr>
          <w:rFonts w:ascii="Ping LCG Regular" w:hAnsi="Ping LCG Regular" w:cs="Arial"/>
          <w:spacing w:val="-14"/>
          <w:lang w:val="el-GR"/>
        </w:rPr>
        <w:t>22</w:t>
      </w:r>
      <w:r w:rsidR="00A249A6" w:rsidRPr="00A249A6">
        <w:rPr>
          <w:rFonts w:ascii="Ping LCG Regular" w:hAnsi="Ping LCG Regular" w:cs="Arial"/>
          <w:spacing w:val="-14"/>
          <w:lang w:val="el-GR"/>
        </w:rPr>
        <w:t xml:space="preserve">% ή </w:t>
      </w:r>
      <w:r w:rsidR="00266CB1">
        <w:rPr>
          <w:rFonts w:ascii="Ping LCG Regular" w:hAnsi="Ping LCG Regular" w:cs="Arial"/>
          <w:spacing w:val="-14"/>
          <w:lang w:val="el-GR"/>
        </w:rPr>
        <w:t>3.010</w:t>
      </w:r>
      <w:r w:rsidR="00A249A6" w:rsidRPr="00A249A6">
        <w:rPr>
          <w:rFonts w:ascii="Ping LCG Regular" w:hAnsi="Ping LCG Regular" w:cs="Arial"/>
          <w:spacing w:val="-14"/>
          <w:lang w:val="el-GR"/>
        </w:rPr>
        <w:t xml:space="preserve"> </w:t>
      </w:r>
      <w:r w:rsidR="00A249A6" w:rsidRPr="00AD7643">
        <w:rPr>
          <w:rFonts w:ascii="Ping LCG Regular" w:hAnsi="Ping LCG Regular" w:cs="Arial"/>
          <w:spacing w:val="-14"/>
        </w:rPr>
        <w:t>GWh</w:t>
      </w:r>
      <w:r w:rsidR="00A249A6" w:rsidRPr="00A249A6">
        <w:rPr>
          <w:rFonts w:ascii="Ping LCG Regular" w:hAnsi="Ping LCG Regular" w:cs="Arial"/>
          <w:spacing w:val="-14"/>
          <w:lang w:val="el-GR"/>
        </w:rPr>
        <w:t xml:space="preserve">.  </w:t>
      </w:r>
      <w:r w:rsidR="00645748">
        <w:rPr>
          <w:rFonts w:ascii="Ping LCG Regular" w:hAnsi="Ping LCG Regular" w:cs="Arial"/>
          <w:spacing w:val="-14"/>
          <w:lang w:val="el-GR"/>
        </w:rPr>
        <w:t xml:space="preserve"> </w:t>
      </w:r>
    </w:p>
    <w:bookmarkEnd w:id="4"/>
    <w:p w14:paraId="0FDA6A9E" w14:textId="16F6194A" w:rsidR="00A249A6" w:rsidRDefault="00A249A6" w:rsidP="00A249A6">
      <w:pPr>
        <w:autoSpaceDE w:val="0"/>
        <w:autoSpaceDN w:val="0"/>
        <w:jc w:val="both"/>
        <w:rPr>
          <w:rFonts w:ascii="Ping LCG Regular" w:hAnsi="Ping LCG Regular" w:cs="Arial"/>
          <w:spacing w:val="-14"/>
          <w:lang w:val="el-GR"/>
        </w:rPr>
      </w:pPr>
    </w:p>
    <w:bookmarkEnd w:id="6"/>
    <w:p w14:paraId="297DD95B" w14:textId="77777777" w:rsidR="00A249A6" w:rsidRPr="00A249A6" w:rsidRDefault="00A249A6" w:rsidP="00A249A6">
      <w:pPr>
        <w:widowControl w:val="0"/>
        <w:autoSpaceDE w:val="0"/>
        <w:autoSpaceDN w:val="0"/>
        <w:adjustRightInd w:val="0"/>
        <w:ind w:left="1" w:right="18"/>
        <w:rPr>
          <w:rFonts w:ascii="Ping LCG Regular" w:hAnsi="Ping LCG Regular" w:cs="Arial"/>
          <w:spacing w:val="-14"/>
          <w:sz w:val="22"/>
          <w:lang w:val="el-GR"/>
        </w:rPr>
      </w:pPr>
      <w:r w:rsidRPr="00A249A6">
        <w:rPr>
          <w:rFonts w:ascii="Ping LCG Regular" w:hAnsi="Ping LCG Regular" w:cs="Arial"/>
          <w:bCs/>
          <w:spacing w:val="-14"/>
          <w:szCs w:val="26"/>
          <w:u w:val="single"/>
          <w:lang w:val="el-GR"/>
        </w:rPr>
        <w:t>Δαπάνες Ενεργειακού Μείγματος</w:t>
      </w:r>
      <w:r w:rsidRPr="00A249A6" w:rsidDel="002974C9">
        <w:rPr>
          <w:rFonts w:ascii="Ping LCG Regular" w:hAnsi="Ping LCG Regular" w:cs="Arial"/>
          <w:spacing w:val="-14"/>
          <w:sz w:val="22"/>
          <w:lang w:val="el-GR"/>
        </w:rPr>
        <w:t xml:space="preserve"> </w:t>
      </w:r>
    </w:p>
    <w:p w14:paraId="5C083892" w14:textId="77777777" w:rsidR="00A249A6" w:rsidRPr="00A249A6" w:rsidRDefault="00A249A6" w:rsidP="00A249A6">
      <w:pPr>
        <w:widowControl w:val="0"/>
        <w:autoSpaceDE w:val="0"/>
        <w:autoSpaceDN w:val="0"/>
        <w:adjustRightInd w:val="0"/>
        <w:ind w:left="19" w:right="7574"/>
        <w:rPr>
          <w:rFonts w:ascii="Ping LCG Regular" w:hAnsi="Ping LCG Regular" w:cs="Arial"/>
          <w:spacing w:val="-14"/>
          <w:lang w:val="el-GR"/>
        </w:rPr>
      </w:pPr>
    </w:p>
    <w:p w14:paraId="426F21F0" w14:textId="4E0ACC5D" w:rsidR="00A249A6" w:rsidRPr="00DF1A40" w:rsidRDefault="00A249A6" w:rsidP="00A249A6">
      <w:pPr>
        <w:widowControl w:val="0"/>
        <w:autoSpaceDE w:val="0"/>
        <w:autoSpaceDN w:val="0"/>
        <w:adjustRightInd w:val="0"/>
        <w:ind w:left="1" w:right="21"/>
        <w:jc w:val="both"/>
        <w:rPr>
          <w:rFonts w:ascii="Ping LCG Regular" w:hAnsi="Ping LCG Regular" w:cs="Arial"/>
          <w:color w:val="000000" w:themeColor="text1"/>
          <w:spacing w:val="-14"/>
          <w:lang w:val="el-GR"/>
        </w:rPr>
      </w:pPr>
      <w:r w:rsidRPr="00A249A6">
        <w:rPr>
          <w:rFonts w:ascii="Ping LCG Regular" w:hAnsi="Ping LCG Regular" w:cs="Arial"/>
          <w:color w:val="000000" w:themeColor="text1"/>
          <w:spacing w:val="-14"/>
          <w:lang w:val="el-GR"/>
        </w:rPr>
        <w:t xml:space="preserve">Οι δαπάνες για </w:t>
      </w:r>
      <w:r w:rsidRPr="007110BA">
        <w:rPr>
          <w:rFonts w:ascii="Ping LCG Regular" w:hAnsi="Ping LCG Regular" w:cs="Arial"/>
          <w:color w:val="000000" w:themeColor="text1"/>
          <w:spacing w:val="-14"/>
          <w:lang w:val="el-GR"/>
        </w:rPr>
        <w:t xml:space="preserve">υγρά καύσιμα, φυσικό αέριο, στερεά καύσιμα τρίτων, </w:t>
      </w:r>
      <w:r w:rsidRPr="007110BA">
        <w:rPr>
          <w:rFonts w:ascii="Ping LCG Regular" w:hAnsi="Ping LCG Regular" w:cs="Arial"/>
          <w:color w:val="000000" w:themeColor="text1"/>
          <w:spacing w:val="-14"/>
        </w:rPr>
        <w:t>CO</w:t>
      </w:r>
      <w:r w:rsidRPr="007110BA">
        <w:rPr>
          <w:rFonts w:ascii="Ping LCG Regular" w:hAnsi="Ping LCG Regular" w:cs="Arial"/>
          <w:color w:val="000000" w:themeColor="text1"/>
          <w:spacing w:val="-14"/>
          <w:vertAlign w:val="subscript"/>
          <w:lang w:val="el-GR"/>
        </w:rPr>
        <w:t>2</w:t>
      </w:r>
      <w:r w:rsidRPr="00BC45E0">
        <w:rPr>
          <w:rFonts w:ascii="Ping LCG Regular" w:hAnsi="Ping LCG Regular" w:cs="Arial"/>
          <w:color w:val="000000" w:themeColor="text1"/>
          <w:spacing w:val="-14"/>
          <w:lang w:val="el-GR"/>
        </w:rPr>
        <w:t xml:space="preserve"> </w:t>
      </w:r>
      <w:r w:rsidR="00410FF8">
        <w:rPr>
          <w:rFonts w:ascii="Ping LCG Regular" w:hAnsi="Ping LCG Regular" w:cs="Arial"/>
          <w:color w:val="000000" w:themeColor="text1"/>
          <w:spacing w:val="-14"/>
          <w:lang w:val="el-GR"/>
        </w:rPr>
        <w:t xml:space="preserve">και </w:t>
      </w:r>
      <w:r w:rsidRPr="00BC45E0">
        <w:rPr>
          <w:rFonts w:ascii="Ping LCG Regular" w:hAnsi="Ping LCG Regular" w:cs="Arial"/>
          <w:color w:val="000000" w:themeColor="text1"/>
          <w:spacing w:val="-14"/>
          <w:lang w:val="el-GR"/>
        </w:rPr>
        <w:t xml:space="preserve">αγορές ηλεκτρικής ενέργειας μειώθηκαν </w:t>
      </w:r>
      <w:r w:rsidRPr="009E62CA">
        <w:rPr>
          <w:rFonts w:ascii="Ping LCG Regular" w:hAnsi="Ping LCG Regular" w:cs="Arial"/>
          <w:color w:val="000000" w:themeColor="text1"/>
          <w:spacing w:val="-14"/>
          <w:lang w:val="el-GR"/>
        </w:rPr>
        <w:t>κατά €</w:t>
      </w:r>
      <w:r w:rsidR="00DF1A40" w:rsidRPr="00A469D4">
        <w:rPr>
          <w:rFonts w:ascii="Ping LCG Regular" w:hAnsi="Ping LCG Regular" w:cs="Arial"/>
          <w:color w:val="000000" w:themeColor="text1"/>
          <w:spacing w:val="-14"/>
          <w:lang w:val="el-GR"/>
        </w:rPr>
        <w:t>875,2</w:t>
      </w:r>
      <w:r w:rsidRPr="009E62CA">
        <w:rPr>
          <w:rFonts w:ascii="Ping LCG Regular" w:hAnsi="Ping LCG Regular" w:cs="Arial"/>
          <w:color w:val="000000" w:themeColor="text1"/>
          <w:spacing w:val="-14"/>
        </w:rPr>
        <w:t> </w:t>
      </w:r>
      <w:r w:rsidRPr="009E62CA">
        <w:rPr>
          <w:rFonts w:ascii="Ping LCG Regular" w:hAnsi="Ping LCG Regular" w:cs="Arial"/>
          <w:color w:val="000000" w:themeColor="text1"/>
          <w:spacing w:val="-14"/>
          <w:lang w:val="el-GR"/>
        </w:rPr>
        <w:t>εκατ. (</w:t>
      </w:r>
      <w:r w:rsidR="00DF1A40" w:rsidRPr="00A469D4">
        <w:rPr>
          <w:rFonts w:ascii="Ping LCG Regular" w:hAnsi="Ping LCG Regular" w:cs="Arial"/>
          <w:color w:val="000000" w:themeColor="text1"/>
          <w:spacing w:val="-14"/>
          <w:lang w:val="el-GR"/>
        </w:rPr>
        <w:t>28,1</w:t>
      </w:r>
      <w:r w:rsidRPr="009E62CA">
        <w:rPr>
          <w:rFonts w:ascii="Ping LCG Regular" w:hAnsi="Ping LCG Regular" w:cs="Arial"/>
          <w:color w:val="000000" w:themeColor="text1"/>
          <w:spacing w:val="-14"/>
          <w:lang w:val="el-GR"/>
        </w:rPr>
        <w:t>%) σε σ</w:t>
      </w:r>
      <w:r w:rsidRPr="007110BA">
        <w:rPr>
          <w:rFonts w:ascii="Ping LCG Regular" w:hAnsi="Ping LCG Regular" w:cs="Arial"/>
          <w:color w:val="000000" w:themeColor="text1"/>
          <w:spacing w:val="-14"/>
          <w:lang w:val="el-GR"/>
        </w:rPr>
        <w:t>χέση με</w:t>
      </w:r>
      <w:r w:rsidRPr="00257AE6">
        <w:rPr>
          <w:rFonts w:ascii="Ping LCG Regular" w:hAnsi="Ping LCG Regular" w:cs="Arial"/>
          <w:color w:val="000000" w:themeColor="text1"/>
          <w:spacing w:val="-14"/>
          <w:lang w:val="el-GR"/>
        </w:rPr>
        <w:t xml:space="preserve"> το 2019. </w:t>
      </w:r>
      <w:r w:rsidR="00763E88" w:rsidRPr="00A469D4">
        <w:rPr>
          <w:rFonts w:ascii="Ping LCG Regular" w:hAnsi="Ping LCG Regular" w:cs="Arial"/>
          <w:color w:val="000000" w:themeColor="text1"/>
          <w:spacing w:val="-14"/>
          <w:lang w:val="el-GR"/>
        </w:rPr>
        <w:t xml:space="preserve"> </w:t>
      </w:r>
    </w:p>
    <w:p w14:paraId="3C75D96B" w14:textId="77777777" w:rsidR="00A249A6" w:rsidRPr="00257AE6" w:rsidRDefault="00A249A6" w:rsidP="00A249A6">
      <w:pPr>
        <w:widowControl w:val="0"/>
        <w:autoSpaceDE w:val="0"/>
        <w:autoSpaceDN w:val="0"/>
        <w:adjustRightInd w:val="0"/>
        <w:ind w:left="284" w:right="21"/>
        <w:jc w:val="both"/>
        <w:rPr>
          <w:rFonts w:ascii="Ping LCG Regular" w:hAnsi="Ping LCG Regular" w:cs="Arial"/>
          <w:color w:val="000000" w:themeColor="text1"/>
          <w:spacing w:val="-14"/>
          <w:lang w:val="el-GR"/>
        </w:rPr>
      </w:pPr>
    </w:p>
    <w:p w14:paraId="1022A08F" w14:textId="30799A1B" w:rsidR="00A249A6" w:rsidRDefault="00A249A6" w:rsidP="00A249A6">
      <w:pPr>
        <w:widowControl w:val="0"/>
        <w:autoSpaceDE w:val="0"/>
        <w:autoSpaceDN w:val="0"/>
        <w:adjustRightInd w:val="0"/>
        <w:ind w:right="21"/>
        <w:jc w:val="both"/>
        <w:rPr>
          <w:rFonts w:ascii="Ping LCG Regular" w:hAnsi="Ping LCG Regular" w:cs="Arial"/>
          <w:color w:val="000000" w:themeColor="text1"/>
          <w:spacing w:val="-14"/>
          <w:lang w:val="el-GR"/>
        </w:rPr>
      </w:pPr>
      <w:r w:rsidRPr="00257AE6">
        <w:rPr>
          <w:rFonts w:ascii="Ping LCG Regular" w:hAnsi="Ping LCG Regular" w:cs="Arial"/>
          <w:color w:val="000000" w:themeColor="text1"/>
          <w:spacing w:val="-14"/>
          <w:lang w:val="el-GR"/>
        </w:rPr>
        <w:t>Συγκεκριμένα:</w:t>
      </w:r>
    </w:p>
    <w:p w14:paraId="4419C5D1" w14:textId="77777777" w:rsidR="00BD47B5" w:rsidRPr="00257AE6" w:rsidRDefault="00BD47B5" w:rsidP="00A249A6">
      <w:pPr>
        <w:widowControl w:val="0"/>
        <w:autoSpaceDE w:val="0"/>
        <w:autoSpaceDN w:val="0"/>
        <w:adjustRightInd w:val="0"/>
        <w:ind w:right="21"/>
        <w:jc w:val="both"/>
        <w:rPr>
          <w:rFonts w:ascii="Ping LCG Regular" w:hAnsi="Ping LCG Regular" w:cs="Arial"/>
          <w:color w:val="000000" w:themeColor="text1"/>
          <w:spacing w:val="-14"/>
          <w:lang w:val="el-GR"/>
        </w:rPr>
      </w:pPr>
    </w:p>
    <w:p w14:paraId="1B765AC1" w14:textId="56ABD90A" w:rsidR="00A249A6" w:rsidRPr="00A249A6" w:rsidRDefault="00A249A6" w:rsidP="00A249A6">
      <w:pPr>
        <w:widowControl w:val="0"/>
        <w:numPr>
          <w:ilvl w:val="0"/>
          <w:numId w:val="3"/>
        </w:numPr>
        <w:autoSpaceDE w:val="0"/>
        <w:autoSpaceDN w:val="0"/>
        <w:adjustRightInd w:val="0"/>
        <w:ind w:left="284" w:right="22" w:hanging="142"/>
        <w:jc w:val="both"/>
        <w:rPr>
          <w:rFonts w:ascii="Ping LCG Regular" w:hAnsi="Ping LCG Regular" w:cs="Arial"/>
          <w:strike/>
          <w:color w:val="000000" w:themeColor="text1"/>
          <w:spacing w:val="-14"/>
          <w:lang w:val="el-GR"/>
        </w:rPr>
      </w:pPr>
      <w:r w:rsidRPr="00A249A6">
        <w:rPr>
          <w:rFonts w:ascii="Ping LCG Regular" w:hAnsi="Ping LCG Regular" w:cs="Arial"/>
          <w:color w:val="000000" w:themeColor="text1"/>
          <w:spacing w:val="-14"/>
          <w:lang w:val="el-GR"/>
        </w:rPr>
        <w:t>Η δαπάνη για υγρά καύσιμα μειώθηκε κατά 3</w:t>
      </w:r>
      <w:r w:rsidR="000F076B">
        <w:rPr>
          <w:rFonts w:ascii="Ping LCG Regular" w:hAnsi="Ping LCG Regular" w:cs="Arial"/>
          <w:color w:val="000000" w:themeColor="text1"/>
          <w:spacing w:val="-14"/>
          <w:lang w:val="el-GR"/>
        </w:rPr>
        <w:t>1,1</w:t>
      </w:r>
      <w:r w:rsidRPr="00A249A6">
        <w:rPr>
          <w:rFonts w:ascii="Ping LCG Regular" w:hAnsi="Ping LCG Regular" w:cs="Arial"/>
          <w:color w:val="000000" w:themeColor="text1"/>
          <w:spacing w:val="-14"/>
          <w:lang w:val="el-GR"/>
        </w:rPr>
        <w:t>% σε €</w:t>
      </w:r>
      <w:r w:rsidR="000F076B">
        <w:rPr>
          <w:rFonts w:ascii="Ping LCG Regular" w:hAnsi="Ping LCG Regular" w:cs="Arial"/>
          <w:color w:val="000000" w:themeColor="text1"/>
          <w:spacing w:val="-14"/>
          <w:lang w:val="el-GR"/>
        </w:rPr>
        <w:t>462,5</w:t>
      </w:r>
      <w:r w:rsidRPr="00A249A6">
        <w:rPr>
          <w:rFonts w:ascii="Ping LCG Regular" w:hAnsi="Ping LCG Regular" w:cs="Arial"/>
          <w:color w:val="000000" w:themeColor="text1"/>
          <w:spacing w:val="-14"/>
          <w:lang w:val="el-GR"/>
        </w:rPr>
        <w:t xml:space="preserve"> εκατ. το 2020 από €</w:t>
      </w:r>
      <w:r w:rsidR="000F076B">
        <w:rPr>
          <w:rFonts w:ascii="Ping LCG Regular" w:hAnsi="Ping LCG Regular" w:cs="Arial"/>
          <w:color w:val="000000" w:themeColor="text1"/>
          <w:spacing w:val="-14"/>
          <w:lang w:val="el-GR"/>
        </w:rPr>
        <w:t>670,9</w:t>
      </w:r>
      <w:r w:rsidRPr="00A249A6">
        <w:rPr>
          <w:rFonts w:ascii="Ping LCG Regular" w:hAnsi="Ping LCG Regular" w:cs="Arial"/>
          <w:color w:val="000000" w:themeColor="text1"/>
          <w:spacing w:val="-14"/>
          <w:lang w:val="el-GR"/>
        </w:rPr>
        <w:t xml:space="preserve"> εκατ. το 2019, λόγω της μικρότερης παραγωγής από υγρά καύσιμα αλλά και της χαμηλότερης τιμής του μαζούτ και του </w:t>
      </w:r>
      <w:r w:rsidRPr="00AD7643">
        <w:rPr>
          <w:rFonts w:ascii="Ping LCG Regular" w:hAnsi="Ping LCG Regular" w:cs="Arial"/>
          <w:color w:val="000000" w:themeColor="text1"/>
          <w:spacing w:val="-14"/>
        </w:rPr>
        <w:t>diesel</w:t>
      </w:r>
      <w:r w:rsidRPr="00A249A6">
        <w:rPr>
          <w:rFonts w:ascii="Ping LCG Regular" w:hAnsi="Ping LCG Regular" w:cs="Arial"/>
          <w:color w:val="000000" w:themeColor="text1"/>
          <w:spacing w:val="-14"/>
          <w:lang w:val="el-GR"/>
        </w:rPr>
        <w:t>.</w:t>
      </w:r>
    </w:p>
    <w:p w14:paraId="2684588F" w14:textId="77777777" w:rsidR="00A249A6" w:rsidRPr="00A249A6" w:rsidRDefault="00A249A6" w:rsidP="00A249A6">
      <w:pPr>
        <w:widowControl w:val="0"/>
        <w:autoSpaceDE w:val="0"/>
        <w:autoSpaceDN w:val="0"/>
        <w:adjustRightInd w:val="0"/>
        <w:ind w:left="284" w:right="22" w:hanging="142"/>
        <w:jc w:val="both"/>
        <w:rPr>
          <w:rFonts w:ascii="Ping LCG Regular" w:hAnsi="Ping LCG Regular" w:cs="Arial"/>
          <w:strike/>
          <w:color w:val="000000" w:themeColor="text1"/>
          <w:spacing w:val="-14"/>
          <w:lang w:val="el-GR"/>
        </w:rPr>
      </w:pPr>
      <w:r w:rsidRPr="00A249A6">
        <w:rPr>
          <w:rFonts w:ascii="Ping LCG Regular" w:hAnsi="Ping LCG Regular" w:cs="Arial"/>
          <w:color w:val="000000" w:themeColor="text1"/>
          <w:spacing w:val="-14"/>
          <w:lang w:val="el-GR"/>
        </w:rPr>
        <w:t xml:space="preserve"> </w:t>
      </w:r>
    </w:p>
    <w:p w14:paraId="154F2680" w14:textId="1BDB4B38" w:rsidR="0030091C" w:rsidRDefault="00A249A6" w:rsidP="00A249A6">
      <w:pPr>
        <w:widowControl w:val="0"/>
        <w:numPr>
          <w:ilvl w:val="0"/>
          <w:numId w:val="3"/>
        </w:numPr>
        <w:autoSpaceDE w:val="0"/>
        <w:autoSpaceDN w:val="0"/>
        <w:adjustRightInd w:val="0"/>
        <w:ind w:left="284" w:right="22" w:hanging="142"/>
        <w:jc w:val="both"/>
        <w:rPr>
          <w:rFonts w:ascii="Ping LCG Regular" w:hAnsi="Ping LCG Regular" w:cs="Arial"/>
          <w:color w:val="000000" w:themeColor="text1"/>
          <w:spacing w:val="-14"/>
          <w:lang w:val="el-GR"/>
        </w:rPr>
      </w:pPr>
      <w:r w:rsidRPr="00A249A6">
        <w:rPr>
          <w:rFonts w:ascii="Ping LCG Regular" w:hAnsi="Ping LCG Regular" w:cs="Arial"/>
          <w:color w:val="000000" w:themeColor="text1"/>
          <w:spacing w:val="-14"/>
          <w:lang w:val="el-GR"/>
        </w:rPr>
        <w:t xml:space="preserve">Η δαπάνη για </w:t>
      </w:r>
      <w:r w:rsidRPr="002E764E">
        <w:rPr>
          <w:rFonts w:ascii="Ping LCG Regular" w:hAnsi="Ping LCG Regular" w:cs="Arial"/>
          <w:color w:val="000000" w:themeColor="text1"/>
          <w:spacing w:val="-14"/>
          <w:lang w:val="el-GR"/>
        </w:rPr>
        <w:t xml:space="preserve">φυσικό αέριο, μειώθηκε σημαντικά κατά </w:t>
      </w:r>
      <w:r w:rsidR="00635D47">
        <w:rPr>
          <w:rFonts w:ascii="Ping LCG Regular" w:hAnsi="Ping LCG Regular" w:cs="Arial"/>
          <w:color w:val="000000" w:themeColor="text1"/>
          <w:spacing w:val="-14"/>
          <w:lang w:val="el-GR"/>
        </w:rPr>
        <w:t>30,9</w:t>
      </w:r>
      <w:r w:rsidRPr="002E764E">
        <w:rPr>
          <w:rFonts w:ascii="Ping LCG Regular" w:hAnsi="Ping LCG Regular" w:cs="Arial"/>
          <w:color w:val="000000" w:themeColor="text1"/>
          <w:spacing w:val="-14"/>
          <w:lang w:val="el-GR"/>
        </w:rPr>
        <w:t>% σε €2</w:t>
      </w:r>
      <w:r w:rsidR="00635D47">
        <w:rPr>
          <w:rFonts w:ascii="Ping LCG Regular" w:hAnsi="Ping LCG Regular" w:cs="Arial"/>
          <w:color w:val="000000" w:themeColor="text1"/>
          <w:spacing w:val="-14"/>
          <w:lang w:val="el-GR"/>
        </w:rPr>
        <w:t>97,9</w:t>
      </w:r>
      <w:r w:rsidRPr="002E764E">
        <w:rPr>
          <w:rFonts w:ascii="Ping LCG Regular" w:hAnsi="Ping LCG Regular" w:cs="Arial"/>
          <w:color w:val="000000" w:themeColor="text1"/>
          <w:spacing w:val="-14"/>
          <w:lang w:val="el-GR"/>
        </w:rPr>
        <w:t xml:space="preserve"> εκατ. έναντι €</w:t>
      </w:r>
      <w:r w:rsidR="00635D47">
        <w:rPr>
          <w:rFonts w:ascii="Ping LCG Regular" w:hAnsi="Ping LCG Regular" w:cs="Arial"/>
          <w:color w:val="000000" w:themeColor="text1"/>
          <w:spacing w:val="-14"/>
          <w:lang w:val="el-GR"/>
        </w:rPr>
        <w:t>431,4</w:t>
      </w:r>
      <w:r w:rsidRPr="002E764E">
        <w:rPr>
          <w:rFonts w:ascii="Ping LCG Regular" w:hAnsi="Ping LCG Regular" w:cs="Arial"/>
          <w:color w:val="000000" w:themeColor="text1"/>
          <w:spacing w:val="-14"/>
          <w:lang w:val="el-GR"/>
        </w:rPr>
        <w:t xml:space="preserve"> εκατ. λόγω της μείωσης της τιμής του φυσικού αερίου</w:t>
      </w:r>
      <w:r w:rsidR="00003CC4">
        <w:rPr>
          <w:rFonts w:ascii="Ping LCG Regular" w:hAnsi="Ping LCG Regular" w:cs="Arial"/>
          <w:color w:val="000000" w:themeColor="text1"/>
          <w:spacing w:val="-14"/>
          <w:lang w:val="el-GR"/>
        </w:rPr>
        <w:t>,</w:t>
      </w:r>
      <w:r w:rsidRPr="002E764E">
        <w:rPr>
          <w:rFonts w:ascii="Ping LCG Regular" w:hAnsi="Ping LCG Regular" w:cs="Arial"/>
          <w:color w:val="000000" w:themeColor="text1"/>
          <w:spacing w:val="-14"/>
          <w:lang w:val="el-GR"/>
        </w:rPr>
        <w:t xml:space="preserve"> </w:t>
      </w:r>
      <w:r w:rsidR="00635D47">
        <w:rPr>
          <w:rFonts w:ascii="Ping LCG Regular" w:hAnsi="Ping LCG Regular" w:cs="Arial"/>
          <w:color w:val="000000" w:themeColor="text1"/>
          <w:spacing w:val="-14"/>
          <w:lang w:val="el-GR"/>
        </w:rPr>
        <w:t>παρά την προαναφερθείσα αύξηση της παραγωγής.</w:t>
      </w:r>
      <w:r w:rsidR="0030091C">
        <w:rPr>
          <w:rFonts w:ascii="Ping LCG Regular" w:hAnsi="Ping LCG Regular" w:cs="Arial"/>
          <w:color w:val="000000" w:themeColor="text1"/>
          <w:spacing w:val="-14"/>
          <w:lang w:val="el-GR"/>
        </w:rPr>
        <w:t xml:space="preserve"> </w:t>
      </w:r>
    </w:p>
    <w:p w14:paraId="26328F44" w14:textId="0C1135BC" w:rsidR="00A249A6" w:rsidRPr="002E764E" w:rsidRDefault="005F693A" w:rsidP="00851841">
      <w:pPr>
        <w:jc w:val="both"/>
        <w:rPr>
          <w:rFonts w:ascii="Ping LCG Regular" w:hAnsi="Ping LCG Regular" w:cs="Arial"/>
          <w:spacing w:val="-14"/>
          <w:lang w:val="el-GR"/>
        </w:rPr>
      </w:pPr>
      <w:r w:rsidRPr="00B80C23">
        <w:rPr>
          <w:rFonts w:ascii="Ping LCG Regular" w:hAnsi="Ping LCG Regular" w:cs="Arial"/>
          <w:spacing w:val="-14"/>
          <w:lang w:val="el-GR"/>
        </w:rPr>
        <w:t xml:space="preserve">     </w:t>
      </w:r>
      <w:r w:rsidR="00A249A6" w:rsidRPr="002E764E">
        <w:rPr>
          <w:rFonts w:ascii="Ping LCG Regular" w:hAnsi="Ping LCG Regular" w:cs="Arial"/>
          <w:spacing w:val="-14"/>
          <w:lang w:val="el-GR"/>
        </w:rPr>
        <w:t xml:space="preserve"> </w:t>
      </w:r>
    </w:p>
    <w:p w14:paraId="7CAEEE67" w14:textId="28188E6C" w:rsidR="00A249A6" w:rsidRPr="00E24BAE" w:rsidRDefault="00A249A6" w:rsidP="00A249A6">
      <w:pPr>
        <w:widowControl w:val="0"/>
        <w:numPr>
          <w:ilvl w:val="0"/>
          <w:numId w:val="3"/>
        </w:numPr>
        <w:autoSpaceDE w:val="0"/>
        <w:autoSpaceDN w:val="0"/>
        <w:adjustRightInd w:val="0"/>
        <w:ind w:left="284" w:right="22" w:hanging="142"/>
        <w:jc w:val="both"/>
        <w:rPr>
          <w:rFonts w:ascii="Ping LCG Regular" w:hAnsi="Ping LCG Regular" w:cs="Arial"/>
          <w:spacing w:val="-14"/>
          <w:lang w:val="el-GR"/>
        </w:rPr>
      </w:pPr>
      <w:r w:rsidRPr="00E24BAE">
        <w:rPr>
          <w:rFonts w:ascii="Ping LCG Regular" w:hAnsi="Ping LCG Regular" w:cs="Arial"/>
          <w:spacing w:val="-14"/>
          <w:lang w:val="el-GR"/>
        </w:rPr>
        <w:t>Η δαπάνη για αγορές ενέργειας από το Σύστημα (ηπειρωτική χώρα) και το Δίκτυο (μη διασυνδεδεμένα νησιά)</w:t>
      </w:r>
      <w:r w:rsidR="00500167">
        <w:rPr>
          <w:rFonts w:ascii="Ping LCG Regular" w:hAnsi="Ping LCG Regular" w:cs="Arial"/>
          <w:spacing w:val="-14"/>
          <w:lang w:val="el-GR"/>
        </w:rPr>
        <w:t>,</w:t>
      </w:r>
      <w:r w:rsidR="00904859">
        <w:rPr>
          <w:rFonts w:ascii="Ping LCG Regular" w:hAnsi="Ping LCG Regular" w:cs="Arial"/>
          <w:spacing w:val="-14"/>
          <w:lang w:val="el-GR"/>
        </w:rPr>
        <w:t xml:space="preserve"> εξαιρουμένης της επίπτωσης των ΝΟΜΕ και </w:t>
      </w:r>
      <w:r w:rsidR="00500167">
        <w:rPr>
          <w:rFonts w:ascii="Ping LCG Regular" w:hAnsi="Ping LCG Regular" w:cs="Arial"/>
          <w:spacing w:val="-14"/>
          <w:lang w:val="el-GR"/>
        </w:rPr>
        <w:t>των εκτάκτων εφάπαξ χρεώσεων για τον ΕΛΑΠΕ</w:t>
      </w:r>
      <w:r w:rsidRPr="00E24BAE">
        <w:rPr>
          <w:rFonts w:ascii="Ping LCG Regular" w:hAnsi="Ping LCG Regular" w:cs="Arial"/>
          <w:spacing w:val="-14"/>
          <w:lang w:val="el-GR"/>
        </w:rPr>
        <w:t>, μειώθηκε κατά €</w:t>
      </w:r>
      <w:r w:rsidR="00635D47" w:rsidRPr="00DF1A40">
        <w:rPr>
          <w:rFonts w:ascii="Ping LCG Regular" w:hAnsi="Ping LCG Regular" w:cs="Arial"/>
          <w:spacing w:val="-14"/>
          <w:lang w:val="el-GR"/>
        </w:rPr>
        <w:t>3</w:t>
      </w:r>
      <w:r w:rsidR="0041122A" w:rsidRPr="00DF1A40">
        <w:rPr>
          <w:rFonts w:ascii="Ping LCG Regular" w:hAnsi="Ping LCG Regular" w:cs="Arial"/>
          <w:spacing w:val="-14"/>
          <w:lang w:val="el-GR"/>
        </w:rPr>
        <w:t>73</w:t>
      </w:r>
      <w:r w:rsidR="00425E75" w:rsidRPr="00DF1A40">
        <w:rPr>
          <w:rFonts w:ascii="Ping LCG Regular" w:hAnsi="Ping LCG Regular" w:cs="Arial"/>
          <w:spacing w:val="-14"/>
          <w:lang w:val="el-GR"/>
        </w:rPr>
        <w:t>,</w:t>
      </w:r>
      <w:r w:rsidR="0041122A" w:rsidRPr="00DF1A40">
        <w:rPr>
          <w:rFonts w:ascii="Ping LCG Regular" w:hAnsi="Ping LCG Regular" w:cs="Arial"/>
          <w:spacing w:val="-14"/>
          <w:lang w:val="el-GR"/>
        </w:rPr>
        <w:t>2</w:t>
      </w:r>
      <w:r w:rsidRPr="00E24BAE">
        <w:rPr>
          <w:rFonts w:ascii="Ping LCG Regular" w:hAnsi="Ping LCG Regular" w:cs="Arial"/>
          <w:spacing w:val="-14"/>
          <w:lang w:val="el-GR"/>
        </w:rPr>
        <w:t xml:space="preserve"> εκατ. λόγω της μείωσης της </w:t>
      </w:r>
      <w:r w:rsidR="00AC6FCA">
        <w:rPr>
          <w:rFonts w:ascii="Ping LCG Regular" w:hAnsi="Ping LCG Regular" w:cs="Arial"/>
          <w:spacing w:val="-14"/>
          <w:lang w:val="el-GR"/>
        </w:rPr>
        <w:t>Τιμής Εκκαθάρισης Αγοράς</w:t>
      </w:r>
      <w:r w:rsidR="00AC6FCA" w:rsidRPr="00AC6FCA">
        <w:rPr>
          <w:rFonts w:ascii="Ping LCG Regular" w:hAnsi="Ping LCG Regular" w:cs="Arial"/>
          <w:spacing w:val="-14"/>
          <w:lang w:val="el-GR"/>
        </w:rPr>
        <w:t>-</w:t>
      </w:r>
      <w:r w:rsidR="00AC6FCA">
        <w:rPr>
          <w:rFonts w:ascii="Ping LCG Regular" w:hAnsi="Ping LCG Regular" w:cs="Arial"/>
          <w:spacing w:val="-14"/>
          <w:lang w:val="el-GR"/>
        </w:rPr>
        <w:t xml:space="preserve">ΤΕΑ (πρώην </w:t>
      </w:r>
      <w:r w:rsidRPr="00E24BAE">
        <w:rPr>
          <w:rFonts w:ascii="Ping LCG Regular" w:hAnsi="Ping LCG Regular" w:cs="Arial"/>
          <w:spacing w:val="-14"/>
          <w:lang w:val="el-GR"/>
        </w:rPr>
        <w:t>ΟΤΣ</w:t>
      </w:r>
      <w:r w:rsidR="00AC6FCA">
        <w:rPr>
          <w:rFonts w:ascii="Ping LCG Regular" w:hAnsi="Ping LCG Regular" w:cs="Arial"/>
          <w:spacing w:val="-14"/>
          <w:lang w:val="el-GR"/>
        </w:rPr>
        <w:t>)</w:t>
      </w:r>
      <w:r w:rsidRPr="00E24BAE">
        <w:rPr>
          <w:rFonts w:ascii="Ping LCG Regular" w:hAnsi="Ping LCG Regular" w:cs="Arial"/>
          <w:spacing w:val="-14"/>
          <w:lang w:val="el-GR"/>
        </w:rPr>
        <w:t xml:space="preserve"> από </w:t>
      </w:r>
      <w:r w:rsidR="00096713" w:rsidRPr="00E24BAE">
        <w:rPr>
          <w:rFonts w:ascii="Ping LCG Regular" w:hAnsi="Ping LCG Regular" w:cs="Arial"/>
          <w:spacing w:val="-14"/>
          <w:lang w:val="el-GR"/>
        </w:rPr>
        <w:t>€</w:t>
      </w:r>
      <w:r w:rsidR="00CF573C">
        <w:rPr>
          <w:rFonts w:ascii="Ping LCG Regular" w:hAnsi="Ping LCG Regular" w:cs="Arial"/>
          <w:spacing w:val="-14"/>
          <w:lang w:val="el-GR"/>
        </w:rPr>
        <w:t>63,8</w:t>
      </w:r>
      <w:r w:rsidRPr="00E24BAE">
        <w:rPr>
          <w:rFonts w:ascii="Ping LCG Regular" w:hAnsi="Ping LCG Regular" w:cs="Arial"/>
          <w:spacing w:val="-14"/>
          <w:lang w:val="el-GR"/>
        </w:rPr>
        <w:t>/</w:t>
      </w:r>
      <w:r w:rsidRPr="00E24BAE">
        <w:rPr>
          <w:rFonts w:ascii="Ping LCG Regular" w:hAnsi="Ping LCG Regular" w:cs="Arial"/>
          <w:spacing w:val="-14"/>
        </w:rPr>
        <w:t>MWh</w:t>
      </w:r>
      <w:r w:rsidRPr="00E24BAE">
        <w:rPr>
          <w:rFonts w:ascii="Ping LCG Regular" w:hAnsi="Ping LCG Regular" w:cs="Arial"/>
          <w:spacing w:val="-14"/>
          <w:lang w:val="el-GR"/>
        </w:rPr>
        <w:t xml:space="preserve"> το </w:t>
      </w:r>
      <w:r w:rsidRPr="00E24BAE">
        <w:rPr>
          <w:rFonts w:ascii="Ping LCG Regular" w:hAnsi="Ping LCG Regular" w:cs="Arial"/>
          <w:color w:val="000000" w:themeColor="text1"/>
          <w:spacing w:val="-14"/>
          <w:lang w:val="el-GR"/>
        </w:rPr>
        <w:t>2019</w:t>
      </w:r>
      <w:r w:rsidRPr="00E24BAE">
        <w:rPr>
          <w:rFonts w:ascii="Ping LCG Regular" w:hAnsi="Ping LCG Regular" w:cs="Arial"/>
          <w:spacing w:val="-14"/>
          <w:lang w:val="el-GR"/>
        </w:rPr>
        <w:t xml:space="preserve"> σε €</w:t>
      </w:r>
      <w:r w:rsidR="00CF573C">
        <w:rPr>
          <w:rFonts w:ascii="Ping LCG Regular" w:hAnsi="Ping LCG Regular" w:cs="Arial"/>
          <w:spacing w:val="-14"/>
          <w:lang w:val="el-GR"/>
        </w:rPr>
        <w:t>45,1</w:t>
      </w:r>
      <w:r w:rsidRPr="00E24BAE">
        <w:rPr>
          <w:rFonts w:ascii="Ping LCG Regular" w:hAnsi="Ping LCG Regular" w:cs="Arial"/>
          <w:spacing w:val="-14"/>
          <w:lang w:val="el-GR"/>
        </w:rPr>
        <w:t>/</w:t>
      </w:r>
      <w:r w:rsidRPr="00E24BAE">
        <w:rPr>
          <w:rFonts w:ascii="Ping LCG Regular" w:hAnsi="Ping LCG Regular" w:cs="Arial"/>
          <w:spacing w:val="-14"/>
        </w:rPr>
        <w:t>MWh</w:t>
      </w:r>
      <w:r w:rsidRPr="00E24BAE">
        <w:rPr>
          <w:rFonts w:ascii="Ping LCG Regular" w:hAnsi="Ping LCG Regular" w:cs="Arial"/>
          <w:spacing w:val="-14"/>
          <w:lang w:val="el-GR"/>
        </w:rPr>
        <w:t xml:space="preserve"> </w:t>
      </w:r>
      <w:r w:rsidR="00635D47">
        <w:rPr>
          <w:rFonts w:ascii="Ping LCG Regular" w:hAnsi="Ping LCG Regular" w:cs="Arial"/>
          <w:spacing w:val="-14"/>
          <w:lang w:val="el-GR"/>
        </w:rPr>
        <w:t>το</w:t>
      </w:r>
      <w:r w:rsidRPr="00E24BAE">
        <w:rPr>
          <w:rFonts w:ascii="Ping LCG Regular" w:hAnsi="Ping LCG Regular" w:cs="Arial"/>
          <w:color w:val="000000" w:themeColor="text1"/>
          <w:spacing w:val="-14"/>
          <w:lang w:val="el-GR"/>
        </w:rPr>
        <w:t xml:space="preserve"> 2020 </w:t>
      </w:r>
      <w:r w:rsidR="00635D47">
        <w:rPr>
          <w:rFonts w:ascii="Ping LCG Regular" w:hAnsi="Ping LCG Regular" w:cs="Arial"/>
          <w:color w:val="000000" w:themeColor="text1"/>
          <w:spacing w:val="-14"/>
          <w:lang w:val="el-GR"/>
        </w:rPr>
        <w:t xml:space="preserve">όπως επίσης και του μικρότερου </w:t>
      </w:r>
      <w:r w:rsidRPr="00E24BAE">
        <w:rPr>
          <w:rFonts w:ascii="Ping LCG Regular" w:hAnsi="Ping LCG Regular" w:cs="Arial"/>
          <w:spacing w:val="-14"/>
          <w:lang w:val="el-GR"/>
        </w:rPr>
        <w:t>όγκο</w:t>
      </w:r>
      <w:r w:rsidR="00635D47">
        <w:rPr>
          <w:rFonts w:ascii="Ping LCG Regular" w:hAnsi="Ping LCG Regular" w:cs="Arial"/>
          <w:spacing w:val="-14"/>
          <w:lang w:val="el-GR"/>
        </w:rPr>
        <w:t>υ των</w:t>
      </w:r>
      <w:r w:rsidRPr="00E24BAE">
        <w:rPr>
          <w:rFonts w:ascii="Ping LCG Regular" w:hAnsi="Ping LCG Regular" w:cs="Arial"/>
          <w:spacing w:val="-14"/>
          <w:lang w:val="el-GR"/>
        </w:rPr>
        <w:t xml:space="preserve"> αγορών ενέργειας. </w:t>
      </w:r>
      <w:r w:rsidR="00904859">
        <w:rPr>
          <w:rFonts w:ascii="Ping LCG Regular" w:hAnsi="Ping LCG Regular" w:cs="Arial"/>
          <w:spacing w:val="-14"/>
          <w:lang w:val="el-GR"/>
        </w:rPr>
        <w:t xml:space="preserve"> </w:t>
      </w:r>
    </w:p>
    <w:p w14:paraId="5DFCE94A" w14:textId="77777777" w:rsidR="00A249A6" w:rsidRPr="002E764E" w:rsidRDefault="00A249A6" w:rsidP="00A249A6">
      <w:pPr>
        <w:pStyle w:val="af1"/>
        <w:rPr>
          <w:rFonts w:ascii="Ping LCG Regular" w:hAnsi="Ping LCG Regular" w:cs="Arial"/>
          <w:spacing w:val="-14"/>
        </w:rPr>
      </w:pPr>
    </w:p>
    <w:p w14:paraId="432647F3" w14:textId="77777777" w:rsidR="005F693A" w:rsidRDefault="00A249A6" w:rsidP="00A249A6">
      <w:pPr>
        <w:widowControl w:val="0"/>
        <w:numPr>
          <w:ilvl w:val="0"/>
          <w:numId w:val="3"/>
        </w:numPr>
        <w:autoSpaceDE w:val="0"/>
        <w:autoSpaceDN w:val="0"/>
        <w:adjustRightInd w:val="0"/>
        <w:ind w:left="284" w:right="22" w:hanging="142"/>
        <w:jc w:val="both"/>
        <w:rPr>
          <w:rFonts w:ascii="Ping LCG Regular" w:hAnsi="Ping LCG Regular" w:cs="Arial"/>
          <w:spacing w:val="-14"/>
          <w:lang w:val="el-GR"/>
        </w:rPr>
      </w:pPr>
      <w:r w:rsidRPr="002E764E">
        <w:rPr>
          <w:rFonts w:ascii="Ping LCG Regular" w:hAnsi="Ping LCG Regular" w:cs="Arial"/>
          <w:spacing w:val="-14"/>
          <w:lang w:val="el-GR"/>
        </w:rPr>
        <w:t xml:space="preserve">Η δαπάνη για δικαιώματα εκπομπών </w:t>
      </w:r>
      <w:r w:rsidRPr="002E764E">
        <w:rPr>
          <w:rFonts w:ascii="Ping LCG Regular" w:hAnsi="Ping LCG Regular" w:cs="Arial"/>
          <w:spacing w:val="-14"/>
        </w:rPr>
        <w:t>CO</w:t>
      </w:r>
      <w:r w:rsidRPr="00FD1125">
        <w:rPr>
          <w:rFonts w:ascii="Ping LCG Regular" w:hAnsi="Ping LCG Regular" w:cs="Arial"/>
          <w:spacing w:val="-14"/>
          <w:vertAlign w:val="subscript"/>
          <w:lang w:val="el-GR"/>
        </w:rPr>
        <w:t>2</w:t>
      </w:r>
      <w:r w:rsidRPr="002E764E">
        <w:rPr>
          <w:rFonts w:ascii="Ping LCG Regular" w:hAnsi="Ping LCG Regular" w:cs="Arial"/>
          <w:spacing w:val="-14"/>
          <w:lang w:val="el-GR"/>
        </w:rPr>
        <w:t xml:space="preserve"> μειώθηκε σε €</w:t>
      </w:r>
      <w:r w:rsidR="00635D47">
        <w:rPr>
          <w:rFonts w:ascii="Ping LCG Regular" w:hAnsi="Ping LCG Regular" w:cs="Arial"/>
          <w:spacing w:val="-14"/>
          <w:lang w:val="el-GR"/>
        </w:rPr>
        <w:t>393,5</w:t>
      </w:r>
      <w:r w:rsidRPr="002E764E">
        <w:rPr>
          <w:rFonts w:ascii="Ping LCG Regular" w:hAnsi="Ping LCG Regular" w:cs="Arial"/>
          <w:spacing w:val="-14"/>
          <w:lang w:val="el-GR"/>
        </w:rPr>
        <w:t xml:space="preserve"> εκατ. το 2020 από €</w:t>
      </w:r>
      <w:r w:rsidR="00635D47">
        <w:rPr>
          <w:rFonts w:ascii="Ping LCG Regular" w:hAnsi="Ping LCG Regular" w:cs="Arial"/>
          <w:spacing w:val="-14"/>
          <w:lang w:val="el-GR"/>
        </w:rPr>
        <w:t>546,5</w:t>
      </w:r>
      <w:r w:rsidRPr="002E764E">
        <w:rPr>
          <w:rFonts w:ascii="Ping LCG Regular" w:hAnsi="Ping LCG Regular" w:cs="Arial"/>
          <w:spacing w:val="-14"/>
          <w:lang w:val="el-GR"/>
        </w:rPr>
        <w:t xml:space="preserve"> εκατ</w:t>
      </w:r>
      <w:r w:rsidRPr="00A249A6">
        <w:rPr>
          <w:rFonts w:ascii="Ping LCG Regular" w:hAnsi="Ping LCG Regular" w:cs="Arial"/>
          <w:spacing w:val="-14"/>
          <w:lang w:val="el-GR"/>
        </w:rPr>
        <w:t xml:space="preserve">. το 2019, λόγω των μείωσης των εκπομπών </w:t>
      </w:r>
      <w:r w:rsidRPr="00A24AC0">
        <w:rPr>
          <w:rFonts w:ascii="Ping LCG Regular" w:hAnsi="Ping LCG Regular" w:cs="Arial"/>
          <w:spacing w:val="-14"/>
        </w:rPr>
        <w:t>CO</w:t>
      </w:r>
      <w:r w:rsidRPr="00663715">
        <w:rPr>
          <w:rFonts w:ascii="Ping LCG Regular" w:hAnsi="Ping LCG Regular" w:cs="Arial"/>
          <w:spacing w:val="-14"/>
          <w:vertAlign w:val="subscript"/>
          <w:lang w:val="el-GR"/>
        </w:rPr>
        <w:t>2</w:t>
      </w:r>
      <w:r w:rsidRPr="00A249A6">
        <w:rPr>
          <w:rFonts w:ascii="Ping LCG Regular" w:hAnsi="Ping LCG Regular" w:cs="Arial"/>
          <w:spacing w:val="-14"/>
          <w:lang w:val="el-GR"/>
        </w:rPr>
        <w:t xml:space="preserve"> από </w:t>
      </w:r>
      <w:r w:rsidR="00635D47">
        <w:rPr>
          <w:rFonts w:ascii="Ping LCG Regular" w:hAnsi="Ping LCG Regular" w:cs="Arial"/>
          <w:spacing w:val="-14"/>
          <w:lang w:val="el-GR"/>
        </w:rPr>
        <w:t>23,1</w:t>
      </w:r>
      <w:r w:rsidRPr="00A249A6">
        <w:rPr>
          <w:rFonts w:ascii="Ping LCG Regular" w:hAnsi="Ping LCG Regular" w:cs="Arial"/>
          <w:spacing w:val="-14"/>
          <w:lang w:val="el-GR"/>
        </w:rPr>
        <w:t xml:space="preserve"> εκατ</w:t>
      </w:r>
      <w:r w:rsidR="00F20331">
        <w:rPr>
          <w:rFonts w:ascii="Ping LCG Regular" w:hAnsi="Ping LCG Regular" w:cs="Arial"/>
          <w:spacing w:val="-14"/>
          <w:lang w:val="el-GR"/>
        </w:rPr>
        <w:t>.</w:t>
      </w:r>
      <w:r w:rsidRPr="00A249A6">
        <w:rPr>
          <w:rFonts w:ascii="Ping LCG Regular" w:hAnsi="Ping LCG Regular" w:cs="Arial"/>
          <w:spacing w:val="-14"/>
          <w:lang w:val="el-GR"/>
        </w:rPr>
        <w:t xml:space="preserve"> τόνους σε 1</w:t>
      </w:r>
      <w:r w:rsidR="00635D47">
        <w:rPr>
          <w:rFonts w:ascii="Ping LCG Regular" w:hAnsi="Ping LCG Regular" w:cs="Arial"/>
          <w:spacing w:val="-14"/>
          <w:lang w:val="el-GR"/>
        </w:rPr>
        <w:t>5</w:t>
      </w:r>
      <w:r w:rsidRPr="00A249A6">
        <w:rPr>
          <w:rFonts w:ascii="Ping LCG Regular" w:hAnsi="Ping LCG Regular" w:cs="Arial"/>
          <w:spacing w:val="-14"/>
          <w:lang w:val="el-GR"/>
        </w:rPr>
        <w:t>,</w:t>
      </w:r>
      <w:r w:rsidR="003332ED">
        <w:rPr>
          <w:rFonts w:ascii="Ping LCG Regular" w:hAnsi="Ping LCG Regular" w:cs="Arial"/>
          <w:spacing w:val="-14"/>
          <w:lang w:val="el-GR"/>
        </w:rPr>
        <w:t>5</w:t>
      </w:r>
      <w:r w:rsidRPr="00A249A6">
        <w:rPr>
          <w:rFonts w:ascii="Ping LCG Regular" w:hAnsi="Ping LCG Regular" w:cs="Arial"/>
          <w:spacing w:val="-14"/>
          <w:lang w:val="el-GR"/>
        </w:rPr>
        <w:t xml:space="preserve"> εκατ. τόνους η οποία αντισταθμίστηκε </w:t>
      </w:r>
      <w:r w:rsidR="00F20331">
        <w:rPr>
          <w:rFonts w:ascii="Ping LCG Regular" w:hAnsi="Ping LCG Regular" w:cs="Arial"/>
          <w:spacing w:val="-14"/>
          <w:lang w:val="el-GR"/>
        </w:rPr>
        <w:t xml:space="preserve">σε μικρό βαθμό </w:t>
      </w:r>
      <w:r w:rsidRPr="00A249A6">
        <w:rPr>
          <w:rFonts w:ascii="Ping LCG Regular" w:hAnsi="Ping LCG Regular" w:cs="Arial"/>
          <w:spacing w:val="-14"/>
          <w:lang w:val="el-GR"/>
        </w:rPr>
        <w:t xml:space="preserve">από την αύξηση της μέσης τιμής δικαιωμάτων εκπομπών </w:t>
      </w:r>
      <w:r w:rsidRPr="00A24AC0">
        <w:rPr>
          <w:rFonts w:ascii="Ping LCG Regular" w:hAnsi="Ping LCG Regular" w:cs="Arial"/>
          <w:spacing w:val="-14"/>
        </w:rPr>
        <w:t>CO</w:t>
      </w:r>
      <w:r w:rsidRPr="00A249A6">
        <w:rPr>
          <w:rFonts w:ascii="Ping LCG Regular" w:hAnsi="Ping LCG Regular" w:cs="Arial"/>
          <w:spacing w:val="-14"/>
          <w:vertAlign w:val="subscript"/>
          <w:lang w:val="el-GR"/>
        </w:rPr>
        <w:t>2</w:t>
      </w:r>
      <w:r w:rsidRPr="00A249A6">
        <w:rPr>
          <w:rFonts w:ascii="Ping LCG Regular" w:hAnsi="Ping LCG Regular" w:cs="Arial"/>
          <w:spacing w:val="-14"/>
          <w:lang w:val="el-GR"/>
        </w:rPr>
        <w:t xml:space="preserve"> από €2</w:t>
      </w:r>
      <w:r w:rsidR="003332ED">
        <w:rPr>
          <w:rFonts w:ascii="Ping LCG Regular" w:hAnsi="Ping LCG Regular" w:cs="Arial"/>
          <w:spacing w:val="-14"/>
          <w:lang w:val="el-GR"/>
        </w:rPr>
        <w:t>3</w:t>
      </w:r>
      <w:r w:rsidRPr="00A249A6">
        <w:rPr>
          <w:rFonts w:ascii="Ping LCG Regular" w:hAnsi="Ping LCG Regular" w:cs="Arial"/>
          <w:spacing w:val="-14"/>
          <w:lang w:val="el-GR"/>
        </w:rPr>
        <w:t>,</w:t>
      </w:r>
      <w:r w:rsidR="006068F0">
        <w:rPr>
          <w:rFonts w:ascii="Ping LCG Regular" w:hAnsi="Ping LCG Regular" w:cs="Arial"/>
          <w:spacing w:val="-14"/>
          <w:lang w:val="el-GR"/>
        </w:rPr>
        <w:t>7</w:t>
      </w:r>
      <w:r w:rsidRPr="00A249A6">
        <w:rPr>
          <w:rFonts w:ascii="Ping LCG Regular" w:hAnsi="Ping LCG Regular" w:cs="Arial"/>
          <w:spacing w:val="-14"/>
          <w:lang w:val="el-GR"/>
        </w:rPr>
        <w:t>/τόνο σε €2</w:t>
      </w:r>
      <w:r w:rsidR="003332ED">
        <w:rPr>
          <w:rFonts w:ascii="Ping LCG Regular" w:hAnsi="Ping LCG Regular" w:cs="Arial"/>
          <w:spacing w:val="-14"/>
          <w:lang w:val="el-GR"/>
        </w:rPr>
        <w:t>5</w:t>
      </w:r>
      <w:r w:rsidRPr="00A249A6">
        <w:rPr>
          <w:rFonts w:ascii="Ping LCG Regular" w:hAnsi="Ping LCG Regular" w:cs="Arial"/>
          <w:spacing w:val="-14"/>
          <w:lang w:val="el-GR"/>
        </w:rPr>
        <w:t>,</w:t>
      </w:r>
      <w:r w:rsidR="00345777">
        <w:rPr>
          <w:rFonts w:ascii="Ping LCG Regular" w:hAnsi="Ping LCG Regular" w:cs="Arial"/>
          <w:spacing w:val="-14"/>
          <w:lang w:val="el-GR"/>
        </w:rPr>
        <w:t>6</w:t>
      </w:r>
      <w:r w:rsidRPr="00A249A6">
        <w:rPr>
          <w:rFonts w:ascii="Ping LCG Regular" w:hAnsi="Ping LCG Regular" w:cs="Arial"/>
          <w:spacing w:val="-14"/>
          <w:lang w:val="el-GR"/>
        </w:rPr>
        <w:t>/τόνο</w:t>
      </w:r>
      <w:r w:rsidR="00BC0B5F">
        <w:rPr>
          <w:rFonts w:ascii="Ping LCG Regular" w:hAnsi="Ping LCG Regular" w:cs="Arial"/>
          <w:spacing w:val="-14"/>
          <w:lang w:val="el-GR"/>
        </w:rPr>
        <w:t xml:space="preserve">. </w:t>
      </w:r>
    </w:p>
    <w:p w14:paraId="4C88369E" w14:textId="4E557B4D" w:rsidR="00BC0B5F" w:rsidRDefault="00BC0B5F" w:rsidP="00B95D17">
      <w:pPr>
        <w:pStyle w:val="af1"/>
        <w:rPr>
          <w:rFonts w:ascii="Ping LCG Regular" w:hAnsi="Ping LCG Regular" w:cs="Arial"/>
          <w:spacing w:val="-14"/>
          <w:highlight w:val="magenta"/>
        </w:rPr>
      </w:pPr>
    </w:p>
    <w:p w14:paraId="172A49A5" w14:textId="77777777" w:rsidR="00A249A6" w:rsidRPr="00A249A6" w:rsidRDefault="00A249A6" w:rsidP="00A249A6">
      <w:pPr>
        <w:widowControl w:val="0"/>
        <w:autoSpaceDE w:val="0"/>
        <w:autoSpaceDN w:val="0"/>
        <w:adjustRightInd w:val="0"/>
        <w:rPr>
          <w:rFonts w:ascii="Ping LCG Regular" w:hAnsi="Ping LCG Regular" w:cs="Arial"/>
          <w:bCs/>
          <w:spacing w:val="-14"/>
          <w:szCs w:val="26"/>
          <w:u w:val="single"/>
          <w:lang w:val="el-GR"/>
        </w:rPr>
      </w:pPr>
      <w:bookmarkStart w:id="7" w:name="_Hlk69124916"/>
      <w:bookmarkStart w:id="8" w:name="_Hlk68249890"/>
      <w:r w:rsidRPr="00A249A6">
        <w:rPr>
          <w:rFonts w:ascii="Ping LCG Regular" w:hAnsi="Ping LCG Regular" w:cs="Arial"/>
          <w:bCs/>
          <w:spacing w:val="-14"/>
          <w:szCs w:val="26"/>
          <w:u w:val="single"/>
          <w:lang w:val="el-GR"/>
        </w:rPr>
        <w:t xml:space="preserve">Δαπάνες Μισθοδοσίας  </w:t>
      </w:r>
    </w:p>
    <w:p w14:paraId="4C57F796" w14:textId="77777777" w:rsidR="00A249A6" w:rsidRPr="00A249A6" w:rsidRDefault="00A249A6" w:rsidP="00A249A6">
      <w:pPr>
        <w:widowControl w:val="0"/>
        <w:autoSpaceDE w:val="0"/>
        <w:autoSpaceDN w:val="0"/>
        <w:adjustRightInd w:val="0"/>
        <w:rPr>
          <w:rFonts w:ascii="Ping LCG Regular" w:hAnsi="Ping LCG Regular" w:cs="Arial"/>
          <w:bCs/>
          <w:spacing w:val="-14"/>
          <w:szCs w:val="26"/>
          <w:u w:val="single"/>
          <w:lang w:val="el-GR"/>
        </w:rPr>
      </w:pPr>
    </w:p>
    <w:p w14:paraId="16553F43" w14:textId="77B114D6" w:rsidR="00125A35" w:rsidRPr="00A249A6" w:rsidRDefault="003753A2" w:rsidP="00663715">
      <w:pPr>
        <w:widowControl w:val="0"/>
        <w:autoSpaceDE w:val="0"/>
        <w:autoSpaceDN w:val="0"/>
        <w:adjustRightInd w:val="0"/>
        <w:ind w:right="18"/>
        <w:jc w:val="both"/>
        <w:rPr>
          <w:rFonts w:ascii="Ping LCG Regular" w:hAnsi="Ping LCG Regular" w:cs="Arial"/>
          <w:b/>
          <w:bCs/>
          <w:spacing w:val="-14"/>
          <w:szCs w:val="26"/>
          <w:highlight w:val="yellow"/>
          <w:u w:val="single"/>
          <w:lang w:val="el-GR"/>
        </w:rPr>
      </w:pPr>
      <w:bookmarkStart w:id="9" w:name="_Hlk56672492"/>
      <w:r w:rsidRPr="003753A2">
        <w:rPr>
          <w:rFonts w:ascii="Ping LCG Regular" w:hAnsi="Ping LCG Regular" w:cs="Arial"/>
          <w:bCs/>
          <w:spacing w:val="-14"/>
          <w:szCs w:val="26"/>
          <w:lang w:val="el-GR"/>
        </w:rPr>
        <w:t>Η δαπάνη μισθοδοσίας συμπεριλαμβανομένης της μισθοδοσίας που κεφαλαιοποιείται, μειώθηκε κατά €82,2εκατ. σε €734,8 εκατ. το 2020 από €817</w:t>
      </w:r>
      <w:r>
        <w:rPr>
          <w:rFonts w:ascii="Ping LCG Regular" w:hAnsi="Ping LCG Regular" w:cs="Arial"/>
          <w:bCs/>
          <w:spacing w:val="-14"/>
          <w:szCs w:val="26"/>
          <w:lang w:val="el-GR"/>
        </w:rPr>
        <w:t xml:space="preserve"> </w:t>
      </w:r>
      <w:r w:rsidRPr="003753A2">
        <w:rPr>
          <w:rFonts w:ascii="Ping LCG Regular" w:hAnsi="Ping LCG Regular" w:cs="Arial"/>
          <w:bCs/>
          <w:spacing w:val="-14"/>
          <w:szCs w:val="26"/>
          <w:lang w:val="el-GR"/>
        </w:rPr>
        <w:t>εκατ. το 2019. Η μείωση αυτή οφείλεται κυρίως σε αποχωρήσεις τακτικού προσωπικού λόγω συνταξιοδότησης (μείωση προσωπικού σε 1.277 εργαζόμενους από 15.109 εργαζόμενους στο τέλος του 2019 σε 13.832 εργαζομένους στο τέλος του 2020).</w:t>
      </w:r>
      <w:bookmarkEnd w:id="7"/>
      <w:bookmarkEnd w:id="8"/>
      <w:bookmarkEnd w:id="9"/>
    </w:p>
    <w:p w14:paraId="378B832D" w14:textId="77777777" w:rsidR="00B20086" w:rsidRDefault="00B20086" w:rsidP="00A249A6">
      <w:pPr>
        <w:widowControl w:val="0"/>
        <w:autoSpaceDE w:val="0"/>
        <w:autoSpaceDN w:val="0"/>
        <w:adjustRightInd w:val="0"/>
        <w:ind w:right="20"/>
        <w:jc w:val="both"/>
        <w:rPr>
          <w:rFonts w:ascii="Ping LCG Regular" w:hAnsi="Ping LCG Regular" w:cs="Arial"/>
          <w:b/>
          <w:spacing w:val="-14"/>
          <w:szCs w:val="26"/>
          <w:lang w:val="el-GR"/>
        </w:rPr>
      </w:pPr>
    </w:p>
    <w:p w14:paraId="77057CBC" w14:textId="77777777" w:rsidR="006A0C6C" w:rsidRDefault="006A0C6C">
      <w:pPr>
        <w:widowControl w:val="0"/>
        <w:autoSpaceDE w:val="0"/>
        <w:autoSpaceDN w:val="0"/>
        <w:adjustRightInd w:val="0"/>
        <w:ind w:right="20"/>
        <w:jc w:val="both"/>
        <w:rPr>
          <w:rFonts w:ascii="Ping LCG Regular" w:hAnsi="Ping LCG Regular" w:cs="Arial"/>
          <w:b/>
          <w:spacing w:val="-14"/>
          <w:szCs w:val="26"/>
          <w:lang w:val="el-GR"/>
        </w:rPr>
      </w:pPr>
      <w:bookmarkStart w:id="10" w:name="_Hlk68866750"/>
    </w:p>
    <w:bookmarkEnd w:id="10"/>
    <w:p w14:paraId="0BB87997" w14:textId="77777777" w:rsidR="00851841" w:rsidRDefault="00851841">
      <w:pPr>
        <w:rPr>
          <w:rFonts w:ascii="Ping LCG Regular" w:hAnsi="Ping LCG Regular" w:cs="Arial"/>
          <w:b/>
          <w:spacing w:val="-14"/>
          <w:szCs w:val="26"/>
          <w:lang w:val="el-GR"/>
        </w:rPr>
      </w:pPr>
      <w:r>
        <w:rPr>
          <w:rFonts w:ascii="Ping LCG Regular" w:hAnsi="Ping LCG Regular" w:cs="Arial"/>
          <w:b/>
          <w:spacing w:val="-14"/>
          <w:szCs w:val="26"/>
          <w:lang w:val="el-GR"/>
        </w:rPr>
        <w:br w:type="page"/>
      </w:r>
    </w:p>
    <w:p w14:paraId="11A31BC7" w14:textId="079F7782" w:rsidR="00FE7DED" w:rsidRPr="00851841" w:rsidRDefault="00FE7DED" w:rsidP="00851841">
      <w:pPr>
        <w:widowControl w:val="0"/>
        <w:autoSpaceDE w:val="0"/>
        <w:autoSpaceDN w:val="0"/>
        <w:adjustRightInd w:val="0"/>
        <w:ind w:right="20"/>
        <w:jc w:val="both"/>
        <w:rPr>
          <w:rFonts w:ascii="Ping LCG Regular" w:hAnsi="Ping LCG Regular" w:cs="Arial"/>
          <w:b/>
          <w:spacing w:val="-14"/>
          <w:szCs w:val="26"/>
          <w:lang w:val="el-GR"/>
        </w:rPr>
      </w:pPr>
      <w:r w:rsidRPr="00851841">
        <w:rPr>
          <w:rFonts w:ascii="Ping LCG Regular" w:hAnsi="Ping LCG Regular" w:cs="Arial"/>
          <w:b/>
          <w:spacing w:val="-14"/>
          <w:szCs w:val="26"/>
          <w:lang w:val="el-GR"/>
        </w:rPr>
        <w:lastRenderedPageBreak/>
        <w:t>Εφάπαξ επιπτώσεις στο EBITDA</w:t>
      </w:r>
    </w:p>
    <w:p w14:paraId="396D51FF" w14:textId="77777777" w:rsidR="00FE7DED" w:rsidRDefault="00FE7DED" w:rsidP="00FE7DED">
      <w:pPr>
        <w:jc w:val="both"/>
        <w:rPr>
          <w:rFonts w:ascii="Ping LCG Regular" w:hAnsi="Ping LCG Regular" w:cs="Arial"/>
          <w:spacing w:val="-14"/>
          <w:lang w:val="el-GR"/>
        </w:rPr>
      </w:pPr>
    </w:p>
    <w:p w14:paraId="31EF8006" w14:textId="77777777" w:rsidR="00FE7DED" w:rsidRPr="00B95D17" w:rsidRDefault="00FE7DED" w:rsidP="00FE7DED">
      <w:pPr>
        <w:jc w:val="both"/>
        <w:rPr>
          <w:rFonts w:ascii="Ping LCG Regular" w:hAnsi="Ping LCG Regular" w:cs="Arial"/>
          <w:spacing w:val="-14"/>
          <w:lang w:val="el-GR"/>
        </w:rPr>
      </w:pPr>
      <w:r>
        <w:rPr>
          <w:rFonts w:ascii="Ping LCG Regular" w:hAnsi="Ping LCG Regular" w:cs="Arial"/>
          <w:spacing w:val="-14"/>
          <w:lang w:val="el-GR"/>
        </w:rPr>
        <w:t xml:space="preserve">Το </w:t>
      </w:r>
      <w:r>
        <w:rPr>
          <w:rFonts w:ascii="Ping LCG Regular" w:hAnsi="Ping LCG Regular" w:cs="Arial"/>
          <w:spacing w:val="-14"/>
        </w:rPr>
        <w:t>EBITDA</w:t>
      </w:r>
      <w:r w:rsidRPr="00B80C23">
        <w:rPr>
          <w:rFonts w:ascii="Ping LCG Regular" w:hAnsi="Ping LCG Regular" w:cs="Arial"/>
          <w:spacing w:val="-14"/>
          <w:lang w:val="el-GR"/>
        </w:rPr>
        <w:t xml:space="preserve"> </w:t>
      </w:r>
      <w:r>
        <w:rPr>
          <w:rFonts w:ascii="Ping LCG Regular" w:hAnsi="Ping LCG Regular" w:cs="Arial"/>
          <w:spacing w:val="-14"/>
          <w:lang w:val="el-GR"/>
        </w:rPr>
        <w:t>του 2020 όπως και αυτό του 2019 επηρεάστηκε και από ορισμένες εφάπαξ επιπτώσεις. Συγκεκριμένα</w:t>
      </w:r>
      <w:r w:rsidRPr="00B80C23">
        <w:rPr>
          <w:rFonts w:ascii="Ping LCG Regular" w:hAnsi="Ping LCG Regular" w:cs="Arial"/>
          <w:spacing w:val="-14"/>
          <w:lang w:val="el-GR"/>
        </w:rPr>
        <w:t>:</w:t>
      </w:r>
    </w:p>
    <w:p w14:paraId="4C0F3E98" w14:textId="3032A74F" w:rsidR="00FE7DED" w:rsidRPr="00121A6A" w:rsidRDefault="00FE7DED" w:rsidP="00FE7DED">
      <w:pPr>
        <w:pStyle w:val="af1"/>
        <w:numPr>
          <w:ilvl w:val="0"/>
          <w:numId w:val="8"/>
        </w:numPr>
        <w:jc w:val="both"/>
        <w:rPr>
          <w:rFonts w:ascii="Ping LCG Regular" w:hAnsi="Ping LCG Regular" w:cs="Arial"/>
          <w:spacing w:val="-14"/>
        </w:rPr>
      </w:pPr>
      <w:r w:rsidRPr="00425C9C">
        <w:rPr>
          <w:rFonts w:ascii="Ping LCG Regular" w:hAnsi="Ping LCG Regular" w:cs="Arial"/>
          <w:spacing w:val="-14"/>
        </w:rPr>
        <w:t>Το 2020 ενισχύθηκε από την επιστροφή €44,8 εκατ. λόγω αναθεώρησης του κόστους προμήθειας φυσικού αερίου της ΔΕΠΑ από την BOTAS για τα έτη 2012-2019, μετά την απόφαση του Διεθνούς Διαιτητικού Δικαστηρίου σχετικά με τη διαφορά μεταξύ των δύο εταιρειών. Αντίθετα, επηρεάστηκε αρνητικά από την πρόβλεψη για αποζημιώσεις προσωπικού ύψους €35,8 εκατ. και από την επιβολή έκτακτων εφάπαξ χρεώσεων συνολικού ύψους €</w:t>
      </w:r>
      <w:r w:rsidRPr="00121A6A">
        <w:rPr>
          <w:rFonts w:ascii="Ping LCG Regular" w:hAnsi="Ping LCG Regular" w:cs="Arial"/>
          <w:spacing w:val="-14"/>
        </w:rPr>
        <w:t xml:space="preserve">74,3 εκατ. στο πλαίσιο των μέτρων που έλαβε η Πολιτεία για την κάλυψη του ελλείματος του ΕΛΑΠΕ </w:t>
      </w:r>
      <w:r w:rsidR="00121A6A" w:rsidRPr="00121A6A">
        <w:rPr>
          <w:rFonts w:ascii="Ping LCG Regular" w:hAnsi="Ping LCG Regular" w:cs="Arial"/>
          <w:spacing w:val="-14"/>
        </w:rPr>
        <w:t xml:space="preserve">με βάση τις προβλέψεις του νόμου 4759/2020 </w:t>
      </w:r>
      <w:r w:rsidRPr="00121A6A">
        <w:rPr>
          <w:rFonts w:ascii="Ping LCG Regular" w:hAnsi="Ping LCG Regular" w:cs="Arial"/>
          <w:spacing w:val="-14"/>
        </w:rPr>
        <w:t xml:space="preserve">(€72,9 εκατ. από την χρέωση €2/MWh επί των ποσοτήτων των δηλώσεων φορτίου της ΔΕΗ </w:t>
      </w:r>
      <w:r w:rsidRPr="00121A6A">
        <w:rPr>
          <w:rFonts w:ascii="Ping LCG Regular" w:hAnsi="Ping LCG Regular"/>
          <w:spacing w:val="-14"/>
        </w:rPr>
        <w:t>στον ημερήσιο ενεργειακό προγραμματισμό</w:t>
      </w:r>
      <w:r w:rsidR="00354B6F" w:rsidRPr="00121A6A">
        <w:rPr>
          <w:rFonts w:ascii="Ping LCG Regular" w:hAnsi="Ping LCG Regular"/>
          <w:spacing w:val="-14"/>
        </w:rPr>
        <w:t xml:space="preserve"> και τα Μη Διασυνδεδεμένα Νησιά </w:t>
      </w:r>
      <w:r w:rsidRPr="00121A6A">
        <w:rPr>
          <w:rFonts w:ascii="Ping LCG Regular" w:hAnsi="Ping LCG Regular"/>
          <w:spacing w:val="-14"/>
        </w:rPr>
        <w:t xml:space="preserve">για το 2020 </w:t>
      </w:r>
      <w:r w:rsidRPr="00121A6A">
        <w:rPr>
          <w:rFonts w:ascii="Ping LCG Regular" w:hAnsi="Ping LCG Regular" w:cs="Arial"/>
          <w:spacing w:val="-14"/>
        </w:rPr>
        <w:t>και €1,4 εκατ. από την εισφορά των παραγωγών ΑΠΕ και ΣΗΘΥΑ  που αντιστοιχεί στο 6% της πωλούμενης ηλεκτρικής ενέργειας από σταθμούς οι οποίοι έχουν τεθεί σε λειτουργία έως και την 31.12.2015)</w:t>
      </w:r>
      <w:r w:rsidR="00121A6A">
        <w:rPr>
          <w:rFonts w:ascii="Ping LCG Regular" w:hAnsi="Ping LCG Regular" w:cs="Arial"/>
          <w:spacing w:val="-14"/>
        </w:rPr>
        <w:t>.</w:t>
      </w:r>
      <w:r w:rsidR="00354B6F" w:rsidRPr="00121A6A">
        <w:rPr>
          <w:rFonts w:ascii="Ping LCG Regular" w:hAnsi="Ping LCG Regular" w:cs="Arial"/>
          <w:spacing w:val="-14"/>
        </w:rPr>
        <w:t xml:space="preserve"> </w:t>
      </w:r>
    </w:p>
    <w:p w14:paraId="7FE133F1" w14:textId="77777777" w:rsidR="00FE7DED" w:rsidRPr="00425C9C" w:rsidRDefault="00FE7DED" w:rsidP="00FE7DED">
      <w:pPr>
        <w:pStyle w:val="af1"/>
        <w:numPr>
          <w:ilvl w:val="0"/>
          <w:numId w:val="8"/>
        </w:numPr>
        <w:jc w:val="both"/>
        <w:rPr>
          <w:rFonts w:ascii="Ping LCG Regular" w:hAnsi="Ping LCG Regular" w:cs="Arial"/>
          <w:spacing w:val="-14"/>
        </w:rPr>
      </w:pPr>
      <w:r w:rsidRPr="00425C9C">
        <w:rPr>
          <w:rFonts w:ascii="Ping LCG Regular" w:hAnsi="Ping LCG Regular" w:cs="Arial"/>
          <w:spacing w:val="-14"/>
        </w:rPr>
        <w:t xml:space="preserve">Αντίστοιχα, το EBITDA του 2019 είχε επηρεαστεί θετικά από την απομείωση ύψους €243,4 εκατ. της υποχρέωσης για παροχές μετά τη συνταξιοδότηση, την επιστροφή €99,3 εκατ. από το πλεόνασμα του ΕΛΑΠΕ, καθώς και από την εκκαθάριση ΥΚΩ παρελθόντων ετών συνολικού ύψους €122,6 εκατ. (είσπραξη €194,7 εκατ. για την περίοδο 2007-2011 και επιβάρυνση κατά €72,1 εκατ. για το 2017). </w:t>
      </w:r>
    </w:p>
    <w:p w14:paraId="7D92A5E0" w14:textId="2249431D" w:rsidR="00FE7DED" w:rsidRDefault="00FE7DED" w:rsidP="00FE7DED">
      <w:pPr>
        <w:jc w:val="both"/>
        <w:rPr>
          <w:rFonts w:ascii="Ping LCG Regular" w:hAnsi="Ping LCG Regular" w:cs="Arial"/>
          <w:spacing w:val="-14"/>
          <w:lang w:val="el-GR"/>
        </w:rPr>
      </w:pPr>
      <w:r>
        <w:rPr>
          <w:rFonts w:ascii="Ping LCG Regular" w:hAnsi="Ping LCG Regular" w:cs="Arial"/>
          <w:spacing w:val="-14"/>
          <w:lang w:val="el-GR"/>
        </w:rPr>
        <w:t xml:space="preserve">Συμπεριλαμβανομένων και των παραπάνω εφάπαξ επιπτώσεων, το </w:t>
      </w:r>
      <w:r>
        <w:rPr>
          <w:rFonts w:ascii="Ping LCG Regular" w:hAnsi="Ping LCG Regular" w:cs="Arial"/>
          <w:spacing w:val="-14"/>
        </w:rPr>
        <w:t>EBITDA</w:t>
      </w:r>
      <w:r w:rsidRPr="00B80C23">
        <w:rPr>
          <w:rFonts w:ascii="Ping LCG Regular" w:hAnsi="Ping LCG Regular" w:cs="Arial"/>
          <w:spacing w:val="-14"/>
          <w:lang w:val="el-GR"/>
        </w:rPr>
        <w:t xml:space="preserve"> </w:t>
      </w:r>
      <w:r>
        <w:rPr>
          <w:rFonts w:ascii="Ping LCG Regular" w:hAnsi="Ping LCG Regular" w:cs="Arial"/>
          <w:spacing w:val="-14"/>
          <w:lang w:val="el-GR"/>
        </w:rPr>
        <w:t xml:space="preserve">του 2020 διαμορφώθηκε σε €820,5 εκατ. από 798,9 εκατ. το 2019.  </w:t>
      </w:r>
    </w:p>
    <w:p w14:paraId="29DE1B0E" w14:textId="77777777" w:rsidR="006068F0" w:rsidRPr="00407A48" w:rsidRDefault="006068F0" w:rsidP="00A249A6">
      <w:pPr>
        <w:widowControl w:val="0"/>
        <w:autoSpaceDE w:val="0"/>
        <w:autoSpaceDN w:val="0"/>
        <w:adjustRightInd w:val="0"/>
        <w:ind w:right="20"/>
        <w:jc w:val="both"/>
        <w:rPr>
          <w:rFonts w:ascii="Ping LCG Regular" w:hAnsi="Ping LCG Regular" w:cs="Arial"/>
          <w:b/>
          <w:spacing w:val="-14"/>
          <w:szCs w:val="26"/>
          <w:lang w:val="el-GR"/>
        </w:rPr>
      </w:pPr>
    </w:p>
    <w:p w14:paraId="2C5E2838" w14:textId="77777777" w:rsidR="003D24F8" w:rsidRDefault="003D24F8" w:rsidP="00A249A6">
      <w:pPr>
        <w:widowControl w:val="0"/>
        <w:autoSpaceDE w:val="0"/>
        <w:autoSpaceDN w:val="0"/>
        <w:adjustRightInd w:val="0"/>
        <w:ind w:right="20"/>
        <w:jc w:val="both"/>
        <w:rPr>
          <w:rFonts w:ascii="Ping LCG Regular" w:hAnsi="Ping LCG Regular" w:cs="Arial"/>
          <w:b/>
          <w:spacing w:val="-14"/>
          <w:szCs w:val="26"/>
          <w:lang w:val="el-GR"/>
        </w:rPr>
      </w:pPr>
    </w:p>
    <w:p w14:paraId="3F0B2DAE" w14:textId="4F272909" w:rsidR="00A249A6" w:rsidRPr="00A249A6" w:rsidRDefault="00A249A6" w:rsidP="00A249A6">
      <w:pPr>
        <w:widowControl w:val="0"/>
        <w:autoSpaceDE w:val="0"/>
        <w:autoSpaceDN w:val="0"/>
        <w:adjustRightInd w:val="0"/>
        <w:ind w:right="20"/>
        <w:jc w:val="both"/>
        <w:rPr>
          <w:rFonts w:ascii="Ping LCG Regular" w:hAnsi="Ping LCG Regular" w:cs="Arial"/>
          <w:b/>
          <w:spacing w:val="-14"/>
          <w:szCs w:val="26"/>
          <w:lang w:val="el-GR"/>
        </w:rPr>
      </w:pPr>
      <w:r w:rsidRPr="00A249A6">
        <w:rPr>
          <w:rFonts w:ascii="Ping LCG Regular" w:hAnsi="Ping LCG Regular" w:cs="Arial"/>
          <w:b/>
          <w:spacing w:val="-14"/>
          <w:szCs w:val="26"/>
          <w:lang w:val="el-GR"/>
        </w:rPr>
        <w:t>Επενδύσεις</w:t>
      </w:r>
    </w:p>
    <w:p w14:paraId="2AE45184" w14:textId="77777777" w:rsidR="00A249A6" w:rsidRPr="00A249A6" w:rsidRDefault="00A249A6" w:rsidP="00A249A6">
      <w:pPr>
        <w:autoSpaceDE w:val="0"/>
        <w:autoSpaceDN w:val="0"/>
        <w:ind w:right="18"/>
        <w:rPr>
          <w:rFonts w:ascii="Ping LCG Regular" w:hAnsi="Ping LCG Regular" w:cs="Arial"/>
          <w:b/>
          <w:bCs/>
          <w:spacing w:val="-14"/>
          <w:sz w:val="26"/>
          <w:szCs w:val="26"/>
          <w:u w:val="single"/>
          <w:lang w:val="el-GR"/>
        </w:rPr>
      </w:pPr>
    </w:p>
    <w:p w14:paraId="1417FE9C" w14:textId="41063500" w:rsidR="00A249A6" w:rsidRPr="00A249A6" w:rsidRDefault="00A249A6" w:rsidP="00A249A6">
      <w:pPr>
        <w:widowControl w:val="0"/>
        <w:autoSpaceDE w:val="0"/>
        <w:autoSpaceDN w:val="0"/>
        <w:adjustRightInd w:val="0"/>
        <w:ind w:right="18"/>
        <w:jc w:val="both"/>
        <w:rPr>
          <w:rFonts w:ascii="Ping LCG Regular" w:hAnsi="Ping LCG Regular" w:cs="Arial"/>
          <w:spacing w:val="-14"/>
          <w:lang w:val="el-GR"/>
        </w:rPr>
      </w:pPr>
      <w:r w:rsidRPr="00A249A6">
        <w:rPr>
          <w:rFonts w:ascii="Ping LCG Regular" w:hAnsi="Ping LCG Regular" w:cs="Arial"/>
          <w:spacing w:val="-14"/>
          <w:lang w:val="el-GR"/>
        </w:rPr>
        <w:t>Οι συνολικές επενδύσεις το 2020 διαμορφώθηκαν σε €</w:t>
      </w:r>
      <w:r w:rsidR="003332ED">
        <w:rPr>
          <w:rFonts w:ascii="Ping LCG Regular" w:hAnsi="Ping LCG Regular" w:cs="Arial"/>
          <w:spacing w:val="-14"/>
          <w:lang w:val="el-GR"/>
        </w:rPr>
        <w:t>376,5</w:t>
      </w:r>
      <w:r w:rsidRPr="00A249A6">
        <w:rPr>
          <w:rFonts w:ascii="Ping LCG Regular" w:hAnsi="Ping LCG Regular" w:cs="Arial"/>
          <w:spacing w:val="-14"/>
          <w:lang w:val="el-GR"/>
        </w:rPr>
        <w:t xml:space="preserve"> εκατ. έναντι </w:t>
      </w:r>
      <w:r w:rsidR="00096713" w:rsidRPr="00A249A6">
        <w:rPr>
          <w:rFonts w:ascii="Ping LCG Regular" w:hAnsi="Ping LCG Regular" w:cs="Arial"/>
          <w:spacing w:val="-14"/>
          <w:lang w:val="el-GR"/>
        </w:rPr>
        <w:t>€</w:t>
      </w:r>
      <w:r w:rsidR="003332ED">
        <w:rPr>
          <w:rFonts w:ascii="Ping LCG Regular" w:hAnsi="Ping LCG Regular" w:cs="Arial"/>
          <w:spacing w:val="-14"/>
          <w:lang w:val="el-GR"/>
        </w:rPr>
        <w:t>64</w:t>
      </w:r>
      <w:r w:rsidR="001065EC">
        <w:rPr>
          <w:rFonts w:ascii="Ping LCG Regular" w:hAnsi="Ping LCG Regular" w:cs="Arial"/>
          <w:spacing w:val="-14"/>
          <w:lang w:val="el-GR"/>
        </w:rPr>
        <w:t>6</w:t>
      </w:r>
      <w:r w:rsidR="003332ED">
        <w:rPr>
          <w:rFonts w:ascii="Ping LCG Regular" w:hAnsi="Ping LCG Regular" w:cs="Arial"/>
          <w:spacing w:val="-14"/>
          <w:lang w:val="el-GR"/>
        </w:rPr>
        <w:t>,6</w:t>
      </w:r>
      <w:r w:rsidRPr="00A249A6">
        <w:rPr>
          <w:rFonts w:ascii="Ping LCG Regular" w:hAnsi="Ping LCG Regular" w:cs="Arial"/>
          <w:spacing w:val="-14"/>
          <w:lang w:val="el-GR"/>
        </w:rPr>
        <w:t xml:space="preserve"> εκατ. το 2019. </w:t>
      </w:r>
    </w:p>
    <w:p w14:paraId="778F6F59" w14:textId="19A6793A" w:rsidR="00A249A6" w:rsidRPr="000E01B9" w:rsidRDefault="00A249A6" w:rsidP="00A249A6">
      <w:pPr>
        <w:widowControl w:val="0"/>
        <w:autoSpaceDE w:val="0"/>
        <w:autoSpaceDN w:val="0"/>
        <w:adjustRightInd w:val="0"/>
        <w:ind w:right="18"/>
        <w:jc w:val="both"/>
        <w:rPr>
          <w:rFonts w:ascii="Ping LCG Regular" w:hAnsi="Ping LCG Regular" w:cs="Arial"/>
          <w:spacing w:val="-14"/>
          <w:highlight w:val="cyan"/>
          <w:lang w:val="el-GR"/>
        </w:rPr>
      </w:pPr>
      <w:r w:rsidRPr="00A249A6">
        <w:rPr>
          <w:rFonts w:ascii="Ping LCG Regular" w:hAnsi="Ping LCG Regular" w:cs="Arial"/>
          <w:spacing w:val="-14"/>
          <w:lang w:val="el-GR"/>
        </w:rPr>
        <w:t xml:space="preserve">Όπως φαίνεται και στον παρακάτω πίνακα, το μεγαλύτερο μέρος της μείωσης οφείλεται στις χαμηλότερες επενδύσεις σε έργα συμβατικής παραγωγής καθώς η κατασκευή της νέας μονάδας Πτολεμαΐδα </w:t>
      </w:r>
      <w:r w:rsidRPr="00BC4652">
        <w:rPr>
          <w:rFonts w:ascii="Ping LCG Regular" w:hAnsi="Ping LCG Regular" w:cs="Arial"/>
          <w:spacing w:val="-14"/>
        </w:rPr>
        <w:t>V</w:t>
      </w:r>
      <w:r w:rsidRPr="00A249A6">
        <w:rPr>
          <w:rFonts w:ascii="Ping LCG Regular" w:hAnsi="Ping LCG Regular" w:cs="Arial"/>
          <w:spacing w:val="-14"/>
          <w:lang w:val="el-GR"/>
        </w:rPr>
        <w:t xml:space="preserve"> </w:t>
      </w:r>
      <w:r w:rsidR="003D31E6">
        <w:rPr>
          <w:rFonts w:ascii="Ping LCG Regular" w:hAnsi="Ping LCG Regular" w:cs="Arial"/>
          <w:spacing w:val="-14"/>
          <w:lang w:val="el-GR"/>
        </w:rPr>
        <w:t>προχωρά</w:t>
      </w:r>
      <w:r w:rsidR="00E34012" w:rsidRPr="00A249A6">
        <w:rPr>
          <w:rFonts w:ascii="Ping LCG Regular" w:hAnsi="Ping LCG Regular" w:cs="Arial"/>
          <w:spacing w:val="-14"/>
          <w:lang w:val="el-GR"/>
        </w:rPr>
        <w:t xml:space="preserve"> </w:t>
      </w:r>
      <w:r w:rsidRPr="00A249A6">
        <w:rPr>
          <w:rFonts w:ascii="Ping LCG Regular" w:hAnsi="Ping LCG Regular" w:cs="Arial"/>
          <w:spacing w:val="-14"/>
          <w:lang w:val="el-GR"/>
        </w:rPr>
        <w:t xml:space="preserve">προς την ολοκλήρωσή της, αλλά και στις χαμηλότερες επενδύσεις των Ορυχείων λόγω μείωσης των απαλλοτριώσεων. </w:t>
      </w:r>
      <w:r w:rsidR="00511FA3">
        <w:rPr>
          <w:rFonts w:ascii="Ping LCG Regular" w:hAnsi="Ping LCG Regular" w:cs="Arial"/>
          <w:spacing w:val="-14"/>
          <w:lang w:val="el-GR"/>
        </w:rPr>
        <w:t xml:space="preserve">Παράλληλα έγιναν αυξημένες επενδύσεις σε έργα επαναληπτικού χαρακτήρα </w:t>
      </w:r>
      <w:r w:rsidR="003A09DA">
        <w:rPr>
          <w:rFonts w:ascii="Ping LCG Regular" w:hAnsi="Ping LCG Regular" w:cs="Arial"/>
          <w:spacing w:val="-14"/>
          <w:lang w:val="el-GR"/>
        </w:rPr>
        <w:t>στο Δίκτυο Διανομής</w:t>
      </w:r>
      <w:r w:rsidR="002A61B1">
        <w:rPr>
          <w:rFonts w:ascii="Ping LCG Regular" w:hAnsi="Ping LCG Regular" w:cs="Arial"/>
          <w:spacing w:val="-14"/>
          <w:lang w:val="el-GR"/>
        </w:rPr>
        <w:t>.</w:t>
      </w:r>
    </w:p>
    <w:p w14:paraId="54AFB0E0" w14:textId="77777777" w:rsidR="00A249A6" w:rsidRPr="00A249A6" w:rsidRDefault="00A249A6" w:rsidP="00A249A6">
      <w:pPr>
        <w:widowControl w:val="0"/>
        <w:autoSpaceDE w:val="0"/>
        <w:autoSpaceDN w:val="0"/>
        <w:adjustRightInd w:val="0"/>
        <w:ind w:right="18"/>
        <w:jc w:val="both"/>
        <w:rPr>
          <w:rFonts w:ascii="Ping LCG Regular" w:hAnsi="Ping LCG Regular" w:cs="Arial"/>
          <w:spacing w:val="-14"/>
          <w:highlight w:val="yellow"/>
          <w:lang w:val="el-GR"/>
        </w:rPr>
      </w:pPr>
    </w:p>
    <w:p w14:paraId="732171D7" w14:textId="4D68ED8D" w:rsidR="00A249A6" w:rsidRPr="00A249A6" w:rsidRDefault="00A249A6" w:rsidP="00A249A6">
      <w:pPr>
        <w:autoSpaceDE w:val="0"/>
        <w:autoSpaceDN w:val="0"/>
        <w:ind w:right="18"/>
        <w:jc w:val="both"/>
        <w:rPr>
          <w:rFonts w:ascii="Ping LCG Regular" w:hAnsi="Ping LCG Regular" w:cs="Arial"/>
          <w:spacing w:val="-14"/>
          <w:lang w:val="el-GR"/>
        </w:rPr>
      </w:pPr>
      <w:bookmarkStart w:id="11" w:name="_Hlk68249913"/>
      <w:r w:rsidRPr="00A249A6">
        <w:rPr>
          <w:rFonts w:ascii="Ping LCG Regular" w:hAnsi="Ping LCG Regular" w:cs="Arial"/>
          <w:spacing w:val="-14"/>
          <w:lang w:val="el-GR"/>
        </w:rPr>
        <w:t>Η σύνθεση των κύριων επενδύσεων έχει ως εξής :</w:t>
      </w:r>
    </w:p>
    <w:p w14:paraId="65193798" w14:textId="77777777" w:rsidR="00A249A6" w:rsidRPr="00A249A6" w:rsidRDefault="00A249A6" w:rsidP="00A249A6">
      <w:pPr>
        <w:autoSpaceDE w:val="0"/>
        <w:autoSpaceDN w:val="0"/>
        <w:ind w:right="18"/>
        <w:jc w:val="both"/>
        <w:rPr>
          <w:rFonts w:ascii="Ping LCG Regular" w:hAnsi="Ping LCG Regular" w:cs="Arial"/>
          <w:spacing w:val="-14"/>
          <w:sz w:val="16"/>
          <w:highlight w:val="yellow"/>
          <w:lang w:val="el-GR"/>
        </w:rPr>
      </w:pPr>
    </w:p>
    <w:tbl>
      <w:tblPr>
        <w:tblW w:w="10514"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157"/>
        <w:gridCol w:w="2032"/>
        <w:gridCol w:w="1821"/>
        <w:gridCol w:w="1671"/>
        <w:gridCol w:w="1833"/>
      </w:tblGrid>
      <w:tr w:rsidR="00E34012" w:rsidRPr="00AD7643" w14:paraId="6E3F4F43" w14:textId="77777777" w:rsidTr="00851841">
        <w:trPr>
          <w:trHeight w:val="283"/>
        </w:trPr>
        <w:tc>
          <w:tcPr>
            <w:tcW w:w="3157" w:type="dxa"/>
            <w:tcBorders>
              <w:top w:val="single" w:sz="8" w:space="0" w:color="auto"/>
              <w:bottom w:val="single" w:sz="6" w:space="0" w:color="auto"/>
            </w:tcBorders>
            <w:shd w:val="pct25" w:color="auto" w:fill="auto"/>
            <w:tcMar>
              <w:top w:w="0" w:type="dxa"/>
              <w:left w:w="108" w:type="dxa"/>
              <w:bottom w:w="0" w:type="dxa"/>
              <w:right w:w="108" w:type="dxa"/>
            </w:tcMar>
            <w:vAlign w:val="center"/>
          </w:tcPr>
          <w:p w14:paraId="1376B10A" w14:textId="77777777" w:rsidR="00E34012" w:rsidRPr="003C4361" w:rsidRDefault="00E34012" w:rsidP="00691AF7">
            <w:pPr>
              <w:autoSpaceDE w:val="0"/>
              <w:autoSpaceDN w:val="0"/>
              <w:ind w:right="18"/>
              <w:jc w:val="center"/>
              <w:rPr>
                <w:rFonts w:ascii="Ping LCG Regular" w:eastAsia="Calibri" w:hAnsi="Ping LCG Regular" w:cs="Arial"/>
                <w:spacing w:val="-14"/>
              </w:rPr>
            </w:pPr>
            <w:r w:rsidRPr="003C4361">
              <w:rPr>
                <w:rFonts w:ascii="Ping LCG Regular" w:hAnsi="Ping LCG Regular" w:cs="Arial"/>
                <w:spacing w:val="-14"/>
              </w:rPr>
              <w:t>(σε € εκατ.)</w:t>
            </w:r>
          </w:p>
        </w:tc>
        <w:tc>
          <w:tcPr>
            <w:tcW w:w="2032" w:type="dxa"/>
            <w:tcBorders>
              <w:top w:val="single" w:sz="8" w:space="0" w:color="auto"/>
              <w:bottom w:val="single" w:sz="6" w:space="0" w:color="auto"/>
            </w:tcBorders>
            <w:shd w:val="pct25" w:color="auto" w:fill="auto"/>
            <w:tcMar>
              <w:top w:w="0" w:type="dxa"/>
              <w:left w:w="108" w:type="dxa"/>
              <w:bottom w:w="0" w:type="dxa"/>
              <w:right w:w="108" w:type="dxa"/>
            </w:tcMar>
            <w:vAlign w:val="center"/>
            <w:hideMark/>
          </w:tcPr>
          <w:p w14:paraId="4B7298E9" w14:textId="71E16B06" w:rsidR="00E34012" w:rsidRPr="003C4361" w:rsidRDefault="00E34012" w:rsidP="00691AF7">
            <w:pPr>
              <w:jc w:val="center"/>
              <w:rPr>
                <w:rFonts w:ascii="Ping LCG Regular" w:hAnsi="Ping LCG Regular" w:cs="Arial"/>
                <w:b/>
                <w:spacing w:val="-14"/>
                <w:u w:val="single"/>
              </w:rPr>
            </w:pPr>
            <w:r w:rsidRPr="003C4361">
              <w:rPr>
                <w:rFonts w:ascii="Ping LCG Regular" w:hAnsi="Ping LCG Regular" w:cs="Arial"/>
                <w:b/>
                <w:spacing w:val="-14"/>
              </w:rPr>
              <w:t>2020</w:t>
            </w:r>
          </w:p>
        </w:tc>
        <w:tc>
          <w:tcPr>
            <w:tcW w:w="1821" w:type="dxa"/>
            <w:tcBorders>
              <w:top w:val="single" w:sz="8" w:space="0" w:color="auto"/>
              <w:bottom w:val="single" w:sz="6" w:space="0" w:color="auto"/>
            </w:tcBorders>
            <w:shd w:val="pct25" w:color="auto" w:fill="auto"/>
            <w:tcMar>
              <w:top w:w="0" w:type="dxa"/>
              <w:left w:w="108" w:type="dxa"/>
              <w:bottom w:w="0" w:type="dxa"/>
              <w:right w:w="108" w:type="dxa"/>
            </w:tcMar>
            <w:vAlign w:val="center"/>
            <w:hideMark/>
          </w:tcPr>
          <w:p w14:paraId="0660F90A" w14:textId="6FD3B126" w:rsidR="00E34012" w:rsidRPr="003C4361" w:rsidRDefault="00E34012" w:rsidP="00691AF7">
            <w:pPr>
              <w:jc w:val="center"/>
              <w:rPr>
                <w:rFonts w:ascii="Ping LCG Regular" w:hAnsi="Ping LCG Regular" w:cs="Arial"/>
                <w:spacing w:val="-14"/>
                <w:u w:val="single"/>
              </w:rPr>
            </w:pPr>
            <w:r w:rsidRPr="003C4361">
              <w:rPr>
                <w:rFonts w:ascii="Ping LCG Regular" w:hAnsi="Ping LCG Regular" w:cs="Arial"/>
                <w:b/>
                <w:spacing w:val="-14"/>
              </w:rPr>
              <w:t>2019</w:t>
            </w:r>
          </w:p>
        </w:tc>
        <w:tc>
          <w:tcPr>
            <w:tcW w:w="1671" w:type="dxa"/>
            <w:tcBorders>
              <w:top w:val="single" w:sz="8" w:space="0" w:color="auto"/>
              <w:bottom w:val="single" w:sz="6" w:space="0" w:color="auto"/>
            </w:tcBorders>
            <w:shd w:val="pct25" w:color="auto" w:fill="auto"/>
          </w:tcPr>
          <w:p w14:paraId="4B815A53" w14:textId="14F37563" w:rsidR="00E34012" w:rsidRPr="003C4361" w:rsidRDefault="00E34012" w:rsidP="00691AF7">
            <w:pPr>
              <w:autoSpaceDE w:val="0"/>
              <w:autoSpaceDN w:val="0"/>
              <w:ind w:right="18"/>
              <w:jc w:val="center"/>
              <w:rPr>
                <w:rFonts w:ascii="Ping LCG Regular" w:hAnsi="Ping LCG Regular" w:cs="Arial"/>
                <w:b/>
                <w:bCs/>
                <w:i/>
                <w:spacing w:val="-14"/>
              </w:rPr>
            </w:pPr>
            <w:r w:rsidRPr="003C4361">
              <w:rPr>
                <w:rFonts w:ascii="Ping LCG Regular" w:hAnsi="Ping LCG Regular" w:cs="Arial"/>
                <w:b/>
                <w:bCs/>
                <w:i/>
                <w:spacing w:val="-14"/>
              </w:rPr>
              <w:t>Δ</w:t>
            </w:r>
          </w:p>
        </w:tc>
        <w:tc>
          <w:tcPr>
            <w:tcW w:w="1833" w:type="dxa"/>
            <w:tcBorders>
              <w:top w:val="single" w:sz="8" w:space="0" w:color="auto"/>
              <w:bottom w:val="single" w:sz="6" w:space="0" w:color="auto"/>
            </w:tcBorders>
            <w:shd w:val="pct25" w:color="auto" w:fill="auto"/>
            <w:tcMar>
              <w:top w:w="0" w:type="dxa"/>
              <w:left w:w="108" w:type="dxa"/>
              <w:bottom w:w="0" w:type="dxa"/>
              <w:right w:w="108" w:type="dxa"/>
            </w:tcMar>
            <w:vAlign w:val="center"/>
            <w:hideMark/>
          </w:tcPr>
          <w:p w14:paraId="513EB8AB" w14:textId="2579C4D8" w:rsidR="00E34012" w:rsidRPr="003C4361" w:rsidRDefault="00E34012" w:rsidP="00691AF7">
            <w:pPr>
              <w:autoSpaceDE w:val="0"/>
              <w:autoSpaceDN w:val="0"/>
              <w:ind w:right="18"/>
              <w:jc w:val="center"/>
              <w:rPr>
                <w:rFonts w:ascii="Ping LCG Regular" w:eastAsia="Calibri" w:hAnsi="Ping LCG Regular" w:cs="Arial"/>
                <w:b/>
                <w:bCs/>
                <w:i/>
                <w:spacing w:val="-14"/>
              </w:rPr>
            </w:pPr>
            <w:r w:rsidRPr="003C4361">
              <w:rPr>
                <w:rFonts w:ascii="Ping LCG Regular" w:hAnsi="Ping LCG Regular" w:cs="Arial"/>
                <w:b/>
                <w:bCs/>
                <w:i/>
                <w:spacing w:val="-14"/>
              </w:rPr>
              <w:t>Δ (%)</w:t>
            </w:r>
          </w:p>
        </w:tc>
      </w:tr>
      <w:tr w:rsidR="00E34012" w:rsidRPr="00AD7643" w14:paraId="7196B585" w14:textId="77777777" w:rsidTr="00851841">
        <w:trPr>
          <w:trHeight w:val="283"/>
        </w:trPr>
        <w:tc>
          <w:tcPr>
            <w:tcW w:w="3157" w:type="dxa"/>
            <w:tcBorders>
              <w:top w:val="single" w:sz="6" w:space="0" w:color="auto"/>
            </w:tcBorders>
            <w:tcMar>
              <w:top w:w="0" w:type="dxa"/>
              <w:left w:w="108" w:type="dxa"/>
              <w:bottom w:w="0" w:type="dxa"/>
              <w:right w:w="108" w:type="dxa"/>
            </w:tcMar>
            <w:vAlign w:val="center"/>
            <w:hideMark/>
          </w:tcPr>
          <w:p w14:paraId="0DD0A0B3" w14:textId="77777777" w:rsidR="00E34012" w:rsidRPr="00AE206C" w:rsidRDefault="00E34012" w:rsidP="003332ED">
            <w:pPr>
              <w:autoSpaceDE w:val="0"/>
              <w:autoSpaceDN w:val="0"/>
              <w:ind w:right="18"/>
              <w:jc w:val="both"/>
              <w:rPr>
                <w:rFonts w:ascii="Ping LCG Regular" w:eastAsia="Calibri" w:hAnsi="Ping LCG Regular" w:cs="Arial"/>
                <w:spacing w:val="-14"/>
              </w:rPr>
            </w:pPr>
            <w:r w:rsidRPr="00AE206C">
              <w:rPr>
                <w:rFonts w:ascii="Ping LCG Regular" w:hAnsi="Ping LCG Regular" w:cs="Arial"/>
                <w:spacing w:val="-14"/>
              </w:rPr>
              <w:t>Ορυχεία</w:t>
            </w:r>
          </w:p>
        </w:tc>
        <w:tc>
          <w:tcPr>
            <w:tcW w:w="2032" w:type="dxa"/>
            <w:tcBorders>
              <w:top w:val="single" w:sz="6" w:space="0" w:color="auto"/>
            </w:tcBorders>
            <w:tcMar>
              <w:top w:w="0" w:type="dxa"/>
              <w:left w:w="108" w:type="dxa"/>
              <w:bottom w:w="0" w:type="dxa"/>
              <w:right w:w="108" w:type="dxa"/>
            </w:tcMar>
            <w:vAlign w:val="center"/>
          </w:tcPr>
          <w:p w14:paraId="17B1A11C" w14:textId="0F969B55" w:rsidR="00E34012" w:rsidRPr="00001E5E" w:rsidRDefault="00E34012" w:rsidP="003332ED">
            <w:pPr>
              <w:autoSpaceDE w:val="0"/>
              <w:autoSpaceDN w:val="0"/>
              <w:ind w:right="18"/>
              <w:jc w:val="center"/>
              <w:rPr>
                <w:rFonts w:ascii="Ping LCG Regular" w:eastAsia="Calibri" w:hAnsi="Ping LCG Regular" w:cs="Arial"/>
                <w:spacing w:val="-14"/>
                <w:lang w:val="el-GR"/>
              </w:rPr>
            </w:pPr>
            <w:r>
              <w:rPr>
                <w:rFonts w:ascii="Ping LCG Regular" w:eastAsia="Calibri" w:hAnsi="Ping LCG Regular" w:cs="Arial"/>
                <w:spacing w:val="-14"/>
                <w:lang w:val="el-GR"/>
              </w:rPr>
              <w:t>21,9</w:t>
            </w:r>
          </w:p>
        </w:tc>
        <w:tc>
          <w:tcPr>
            <w:tcW w:w="1821" w:type="dxa"/>
            <w:tcBorders>
              <w:top w:val="single" w:sz="6" w:space="0" w:color="auto"/>
            </w:tcBorders>
            <w:tcMar>
              <w:top w:w="0" w:type="dxa"/>
              <w:left w:w="108" w:type="dxa"/>
              <w:bottom w:w="0" w:type="dxa"/>
              <w:right w:w="108" w:type="dxa"/>
            </w:tcMar>
            <w:vAlign w:val="center"/>
          </w:tcPr>
          <w:p w14:paraId="147E7DD9" w14:textId="5BB11249" w:rsidR="00E34012" w:rsidRPr="00001E5E" w:rsidRDefault="00E34012" w:rsidP="003332ED">
            <w:pPr>
              <w:autoSpaceDE w:val="0"/>
              <w:autoSpaceDN w:val="0"/>
              <w:ind w:right="18"/>
              <w:jc w:val="center"/>
              <w:rPr>
                <w:rFonts w:ascii="Ping LCG Regular" w:eastAsia="Calibri" w:hAnsi="Ping LCG Regular" w:cs="Arial"/>
                <w:spacing w:val="-14"/>
                <w:lang w:val="el-GR"/>
              </w:rPr>
            </w:pPr>
            <w:r w:rsidRPr="00001E5E">
              <w:rPr>
                <w:rFonts w:ascii="Ping LCG Regular" w:eastAsia="Calibri" w:hAnsi="Ping LCG Regular" w:cs="Arial"/>
                <w:spacing w:val="-14"/>
                <w:lang w:val="el-GR"/>
              </w:rPr>
              <w:t>85,9</w:t>
            </w:r>
          </w:p>
        </w:tc>
        <w:tc>
          <w:tcPr>
            <w:tcW w:w="1671" w:type="dxa"/>
            <w:tcBorders>
              <w:top w:val="single" w:sz="6" w:space="0" w:color="auto"/>
            </w:tcBorders>
          </w:tcPr>
          <w:p w14:paraId="2356A425" w14:textId="4DF92135" w:rsidR="00E34012" w:rsidRDefault="00E34012" w:rsidP="003332ED">
            <w:pPr>
              <w:autoSpaceDE w:val="0"/>
              <w:autoSpaceDN w:val="0"/>
              <w:ind w:right="18"/>
              <w:jc w:val="center"/>
              <w:rPr>
                <w:rFonts w:ascii="Ping LCG Regular" w:eastAsia="Calibri" w:hAnsi="Ping LCG Regular" w:cs="Arial"/>
                <w:i/>
                <w:spacing w:val="-14"/>
                <w:lang w:val="el-GR"/>
              </w:rPr>
            </w:pPr>
            <w:r>
              <w:rPr>
                <w:rFonts w:ascii="Ping LCG Regular" w:eastAsia="Calibri" w:hAnsi="Ping LCG Regular" w:cs="Arial"/>
                <w:i/>
                <w:spacing w:val="-14"/>
                <w:lang w:val="el-GR"/>
              </w:rPr>
              <w:t>(64)</w:t>
            </w:r>
          </w:p>
        </w:tc>
        <w:tc>
          <w:tcPr>
            <w:tcW w:w="1833" w:type="dxa"/>
            <w:tcBorders>
              <w:top w:val="single" w:sz="6" w:space="0" w:color="auto"/>
            </w:tcBorders>
            <w:tcMar>
              <w:top w:w="0" w:type="dxa"/>
              <w:left w:w="108" w:type="dxa"/>
              <w:bottom w:w="0" w:type="dxa"/>
              <w:right w:w="108" w:type="dxa"/>
            </w:tcMar>
            <w:vAlign w:val="center"/>
          </w:tcPr>
          <w:p w14:paraId="53AEBD08" w14:textId="3C730369" w:rsidR="00E34012" w:rsidRPr="00001E5E" w:rsidRDefault="00E34012" w:rsidP="003332ED">
            <w:pPr>
              <w:autoSpaceDE w:val="0"/>
              <w:autoSpaceDN w:val="0"/>
              <w:ind w:right="18"/>
              <w:jc w:val="center"/>
              <w:rPr>
                <w:rFonts w:ascii="Ping LCG Regular" w:eastAsia="Calibri" w:hAnsi="Ping LCG Regular" w:cs="Arial"/>
                <w:i/>
                <w:spacing w:val="-14"/>
                <w:lang w:val="el-GR"/>
              </w:rPr>
            </w:pPr>
            <w:r>
              <w:rPr>
                <w:rFonts w:ascii="Ping LCG Regular" w:eastAsia="Calibri" w:hAnsi="Ping LCG Regular" w:cs="Arial"/>
                <w:i/>
                <w:spacing w:val="-14"/>
                <w:lang w:val="el-GR"/>
              </w:rPr>
              <w:t>(75)</w:t>
            </w:r>
          </w:p>
        </w:tc>
      </w:tr>
      <w:tr w:rsidR="00E34012" w:rsidRPr="00AD7643" w14:paraId="64460250" w14:textId="77777777" w:rsidTr="00851841">
        <w:trPr>
          <w:trHeight w:val="299"/>
        </w:trPr>
        <w:tc>
          <w:tcPr>
            <w:tcW w:w="3157" w:type="dxa"/>
            <w:tcMar>
              <w:top w:w="0" w:type="dxa"/>
              <w:left w:w="108" w:type="dxa"/>
              <w:bottom w:w="0" w:type="dxa"/>
              <w:right w:w="108" w:type="dxa"/>
            </w:tcMar>
            <w:vAlign w:val="center"/>
            <w:hideMark/>
          </w:tcPr>
          <w:p w14:paraId="3DBE9272" w14:textId="77777777" w:rsidR="00E34012" w:rsidRPr="00AE206C" w:rsidRDefault="00E34012" w:rsidP="003332ED">
            <w:pPr>
              <w:autoSpaceDE w:val="0"/>
              <w:autoSpaceDN w:val="0"/>
              <w:ind w:right="18"/>
              <w:jc w:val="both"/>
              <w:rPr>
                <w:rFonts w:ascii="Ping LCG Regular" w:eastAsia="Calibri" w:hAnsi="Ping LCG Regular" w:cs="Arial"/>
                <w:spacing w:val="-14"/>
              </w:rPr>
            </w:pPr>
            <w:r w:rsidRPr="00AE206C">
              <w:rPr>
                <w:rFonts w:ascii="Ping LCG Regular" w:hAnsi="Ping LCG Regular" w:cs="Arial"/>
                <w:spacing w:val="-14"/>
              </w:rPr>
              <w:t>Συμβατική παραγωγή</w:t>
            </w:r>
          </w:p>
        </w:tc>
        <w:tc>
          <w:tcPr>
            <w:tcW w:w="2032" w:type="dxa"/>
            <w:tcMar>
              <w:top w:w="0" w:type="dxa"/>
              <w:left w:w="108" w:type="dxa"/>
              <w:bottom w:w="0" w:type="dxa"/>
              <w:right w:w="108" w:type="dxa"/>
            </w:tcMar>
            <w:vAlign w:val="center"/>
          </w:tcPr>
          <w:p w14:paraId="5305053E" w14:textId="5F9E7DDD" w:rsidR="00E34012" w:rsidRPr="00001E5E" w:rsidRDefault="00744F17" w:rsidP="003332ED">
            <w:pPr>
              <w:autoSpaceDE w:val="0"/>
              <w:autoSpaceDN w:val="0"/>
              <w:ind w:right="18"/>
              <w:jc w:val="center"/>
              <w:rPr>
                <w:rFonts w:ascii="Ping LCG Regular" w:eastAsia="Calibri" w:hAnsi="Ping LCG Regular" w:cs="Arial"/>
                <w:spacing w:val="-14"/>
                <w:lang w:val="el-GR"/>
              </w:rPr>
            </w:pPr>
            <w:r>
              <w:rPr>
                <w:rFonts w:ascii="Ping LCG Regular" w:eastAsia="Calibri" w:hAnsi="Ping LCG Regular" w:cs="Arial"/>
                <w:spacing w:val="-14"/>
                <w:lang w:val="el-GR"/>
              </w:rPr>
              <w:t>157,6</w:t>
            </w:r>
          </w:p>
        </w:tc>
        <w:tc>
          <w:tcPr>
            <w:tcW w:w="1821" w:type="dxa"/>
            <w:tcMar>
              <w:top w:w="0" w:type="dxa"/>
              <w:left w:w="108" w:type="dxa"/>
              <w:bottom w:w="0" w:type="dxa"/>
              <w:right w:w="108" w:type="dxa"/>
            </w:tcMar>
            <w:vAlign w:val="center"/>
          </w:tcPr>
          <w:p w14:paraId="02A6EF99" w14:textId="220C3F91" w:rsidR="00E34012" w:rsidRPr="00001E5E" w:rsidRDefault="00E34012" w:rsidP="003332ED">
            <w:pPr>
              <w:autoSpaceDE w:val="0"/>
              <w:autoSpaceDN w:val="0"/>
              <w:ind w:right="18"/>
              <w:jc w:val="center"/>
              <w:rPr>
                <w:rFonts w:ascii="Ping LCG Regular" w:eastAsia="Calibri" w:hAnsi="Ping LCG Regular" w:cs="Arial"/>
                <w:spacing w:val="-14"/>
                <w:lang w:val="el-GR"/>
              </w:rPr>
            </w:pPr>
            <w:r w:rsidRPr="00001E5E">
              <w:rPr>
                <w:rFonts w:ascii="Ping LCG Regular" w:eastAsia="Calibri" w:hAnsi="Ping LCG Regular" w:cs="Arial"/>
                <w:spacing w:val="-14"/>
                <w:lang w:val="el-GR"/>
              </w:rPr>
              <w:t>375,3</w:t>
            </w:r>
          </w:p>
        </w:tc>
        <w:tc>
          <w:tcPr>
            <w:tcW w:w="1671" w:type="dxa"/>
          </w:tcPr>
          <w:p w14:paraId="3A279BA3" w14:textId="5E4F6C70" w:rsidR="00E34012" w:rsidRDefault="00E34012" w:rsidP="003332ED">
            <w:pPr>
              <w:autoSpaceDE w:val="0"/>
              <w:autoSpaceDN w:val="0"/>
              <w:ind w:right="18"/>
              <w:jc w:val="center"/>
              <w:rPr>
                <w:rFonts w:ascii="Ping LCG Regular" w:eastAsia="Calibri" w:hAnsi="Ping LCG Regular" w:cs="Arial"/>
                <w:i/>
                <w:spacing w:val="-14"/>
                <w:lang w:val="el-GR"/>
              </w:rPr>
            </w:pPr>
            <w:r>
              <w:rPr>
                <w:rFonts w:ascii="Ping LCG Regular" w:eastAsia="Calibri" w:hAnsi="Ping LCG Regular" w:cs="Arial"/>
                <w:i/>
                <w:spacing w:val="-14"/>
                <w:lang w:val="el-GR"/>
              </w:rPr>
              <w:t>(21</w:t>
            </w:r>
            <w:r w:rsidR="00744F17">
              <w:rPr>
                <w:rFonts w:ascii="Ping LCG Regular" w:eastAsia="Calibri" w:hAnsi="Ping LCG Regular" w:cs="Arial"/>
                <w:i/>
                <w:spacing w:val="-14"/>
                <w:lang w:val="el-GR"/>
              </w:rPr>
              <w:t>7,7</w:t>
            </w:r>
            <w:r>
              <w:rPr>
                <w:rFonts w:ascii="Ping LCG Regular" w:eastAsia="Calibri" w:hAnsi="Ping LCG Regular" w:cs="Arial"/>
                <w:i/>
                <w:spacing w:val="-14"/>
                <w:lang w:val="el-GR"/>
              </w:rPr>
              <w:t>)</w:t>
            </w:r>
          </w:p>
        </w:tc>
        <w:tc>
          <w:tcPr>
            <w:tcW w:w="1833" w:type="dxa"/>
            <w:tcMar>
              <w:top w:w="0" w:type="dxa"/>
              <w:left w:w="108" w:type="dxa"/>
              <w:bottom w:w="0" w:type="dxa"/>
              <w:right w:w="108" w:type="dxa"/>
            </w:tcMar>
            <w:vAlign w:val="center"/>
          </w:tcPr>
          <w:p w14:paraId="59426C6A" w14:textId="4DE3E07B" w:rsidR="00E34012" w:rsidRPr="00001E5E" w:rsidRDefault="00E34012" w:rsidP="003332ED">
            <w:pPr>
              <w:autoSpaceDE w:val="0"/>
              <w:autoSpaceDN w:val="0"/>
              <w:ind w:right="18"/>
              <w:jc w:val="center"/>
              <w:rPr>
                <w:rFonts w:ascii="Ping LCG Regular" w:eastAsia="Calibri" w:hAnsi="Ping LCG Regular" w:cs="Arial"/>
                <w:i/>
                <w:spacing w:val="-14"/>
                <w:lang w:val="el-GR"/>
              </w:rPr>
            </w:pPr>
            <w:r>
              <w:rPr>
                <w:rFonts w:ascii="Ping LCG Regular" w:eastAsia="Calibri" w:hAnsi="Ping LCG Regular" w:cs="Arial"/>
                <w:i/>
                <w:spacing w:val="-14"/>
                <w:lang w:val="el-GR"/>
              </w:rPr>
              <w:t>(58)</w:t>
            </w:r>
          </w:p>
        </w:tc>
      </w:tr>
      <w:tr w:rsidR="00E34012" w:rsidRPr="00AD7643" w14:paraId="784BAE20" w14:textId="77777777" w:rsidTr="00851841">
        <w:trPr>
          <w:trHeight w:val="283"/>
        </w:trPr>
        <w:tc>
          <w:tcPr>
            <w:tcW w:w="3157" w:type="dxa"/>
            <w:tcMar>
              <w:top w:w="0" w:type="dxa"/>
              <w:left w:w="108" w:type="dxa"/>
              <w:bottom w:w="0" w:type="dxa"/>
              <w:right w:w="108" w:type="dxa"/>
            </w:tcMar>
            <w:vAlign w:val="center"/>
          </w:tcPr>
          <w:p w14:paraId="6CD3A5CE" w14:textId="77777777" w:rsidR="00E34012" w:rsidRPr="00AE206C" w:rsidRDefault="00E34012" w:rsidP="003332ED">
            <w:pPr>
              <w:autoSpaceDE w:val="0"/>
              <w:autoSpaceDN w:val="0"/>
              <w:ind w:right="18"/>
              <w:jc w:val="both"/>
              <w:rPr>
                <w:rFonts w:ascii="Ping LCG Regular" w:hAnsi="Ping LCG Regular" w:cs="Arial"/>
                <w:spacing w:val="-14"/>
              </w:rPr>
            </w:pPr>
            <w:r w:rsidRPr="00AE206C">
              <w:rPr>
                <w:rFonts w:ascii="Ping LCG Regular" w:hAnsi="Ping LCG Regular" w:cs="Arial"/>
                <w:spacing w:val="-14"/>
              </w:rPr>
              <w:t>ΑΠΕ</w:t>
            </w:r>
          </w:p>
        </w:tc>
        <w:tc>
          <w:tcPr>
            <w:tcW w:w="2032" w:type="dxa"/>
            <w:tcMar>
              <w:top w:w="0" w:type="dxa"/>
              <w:left w:w="108" w:type="dxa"/>
              <w:bottom w:w="0" w:type="dxa"/>
              <w:right w:w="108" w:type="dxa"/>
            </w:tcMar>
            <w:vAlign w:val="center"/>
          </w:tcPr>
          <w:p w14:paraId="0E8CBB83" w14:textId="17218B6B" w:rsidR="00E34012" w:rsidRPr="00001E5E" w:rsidRDefault="00E34012" w:rsidP="003332ED">
            <w:pPr>
              <w:autoSpaceDE w:val="0"/>
              <w:autoSpaceDN w:val="0"/>
              <w:ind w:right="18"/>
              <w:jc w:val="center"/>
              <w:rPr>
                <w:rFonts w:ascii="Ping LCG Regular" w:eastAsia="Calibri" w:hAnsi="Ping LCG Regular" w:cs="Arial"/>
                <w:spacing w:val="-14"/>
                <w:lang w:val="el-GR"/>
              </w:rPr>
            </w:pPr>
            <w:r>
              <w:rPr>
                <w:rFonts w:ascii="Ping LCG Regular" w:eastAsia="Calibri" w:hAnsi="Ping LCG Regular" w:cs="Arial"/>
                <w:spacing w:val="-14"/>
                <w:lang w:val="el-GR"/>
              </w:rPr>
              <w:t>18,0</w:t>
            </w:r>
          </w:p>
        </w:tc>
        <w:tc>
          <w:tcPr>
            <w:tcW w:w="1821" w:type="dxa"/>
            <w:tcMar>
              <w:top w:w="0" w:type="dxa"/>
              <w:left w:w="108" w:type="dxa"/>
              <w:bottom w:w="0" w:type="dxa"/>
              <w:right w:w="108" w:type="dxa"/>
            </w:tcMar>
            <w:vAlign w:val="center"/>
          </w:tcPr>
          <w:p w14:paraId="480244D1" w14:textId="0200A6BA" w:rsidR="00E34012" w:rsidRPr="00001E5E" w:rsidRDefault="00E34012" w:rsidP="003332ED">
            <w:pPr>
              <w:autoSpaceDE w:val="0"/>
              <w:autoSpaceDN w:val="0"/>
              <w:ind w:right="18"/>
              <w:jc w:val="center"/>
              <w:rPr>
                <w:rFonts w:ascii="Ping LCG Regular" w:eastAsia="Calibri" w:hAnsi="Ping LCG Regular" w:cs="Arial"/>
                <w:spacing w:val="-14"/>
                <w:lang w:val="el-GR"/>
              </w:rPr>
            </w:pPr>
            <w:r w:rsidRPr="00001E5E">
              <w:rPr>
                <w:rFonts w:ascii="Ping LCG Regular" w:eastAsia="Calibri" w:hAnsi="Ping LCG Regular" w:cs="Arial"/>
                <w:spacing w:val="-14"/>
                <w:lang w:val="el-GR"/>
              </w:rPr>
              <w:t>32,0</w:t>
            </w:r>
          </w:p>
        </w:tc>
        <w:tc>
          <w:tcPr>
            <w:tcW w:w="1671" w:type="dxa"/>
          </w:tcPr>
          <w:p w14:paraId="090DA6E5" w14:textId="3B010234" w:rsidR="00E34012" w:rsidRDefault="00E34012" w:rsidP="003332ED">
            <w:pPr>
              <w:autoSpaceDE w:val="0"/>
              <w:autoSpaceDN w:val="0"/>
              <w:ind w:right="18"/>
              <w:jc w:val="center"/>
              <w:rPr>
                <w:rFonts w:ascii="Ping LCG Regular" w:eastAsia="Calibri" w:hAnsi="Ping LCG Regular" w:cs="Arial"/>
                <w:i/>
                <w:spacing w:val="-14"/>
                <w:lang w:val="el-GR"/>
              </w:rPr>
            </w:pPr>
            <w:r>
              <w:rPr>
                <w:rFonts w:ascii="Ping LCG Regular" w:eastAsia="Calibri" w:hAnsi="Ping LCG Regular" w:cs="Arial"/>
                <w:i/>
                <w:spacing w:val="-14"/>
                <w:lang w:val="el-GR"/>
              </w:rPr>
              <w:t>(14)</w:t>
            </w:r>
          </w:p>
        </w:tc>
        <w:tc>
          <w:tcPr>
            <w:tcW w:w="1833" w:type="dxa"/>
            <w:tcMar>
              <w:top w:w="0" w:type="dxa"/>
              <w:left w:w="108" w:type="dxa"/>
              <w:bottom w:w="0" w:type="dxa"/>
              <w:right w:w="108" w:type="dxa"/>
            </w:tcMar>
            <w:vAlign w:val="center"/>
          </w:tcPr>
          <w:p w14:paraId="1A16D08F" w14:textId="1C8A8499" w:rsidR="00E34012" w:rsidRPr="00001E5E" w:rsidRDefault="00E34012" w:rsidP="003332ED">
            <w:pPr>
              <w:autoSpaceDE w:val="0"/>
              <w:autoSpaceDN w:val="0"/>
              <w:ind w:right="18"/>
              <w:jc w:val="center"/>
              <w:rPr>
                <w:rFonts w:ascii="Ping LCG Regular" w:eastAsia="Calibri" w:hAnsi="Ping LCG Regular" w:cs="Arial"/>
                <w:i/>
                <w:spacing w:val="-14"/>
                <w:lang w:val="el-GR"/>
              </w:rPr>
            </w:pPr>
            <w:r>
              <w:rPr>
                <w:rFonts w:ascii="Ping LCG Regular" w:eastAsia="Calibri" w:hAnsi="Ping LCG Regular" w:cs="Arial"/>
                <w:i/>
                <w:spacing w:val="-14"/>
                <w:lang w:val="el-GR"/>
              </w:rPr>
              <w:t>(44)</w:t>
            </w:r>
          </w:p>
        </w:tc>
      </w:tr>
      <w:tr w:rsidR="00E34012" w:rsidRPr="00AD7643" w14:paraId="2BD66370" w14:textId="77777777" w:rsidTr="00851841">
        <w:trPr>
          <w:trHeight w:val="283"/>
        </w:trPr>
        <w:tc>
          <w:tcPr>
            <w:tcW w:w="3157" w:type="dxa"/>
            <w:tcMar>
              <w:top w:w="0" w:type="dxa"/>
              <w:left w:w="108" w:type="dxa"/>
              <w:bottom w:w="0" w:type="dxa"/>
              <w:right w:w="108" w:type="dxa"/>
            </w:tcMar>
            <w:vAlign w:val="center"/>
            <w:hideMark/>
          </w:tcPr>
          <w:p w14:paraId="0A63F9F7" w14:textId="77777777" w:rsidR="00E34012" w:rsidRPr="00AE206C" w:rsidRDefault="00E34012" w:rsidP="003332ED">
            <w:pPr>
              <w:autoSpaceDE w:val="0"/>
              <w:autoSpaceDN w:val="0"/>
              <w:ind w:right="18"/>
              <w:jc w:val="both"/>
              <w:rPr>
                <w:rFonts w:ascii="Ping LCG Regular" w:eastAsia="Calibri" w:hAnsi="Ping LCG Regular" w:cs="Arial"/>
                <w:spacing w:val="-14"/>
              </w:rPr>
            </w:pPr>
            <w:r w:rsidRPr="00AE206C">
              <w:rPr>
                <w:rFonts w:ascii="Ping LCG Regular" w:hAnsi="Ping LCG Regular" w:cs="Arial"/>
                <w:spacing w:val="-14"/>
              </w:rPr>
              <w:t>Δίκτυα Διανομής  </w:t>
            </w:r>
          </w:p>
        </w:tc>
        <w:tc>
          <w:tcPr>
            <w:tcW w:w="2032" w:type="dxa"/>
            <w:tcMar>
              <w:top w:w="0" w:type="dxa"/>
              <w:left w:w="108" w:type="dxa"/>
              <w:bottom w:w="0" w:type="dxa"/>
              <w:right w:w="108" w:type="dxa"/>
            </w:tcMar>
            <w:vAlign w:val="center"/>
          </w:tcPr>
          <w:p w14:paraId="3879216B" w14:textId="051F97D9" w:rsidR="00E34012" w:rsidRPr="00663715" w:rsidRDefault="00E34012" w:rsidP="003332ED">
            <w:pPr>
              <w:autoSpaceDE w:val="0"/>
              <w:autoSpaceDN w:val="0"/>
              <w:ind w:right="18"/>
              <w:jc w:val="center"/>
              <w:rPr>
                <w:rFonts w:ascii="Ping LCG Regular" w:eastAsia="Calibri" w:hAnsi="Ping LCG Regular" w:cs="Arial"/>
                <w:spacing w:val="-14"/>
                <w:lang w:val="el-GR"/>
              </w:rPr>
            </w:pPr>
            <w:r w:rsidRPr="00663715">
              <w:rPr>
                <w:rFonts w:ascii="Ping LCG Regular" w:eastAsia="Calibri" w:hAnsi="Ping LCG Regular" w:cs="Arial"/>
                <w:spacing w:val="-14"/>
                <w:lang w:val="el-GR"/>
              </w:rPr>
              <w:t>174,8</w:t>
            </w:r>
          </w:p>
        </w:tc>
        <w:tc>
          <w:tcPr>
            <w:tcW w:w="1821" w:type="dxa"/>
            <w:tcMar>
              <w:top w:w="0" w:type="dxa"/>
              <w:left w:w="108" w:type="dxa"/>
              <w:bottom w:w="0" w:type="dxa"/>
              <w:right w:w="108" w:type="dxa"/>
            </w:tcMar>
            <w:vAlign w:val="center"/>
          </w:tcPr>
          <w:p w14:paraId="1A03D18D" w14:textId="2030326E" w:rsidR="00E34012" w:rsidRPr="00663715" w:rsidRDefault="00E34012" w:rsidP="003332ED">
            <w:pPr>
              <w:autoSpaceDE w:val="0"/>
              <w:autoSpaceDN w:val="0"/>
              <w:ind w:right="18"/>
              <w:jc w:val="center"/>
              <w:rPr>
                <w:rFonts w:ascii="Ping LCG Regular" w:eastAsia="Calibri" w:hAnsi="Ping LCG Regular" w:cs="Arial"/>
                <w:spacing w:val="-14"/>
                <w:lang w:val="el-GR"/>
              </w:rPr>
            </w:pPr>
            <w:r w:rsidRPr="00663715">
              <w:rPr>
                <w:rFonts w:ascii="Ping LCG Regular" w:eastAsia="Calibri" w:hAnsi="Ping LCG Regular" w:cs="Arial"/>
                <w:spacing w:val="-14"/>
                <w:lang w:val="el-GR"/>
              </w:rPr>
              <w:t>149,8</w:t>
            </w:r>
          </w:p>
        </w:tc>
        <w:tc>
          <w:tcPr>
            <w:tcW w:w="1671" w:type="dxa"/>
          </w:tcPr>
          <w:p w14:paraId="7F321AA0" w14:textId="12F455B8" w:rsidR="00E34012" w:rsidRDefault="00E34012" w:rsidP="003332ED">
            <w:pPr>
              <w:autoSpaceDE w:val="0"/>
              <w:autoSpaceDN w:val="0"/>
              <w:ind w:right="18"/>
              <w:jc w:val="center"/>
              <w:rPr>
                <w:rFonts w:ascii="Ping LCG Regular" w:eastAsia="Calibri" w:hAnsi="Ping LCG Regular" w:cs="Arial"/>
                <w:i/>
                <w:spacing w:val="-14"/>
                <w:lang w:val="el-GR"/>
              </w:rPr>
            </w:pPr>
            <w:r>
              <w:rPr>
                <w:rFonts w:ascii="Ping LCG Regular" w:eastAsia="Calibri" w:hAnsi="Ping LCG Regular" w:cs="Arial"/>
                <w:i/>
                <w:spacing w:val="-14"/>
                <w:lang w:val="el-GR"/>
              </w:rPr>
              <w:t>25</w:t>
            </w:r>
          </w:p>
        </w:tc>
        <w:tc>
          <w:tcPr>
            <w:tcW w:w="1833" w:type="dxa"/>
            <w:tcMar>
              <w:top w:w="0" w:type="dxa"/>
              <w:left w:w="108" w:type="dxa"/>
              <w:bottom w:w="0" w:type="dxa"/>
              <w:right w:w="108" w:type="dxa"/>
            </w:tcMar>
            <w:vAlign w:val="center"/>
          </w:tcPr>
          <w:p w14:paraId="1F8AD33C" w14:textId="04E79633" w:rsidR="00E34012" w:rsidRPr="00001E5E" w:rsidRDefault="00E34012" w:rsidP="003332ED">
            <w:pPr>
              <w:autoSpaceDE w:val="0"/>
              <w:autoSpaceDN w:val="0"/>
              <w:ind w:right="18"/>
              <w:jc w:val="center"/>
              <w:rPr>
                <w:rFonts w:ascii="Ping LCG Regular" w:eastAsia="Calibri" w:hAnsi="Ping LCG Regular" w:cs="Arial"/>
                <w:i/>
                <w:spacing w:val="-14"/>
                <w:lang w:val="el-GR"/>
              </w:rPr>
            </w:pPr>
            <w:r>
              <w:rPr>
                <w:rFonts w:ascii="Ping LCG Regular" w:eastAsia="Calibri" w:hAnsi="Ping LCG Regular" w:cs="Arial"/>
                <w:i/>
                <w:spacing w:val="-14"/>
                <w:lang w:val="el-GR"/>
              </w:rPr>
              <w:t>17</w:t>
            </w:r>
          </w:p>
        </w:tc>
      </w:tr>
    </w:tbl>
    <w:p w14:paraId="69812B8B" w14:textId="3640CFA5" w:rsidR="00A249A6" w:rsidRDefault="00A249A6" w:rsidP="00A249A6">
      <w:pPr>
        <w:rPr>
          <w:rFonts w:ascii="Ping LCG Regular" w:hAnsi="Ping LCG Regular" w:cs="Arial"/>
          <w:b/>
          <w:bCs/>
          <w:spacing w:val="-14"/>
          <w:highlight w:val="yellow"/>
        </w:rPr>
      </w:pPr>
    </w:p>
    <w:bookmarkEnd w:id="11"/>
    <w:p w14:paraId="6F6AC0B5" w14:textId="77777777" w:rsidR="003332ED" w:rsidRPr="00AD7643" w:rsidRDefault="003332ED" w:rsidP="00A249A6">
      <w:pPr>
        <w:rPr>
          <w:rFonts w:ascii="Ping LCG Regular" w:hAnsi="Ping LCG Regular" w:cs="Arial"/>
          <w:b/>
          <w:bCs/>
          <w:spacing w:val="-14"/>
          <w:highlight w:val="yellow"/>
        </w:rPr>
      </w:pPr>
    </w:p>
    <w:p w14:paraId="1B70532F" w14:textId="77777777" w:rsidR="00A249A6" w:rsidRPr="00AB5F3E" w:rsidRDefault="00A249A6" w:rsidP="00A249A6">
      <w:pPr>
        <w:rPr>
          <w:rFonts w:ascii="Ping LCG Regular" w:hAnsi="Ping LCG Regular" w:cs="Arial"/>
          <w:b/>
          <w:bCs/>
          <w:spacing w:val="-14"/>
          <w:lang w:val="el-GR"/>
        </w:rPr>
      </w:pPr>
      <w:bookmarkStart w:id="12" w:name="_Hlk68249947"/>
      <w:r w:rsidRPr="00AB5F3E">
        <w:rPr>
          <w:rFonts w:ascii="Ping LCG Regular" w:hAnsi="Ping LCG Regular" w:cs="Arial"/>
          <w:b/>
          <w:bCs/>
          <w:spacing w:val="-14"/>
          <w:lang w:val="el-GR"/>
        </w:rPr>
        <w:t>Καθαρό Χρέος</w:t>
      </w:r>
    </w:p>
    <w:p w14:paraId="44B806DE" w14:textId="0CFF80B5" w:rsidR="00A249A6" w:rsidRPr="00A249A6" w:rsidRDefault="00A249A6" w:rsidP="00A249A6">
      <w:pPr>
        <w:autoSpaceDE w:val="0"/>
        <w:autoSpaceDN w:val="0"/>
        <w:ind w:right="20"/>
        <w:jc w:val="both"/>
        <w:rPr>
          <w:rFonts w:ascii="Ping LCG Regular" w:hAnsi="Ping LCG Regular" w:cs="Arial"/>
          <w:strike/>
          <w:spacing w:val="-14"/>
          <w:lang w:val="el-GR"/>
        </w:rPr>
      </w:pPr>
      <w:r w:rsidRPr="00A249A6">
        <w:rPr>
          <w:rFonts w:ascii="Ping LCG Regular" w:hAnsi="Ping LCG Regular" w:cs="Arial"/>
          <w:spacing w:val="-14"/>
          <w:lang w:val="el-GR"/>
        </w:rPr>
        <w:t xml:space="preserve">Το καθαρό </w:t>
      </w:r>
      <w:r w:rsidRPr="002A61B1">
        <w:rPr>
          <w:rFonts w:ascii="Ping LCG Regular" w:hAnsi="Ping LCG Regular" w:cs="Arial"/>
          <w:spacing w:val="-14"/>
          <w:lang w:val="el-GR"/>
        </w:rPr>
        <w:t>χρέος στις 3</w:t>
      </w:r>
      <w:r w:rsidR="003332ED" w:rsidRPr="002A61B1">
        <w:rPr>
          <w:rFonts w:ascii="Ping LCG Regular" w:hAnsi="Ping LCG Regular" w:cs="Arial"/>
          <w:spacing w:val="-14"/>
          <w:lang w:val="el-GR"/>
        </w:rPr>
        <w:t>1</w:t>
      </w:r>
      <w:r w:rsidRPr="002A61B1">
        <w:rPr>
          <w:rFonts w:ascii="Ping LCG Regular" w:hAnsi="Ping LCG Regular" w:cs="Arial"/>
          <w:spacing w:val="-14"/>
          <w:lang w:val="el-GR"/>
        </w:rPr>
        <w:t>.</w:t>
      </w:r>
      <w:r w:rsidR="003332ED" w:rsidRPr="002A61B1">
        <w:rPr>
          <w:rFonts w:ascii="Ping LCG Regular" w:hAnsi="Ping LCG Regular" w:cs="Arial"/>
          <w:spacing w:val="-14"/>
          <w:lang w:val="el-GR"/>
        </w:rPr>
        <w:t>12</w:t>
      </w:r>
      <w:r w:rsidRPr="002A61B1">
        <w:rPr>
          <w:rFonts w:ascii="Ping LCG Regular" w:hAnsi="Ping LCG Regular" w:cs="Arial"/>
          <w:spacing w:val="-14"/>
          <w:lang w:val="el-GR"/>
        </w:rPr>
        <w:t>.2020 ήταν €3.</w:t>
      </w:r>
      <w:r w:rsidR="003332ED" w:rsidRPr="002A61B1">
        <w:rPr>
          <w:rFonts w:ascii="Ping LCG Regular" w:hAnsi="Ping LCG Regular" w:cs="Arial"/>
          <w:spacing w:val="-14"/>
          <w:lang w:val="el-GR"/>
        </w:rPr>
        <w:t>283</w:t>
      </w:r>
      <w:r w:rsidRPr="002A61B1">
        <w:rPr>
          <w:rFonts w:ascii="Ping LCG Regular" w:hAnsi="Ping LCG Regular" w:cs="Arial"/>
          <w:spacing w:val="-14"/>
          <w:lang w:val="el-GR"/>
        </w:rPr>
        <w:t>,</w:t>
      </w:r>
      <w:r w:rsidR="00E2730C" w:rsidRPr="002A61B1">
        <w:rPr>
          <w:rFonts w:ascii="Ping LCG Regular" w:hAnsi="Ping LCG Regular" w:cs="Arial"/>
          <w:spacing w:val="-14"/>
          <w:lang w:val="el-GR"/>
        </w:rPr>
        <w:t>6</w:t>
      </w:r>
      <w:r w:rsidRPr="002A61B1">
        <w:rPr>
          <w:rFonts w:ascii="Ping LCG Regular" w:hAnsi="Ping LCG Regular" w:cs="Arial"/>
          <w:spacing w:val="-14"/>
          <w:lang w:val="el-GR"/>
        </w:rPr>
        <w:t xml:space="preserve"> εκατ., μειωμένο κατά €</w:t>
      </w:r>
      <w:r w:rsidR="003332ED" w:rsidRPr="002A61B1">
        <w:rPr>
          <w:rFonts w:ascii="Ping LCG Regular" w:hAnsi="Ping LCG Regular" w:cs="Arial"/>
          <w:spacing w:val="-14"/>
          <w:lang w:val="el-GR"/>
        </w:rPr>
        <w:t>403,4</w:t>
      </w:r>
      <w:r w:rsidRPr="002A61B1">
        <w:rPr>
          <w:rFonts w:ascii="Ping LCG Regular" w:hAnsi="Ping LCG Regular" w:cs="Arial"/>
          <w:spacing w:val="-14"/>
          <w:lang w:val="el-GR"/>
        </w:rPr>
        <w:t xml:space="preserve"> εκατ. σε σχέση με την 31.12.2019</w:t>
      </w:r>
      <w:r w:rsidR="00E34012">
        <w:rPr>
          <w:rFonts w:ascii="Ping LCG Regular" w:hAnsi="Ping LCG Regular" w:cs="Arial"/>
          <w:spacing w:val="-14"/>
          <w:lang w:val="el-GR"/>
        </w:rPr>
        <w:t xml:space="preserve"> (€3</w:t>
      </w:r>
      <w:r w:rsidR="00E110C8" w:rsidRPr="00E110C8">
        <w:rPr>
          <w:rFonts w:ascii="Ping LCG Regular" w:hAnsi="Ping LCG Regular" w:cs="Arial"/>
          <w:spacing w:val="-14"/>
          <w:lang w:val="el-GR"/>
        </w:rPr>
        <w:t>.</w:t>
      </w:r>
      <w:r w:rsidR="00E34012">
        <w:rPr>
          <w:rFonts w:ascii="Ping LCG Regular" w:hAnsi="Ping LCG Regular" w:cs="Arial"/>
          <w:spacing w:val="-14"/>
          <w:lang w:val="el-GR"/>
        </w:rPr>
        <w:t>687 εκατ.)</w:t>
      </w:r>
      <w:r w:rsidRPr="002A61B1">
        <w:rPr>
          <w:rFonts w:ascii="Ping LCG Regular" w:hAnsi="Ping LCG Regular" w:cs="Arial"/>
          <w:spacing w:val="-14"/>
          <w:lang w:val="el-GR"/>
        </w:rPr>
        <w:t xml:space="preserve">, </w:t>
      </w:r>
      <w:r w:rsidRPr="00663715">
        <w:rPr>
          <w:rFonts w:ascii="Ping LCG Regular" w:hAnsi="Ping LCG Regular" w:cs="Arial"/>
          <w:spacing w:val="-14"/>
          <w:lang w:val="el-GR"/>
        </w:rPr>
        <w:t>λόγω της αύξησης των χρηματικών διαθεσίμων</w:t>
      </w:r>
      <w:r w:rsidRPr="002A61B1">
        <w:rPr>
          <w:rFonts w:ascii="Ping LCG Regular" w:hAnsi="Ping LCG Regular" w:cs="Arial"/>
          <w:spacing w:val="-14"/>
          <w:lang w:val="el-GR"/>
        </w:rPr>
        <w:t>.</w:t>
      </w:r>
      <w:r w:rsidRPr="00A249A6">
        <w:rPr>
          <w:rFonts w:ascii="Ping LCG Regular" w:hAnsi="Ping LCG Regular" w:cs="Arial"/>
          <w:spacing w:val="-14"/>
          <w:lang w:val="el-GR"/>
        </w:rPr>
        <w:t xml:space="preserve"> </w:t>
      </w:r>
    </w:p>
    <w:p w14:paraId="62EC5E18" w14:textId="77777777" w:rsidR="00A249A6" w:rsidRPr="00A249A6" w:rsidRDefault="00A249A6" w:rsidP="00A249A6">
      <w:pPr>
        <w:autoSpaceDE w:val="0"/>
        <w:autoSpaceDN w:val="0"/>
        <w:ind w:right="20"/>
        <w:jc w:val="both"/>
        <w:rPr>
          <w:rFonts w:ascii="Ping LCG Regular" w:hAnsi="Ping LCG Regular" w:cs="Arial"/>
          <w:spacing w:val="-14"/>
          <w:lang w:val="el-GR"/>
        </w:rPr>
      </w:pPr>
    </w:p>
    <w:p w14:paraId="63452005" w14:textId="77777777" w:rsidR="00851841" w:rsidRDefault="00851841">
      <w:pPr>
        <w:rPr>
          <w:rFonts w:ascii="Ping LCG Regular" w:hAnsi="Ping LCG Regular" w:cs="Arial"/>
          <w:spacing w:val="-14"/>
          <w:lang w:val="el-GR"/>
        </w:rPr>
      </w:pPr>
      <w:r>
        <w:rPr>
          <w:rFonts w:ascii="Ping LCG Regular" w:hAnsi="Ping LCG Regular" w:cs="Arial"/>
          <w:spacing w:val="-14"/>
          <w:lang w:val="el-GR"/>
        </w:rPr>
        <w:br w:type="page"/>
      </w:r>
    </w:p>
    <w:p w14:paraId="20E2AAB1" w14:textId="3F1D54A5" w:rsidR="00A249A6" w:rsidRPr="00A469D4" w:rsidRDefault="00BC625E" w:rsidP="00A249A6">
      <w:pPr>
        <w:rPr>
          <w:rFonts w:ascii="Ping LCG Regular" w:hAnsi="Ping LCG Regular" w:cs="Arial"/>
          <w:spacing w:val="-14"/>
          <w:lang w:val="el-GR"/>
        </w:rPr>
      </w:pPr>
      <w:r w:rsidRPr="00A469D4">
        <w:rPr>
          <w:rFonts w:ascii="Ping LCG Regular" w:hAnsi="Ping LCG Regular" w:cs="Arial"/>
          <w:spacing w:val="-14"/>
          <w:lang w:val="el-GR"/>
        </w:rPr>
        <w:lastRenderedPageBreak/>
        <w:t>Ακολουθεί η ε</w:t>
      </w:r>
      <w:r w:rsidR="00A249A6" w:rsidRPr="00A469D4">
        <w:rPr>
          <w:rFonts w:ascii="Ping LCG Regular" w:hAnsi="Ping LCG Regular" w:cs="Arial"/>
          <w:spacing w:val="-14"/>
          <w:lang w:val="el-GR"/>
        </w:rPr>
        <w:t xml:space="preserve">ξέλιξη </w:t>
      </w:r>
      <w:r w:rsidRPr="00A469D4">
        <w:rPr>
          <w:rFonts w:ascii="Ping LCG Regular" w:hAnsi="Ping LCG Regular" w:cs="Arial"/>
          <w:spacing w:val="-14"/>
          <w:lang w:val="el-GR"/>
        </w:rPr>
        <w:t xml:space="preserve">του </w:t>
      </w:r>
      <w:r w:rsidR="00A249A6" w:rsidRPr="00A469D4">
        <w:rPr>
          <w:rFonts w:ascii="Ping LCG Regular" w:hAnsi="Ping LCG Regular" w:cs="Arial"/>
          <w:spacing w:val="-14"/>
          <w:lang w:val="el-GR"/>
        </w:rPr>
        <w:t>Καθαρού Χρέους</w:t>
      </w:r>
      <w:r w:rsidRPr="00A469D4">
        <w:rPr>
          <w:rFonts w:ascii="Ping LCG Regular" w:hAnsi="Ping LCG Regular" w:cs="Arial"/>
          <w:spacing w:val="-14"/>
          <w:lang w:val="el-GR"/>
        </w:rPr>
        <w:t>:</w:t>
      </w:r>
    </w:p>
    <w:tbl>
      <w:tblPr>
        <w:tblpPr w:leftFromText="180" w:rightFromText="180" w:vertAnchor="text" w:horzAnchor="margin" w:tblpY="240"/>
        <w:tblW w:w="1049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201"/>
        <w:gridCol w:w="2153"/>
        <w:gridCol w:w="2139"/>
      </w:tblGrid>
      <w:tr w:rsidR="003332ED" w:rsidRPr="00AD7643" w14:paraId="280974C0" w14:textId="77777777" w:rsidTr="00851841">
        <w:trPr>
          <w:trHeight w:val="299"/>
        </w:trPr>
        <w:tc>
          <w:tcPr>
            <w:tcW w:w="6201" w:type="dxa"/>
            <w:tcBorders>
              <w:top w:val="single" w:sz="8" w:space="0" w:color="auto"/>
              <w:bottom w:val="single" w:sz="6" w:space="0" w:color="auto"/>
            </w:tcBorders>
            <w:shd w:val="pct25" w:color="auto" w:fill="auto"/>
            <w:tcMar>
              <w:top w:w="0" w:type="dxa"/>
              <w:left w:w="108" w:type="dxa"/>
              <w:bottom w:w="0" w:type="dxa"/>
              <w:right w:w="108" w:type="dxa"/>
            </w:tcMar>
            <w:vAlign w:val="center"/>
            <w:hideMark/>
          </w:tcPr>
          <w:p w14:paraId="32BB1853" w14:textId="77777777" w:rsidR="003332ED" w:rsidRPr="00AD7643" w:rsidRDefault="003332ED" w:rsidP="003332ED">
            <w:pPr>
              <w:autoSpaceDE w:val="0"/>
              <w:autoSpaceDN w:val="0"/>
              <w:ind w:right="20"/>
              <w:rPr>
                <w:rFonts w:ascii="Ping LCG Regular" w:eastAsia="Calibri" w:hAnsi="Ping LCG Regular" w:cs="Arial"/>
                <w:spacing w:val="-14"/>
              </w:rPr>
            </w:pPr>
            <w:r w:rsidRPr="00A469D4">
              <w:rPr>
                <w:rFonts w:ascii="Ping LCG Regular" w:hAnsi="Ping LCG Regular" w:cs="Arial"/>
                <w:spacing w:val="-14"/>
                <w:lang w:val="el-GR"/>
              </w:rPr>
              <w:t xml:space="preserve"> </w:t>
            </w:r>
            <w:r w:rsidRPr="00AD7643">
              <w:rPr>
                <w:rFonts w:ascii="Ping LCG Regular" w:hAnsi="Ping LCG Regular" w:cs="Arial"/>
                <w:spacing w:val="-14"/>
              </w:rPr>
              <w:t>(σε € εκατ.)</w:t>
            </w:r>
          </w:p>
        </w:tc>
        <w:tc>
          <w:tcPr>
            <w:tcW w:w="2153" w:type="dxa"/>
            <w:tcBorders>
              <w:top w:val="single" w:sz="8" w:space="0" w:color="auto"/>
              <w:bottom w:val="single" w:sz="6" w:space="0" w:color="auto"/>
            </w:tcBorders>
            <w:shd w:val="pct25" w:color="auto" w:fill="auto"/>
            <w:vAlign w:val="center"/>
          </w:tcPr>
          <w:p w14:paraId="4EA101B1" w14:textId="3FBBD6F7" w:rsidR="003332ED" w:rsidRPr="00AD7643" w:rsidRDefault="003332ED" w:rsidP="00851841">
            <w:pPr>
              <w:jc w:val="center"/>
              <w:rPr>
                <w:rFonts w:ascii="Ping LCG Regular" w:hAnsi="Ping LCG Regular" w:cs="Arial"/>
                <w:b/>
              </w:rPr>
            </w:pPr>
            <w:r w:rsidRPr="00AD7643">
              <w:rPr>
                <w:rFonts w:ascii="Ping LCG Regular" w:hAnsi="Ping LCG Regular" w:cs="Arial"/>
                <w:b/>
              </w:rPr>
              <w:t>3</w:t>
            </w:r>
            <w:r>
              <w:rPr>
                <w:rFonts w:ascii="Ping LCG Regular" w:hAnsi="Ping LCG Regular" w:cs="Arial"/>
                <w:b/>
                <w:lang w:val="el-GR"/>
              </w:rPr>
              <w:t>1</w:t>
            </w:r>
            <w:r w:rsidRPr="00AD7643">
              <w:rPr>
                <w:rFonts w:ascii="Ping LCG Regular" w:hAnsi="Ping LCG Regular" w:cs="Arial"/>
                <w:b/>
              </w:rPr>
              <w:t>.</w:t>
            </w:r>
            <w:r>
              <w:rPr>
                <w:rFonts w:ascii="Ping LCG Regular" w:hAnsi="Ping LCG Regular" w:cs="Arial"/>
                <w:b/>
                <w:lang w:val="el-GR"/>
              </w:rPr>
              <w:t>12</w:t>
            </w:r>
            <w:r w:rsidRPr="00AD7643">
              <w:rPr>
                <w:rFonts w:ascii="Ping LCG Regular" w:hAnsi="Ping LCG Regular" w:cs="Arial"/>
                <w:b/>
              </w:rPr>
              <w:t>.2020</w:t>
            </w:r>
          </w:p>
        </w:tc>
        <w:tc>
          <w:tcPr>
            <w:tcW w:w="2139" w:type="dxa"/>
            <w:tcBorders>
              <w:top w:val="single" w:sz="8" w:space="0" w:color="auto"/>
              <w:bottom w:val="single" w:sz="6" w:space="0" w:color="auto"/>
            </w:tcBorders>
            <w:shd w:val="pct25" w:color="auto" w:fill="auto"/>
            <w:vAlign w:val="center"/>
          </w:tcPr>
          <w:p w14:paraId="2A1FFBBE" w14:textId="4C207909" w:rsidR="003332ED" w:rsidRPr="00AD7643" w:rsidRDefault="003332ED" w:rsidP="00851841">
            <w:pPr>
              <w:jc w:val="center"/>
              <w:rPr>
                <w:rFonts w:ascii="Ping LCG Regular" w:hAnsi="Ping LCG Regular" w:cs="Arial"/>
                <w:b/>
              </w:rPr>
            </w:pPr>
            <w:r w:rsidRPr="00AD7643">
              <w:rPr>
                <w:rFonts w:ascii="Ping LCG Regular" w:hAnsi="Ping LCG Regular" w:cs="Arial"/>
                <w:b/>
              </w:rPr>
              <w:t>31.12.2019</w:t>
            </w:r>
          </w:p>
        </w:tc>
      </w:tr>
      <w:tr w:rsidR="003332ED" w:rsidRPr="00AD7643" w14:paraId="4CD5BDFA" w14:textId="77777777" w:rsidTr="00851841">
        <w:trPr>
          <w:trHeight w:val="319"/>
        </w:trPr>
        <w:tc>
          <w:tcPr>
            <w:tcW w:w="6201" w:type="dxa"/>
            <w:tcBorders>
              <w:top w:val="single" w:sz="6" w:space="0" w:color="auto"/>
            </w:tcBorders>
            <w:tcMar>
              <w:top w:w="0" w:type="dxa"/>
              <w:left w:w="108" w:type="dxa"/>
              <w:bottom w:w="0" w:type="dxa"/>
              <w:right w:w="108" w:type="dxa"/>
            </w:tcMar>
            <w:hideMark/>
          </w:tcPr>
          <w:p w14:paraId="0DD0C398" w14:textId="77777777" w:rsidR="003332ED" w:rsidRPr="00AD7643" w:rsidRDefault="003332ED" w:rsidP="003332ED">
            <w:pPr>
              <w:autoSpaceDE w:val="0"/>
              <w:autoSpaceDN w:val="0"/>
              <w:ind w:right="20"/>
              <w:jc w:val="both"/>
              <w:rPr>
                <w:rFonts w:ascii="Ping LCG Regular" w:eastAsia="Calibri" w:hAnsi="Ping LCG Regular" w:cs="Arial"/>
                <w:spacing w:val="-14"/>
              </w:rPr>
            </w:pPr>
            <w:r w:rsidRPr="00AD7643">
              <w:rPr>
                <w:rFonts w:ascii="Ping LCG Regular" w:hAnsi="Ping LCG Regular" w:cs="Arial"/>
                <w:spacing w:val="-14"/>
              </w:rPr>
              <w:t>Συνολικό Χρέος (1)</w:t>
            </w:r>
          </w:p>
        </w:tc>
        <w:tc>
          <w:tcPr>
            <w:tcW w:w="2153" w:type="dxa"/>
            <w:tcBorders>
              <w:top w:val="single" w:sz="6" w:space="0" w:color="auto"/>
            </w:tcBorders>
            <w:vAlign w:val="center"/>
          </w:tcPr>
          <w:p w14:paraId="1CEC4988" w14:textId="34371D28" w:rsidR="003332ED" w:rsidRPr="00663715" w:rsidRDefault="00767943" w:rsidP="003332ED">
            <w:pPr>
              <w:jc w:val="center"/>
              <w:rPr>
                <w:rFonts w:ascii="Ping LCG Regular" w:hAnsi="Ping LCG Regular" w:cs="Arial"/>
                <w:lang w:val="el-GR"/>
              </w:rPr>
            </w:pPr>
            <w:r w:rsidRPr="00663715">
              <w:rPr>
                <w:rFonts w:ascii="Ping LCG Regular" w:hAnsi="Ping LCG Regular" w:cs="Arial"/>
                <w:lang w:val="el-GR"/>
              </w:rPr>
              <w:t>4.153,7</w:t>
            </w:r>
          </w:p>
        </w:tc>
        <w:tc>
          <w:tcPr>
            <w:tcW w:w="2139" w:type="dxa"/>
            <w:tcBorders>
              <w:top w:val="single" w:sz="6" w:space="0" w:color="auto"/>
            </w:tcBorders>
            <w:vAlign w:val="center"/>
          </w:tcPr>
          <w:p w14:paraId="7D84058C" w14:textId="70D420B3" w:rsidR="003332ED" w:rsidRPr="00AD7643" w:rsidRDefault="003332ED" w:rsidP="003332ED">
            <w:pPr>
              <w:jc w:val="center"/>
              <w:rPr>
                <w:rFonts w:ascii="Ping LCG Regular" w:hAnsi="Ping LCG Regular" w:cs="Arial"/>
              </w:rPr>
            </w:pPr>
            <w:r w:rsidRPr="00AD7643">
              <w:rPr>
                <w:rFonts w:ascii="Ping LCG Regular" w:hAnsi="Ping LCG Regular" w:cs="Arial"/>
              </w:rPr>
              <w:t>4.040,1</w:t>
            </w:r>
          </w:p>
        </w:tc>
      </w:tr>
      <w:tr w:rsidR="003332ED" w:rsidRPr="00AD7643" w14:paraId="1F8D54C7" w14:textId="77777777" w:rsidTr="00851841">
        <w:trPr>
          <w:trHeight w:val="657"/>
        </w:trPr>
        <w:tc>
          <w:tcPr>
            <w:tcW w:w="6201" w:type="dxa"/>
            <w:tcMar>
              <w:top w:w="0" w:type="dxa"/>
              <w:left w:w="108" w:type="dxa"/>
              <w:bottom w:w="0" w:type="dxa"/>
              <w:right w:w="108" w:type="dxa"/>
            </w:tcMar>
            <w:hideMark/>
          </w:tcPr>
          <w:p w14:paraId="3EE5EBDF" w14:textId="77777777" w:rsidR="003332ED" w:rsidRPr="00A249A6" w:rsidRDefault="003332ED" w:rsidP="003332ED">
            <w:pPr>
              <w:autoSpaceDE w:val="0"/>
              <w:autoSpaceDN w:val="0"/>
              <w:ind w:right="20"/>
              <w:rPr>
                <w:rFonts w:ascii="Ping LCG Regular" w:eastAsia="Calibri" w:hAnsi="Ping LCG Regular" w:cs="Arial"/>
                <w:spacing w:val="-14"/>
                <w:lang w:val="el-GR"/>
              </w:rPr>
            </w:pPr>
            <w:r w:rsidRPr="00A249A6">
              <w:rPr>
                <w:rFonts w:ascii="Ping LCG Regular" w:hAnsi="Ping LCG Regular" w:cs="Arial"/>
                <w:spacing w:val="-14"/>
                <w:lang w:val="el-GR"/>
              </w:rPr>
              <w:t xml:space="preserve">Χρηματικά διαθέσιμα / Δεσμευμένες  Καταθέσεις </w:t>
            </w:r>
            <w:r w:rsidRPr="00A249A6">
              <w:rPr>
                <w:rFonts w:ascii="Ping LCG Regular" w:hAnsi="Ping LCG Regular" w:cs="Arial"/>
                <w:spacing w:val="-14"/>
                <w:vertAlign w:val="superscript"/>
                <w:lang w:val="el-GR"/>
              </w:rPr>
              <w:t>(*)</w:t>
            </w:r>
            <w:r w:rsidRPr="00A249A6">
              <w:rPr>
                <w:rFonts w:ascii="Ping LCG Regular" w:hAnsi="Ping LCG Regular" w:cs="Arial"/>
                <w:spacing w:val="-14"/>
                <w:lang w:val="el-GR"/>
              </w:rPr>
              <w:t xml:space="preserve"> / Λοιπά χρηματοοικονομικά περιουσιακά στοιχεία (2)</w:t>
            </w:r>
            <w:r w:rsidRPr="00A249A6" w:rsidDel="00F201E8">
              <w:rPr>
                <w:rFonts w:ascii="Ping LCG Regular" w:hAnsi="Ping LCG Regular" w:cs="Arial"/>
                <w:spacing w:val="-14"/>
                <w:lang w:val="el-GR"/>
              </w:rPr>
              <w:t xml:space="preserve"> </w:t>
            </w:r>
          </w:p>
        </w:tc>
        <w:tc>
          <w:tcPr>
            <w:tcW w:w="2153" w:type="dxa"/>
            <w:vAlign w:val="center"/>
          </w:tcPr>
          <w:p w14:paraId="1596B1DE" w14:textId="486C5E43" w:rsidR="003332ED" w:rsidRPr="00663715" w:rsidRDefault="00767943" w:rsidP="003332ED">
            <w:pPr>
              <w:jc w:val="center"/>
              <w:rPr>
                <w:rFonts w:ascii="Ping LCG Regular" w:hAnsi="Ping LCG Regular" w:cs="Arial"/>
                <w:lang w:val="el-GR"/>
              </w:rPr>
            </w:pPr>
            <w:r w:rsidRPr="00663715">
              <w:rPr>
                <w:rFonts w:ascii="Ping LCG Regular" w:hAnsi="Ping LCG Regular" w:cs="Arial"/>
                <w:lang w:val="el-GR"/>
              </w:rPr>
              <w:t>870,1</w:t>
            </w:r>
          </w:p>
        </w:tc>
        <w:tc>
          <w:tcPr>
            <w:tcW w:w="2139" w:type="dxa"/>
            <w:vAlign w:val="center"/>
          </w:tcPr>
          <w:p w14:paraId="0F287E98" w14:textId="715A8F37" w:rsidR="003332ED" w:rsidRPr="00AD7643" w:rsidRDefault="003332ED" w:rsidP="003332ED">
            <w:pPr>
              <w:jc w:val="center"/>
              <w:rPr>
                <w:rFonts w:ascii="Ping LCG Regular" w:hAnsi="Ping LCG Regular" w:cs="Arial"/>
              </w:rPr>
            </w:pPr>
            <w:r w:rsidRPr="00AD7643">
              <w:rPr>
                <w:rFonts w:ascii="Ping LCG Regular" w:hAnsi="Ping LCG Regular" w:cs="Arial"/>
              </w:rPr>
              <w:t>353,1</w:t>
            </w:r>
          </w:p>
        </w:tc>
      </w:tr>
      <w:tr w:rsidR="003332ED" w:rsidRPr="00AD7643" w14:paraId="44AD9CCB" w14:textId="77777777" w:rsidTr="00851841">
        <w:trPr>
          <w:trHeight w:val="319"/>
        </w:trPr>
        <w:tc>
          <w:tcPr>
            <w:tcW w:w="6201" w:type="dxa"/>
            <w:tcMar>
              <w:top w:w="0" w:type="dxa"/>
              <w:left w:w="108" w:type="dxa"/>
              <w:bottom w:w="0" w:type="dxa"/>
              <w:right w:w="108" w:type="dxa"/>
            </w:tcMar>
            <w:hideMark/>
          </w:tcPr>
          <w:p w14:paraId="0BFA1BAE" w14:textId="77777777" w:rsidR="003332ED" w:rsidRPr="00AD7643" w:rsidRDefault="003332ED" w:rsidP="00452A51">
            <w:pPr>
              <w:autoSpaceDE w:val="0"/>
              <w:autoSpaceDN w:val="0"/>
              <w:ind w:right="20"/>
              <w:jc w:val="both"/>
              <w:rPr>
                <w:rFonts w:ascii="Ping LCG Regular" w:eastAsia="Calibri" w:hAnsi="Ping LCG Regular" w:cs="Arial"/>
                <w:b/>
                <w:bCs/>
                <w:spacing w:val="-14"/>
              </w:rPr>
            </w:pPr>
            <w:r w:rsidRPr="00AD7643">
              <w:rPr>
                <w:rFonts w:ascii="Ping LCG Regular" w:hAnsi="Ping LCG Regular" w:cs="Arial"/>
                <w:spacing w:val="-14"/>
              </w:rPr>
              <w:t>Καθαρό Χρέος (3) = (1) - (2)</w:t>
            </w:r>
          </w:p>
        </w:tc>
        <w:tc>
          <w:tcPr>
            <w:tcW w:w="2153" w:type="dxa"/>
            <w:vAlign w:val="center"/>
          </w:tcPr>
          <w:p w14:paraId="15049D55" w14:textId="4F79E83B" w:rsidR="003332ED" w:rsidRPr="00663715" w:rsidRDefault="003332ED" w:rsidP="00452A51">
            <w:pPr>
              <w:jc w:val="center"/>
              <w:rPr>
                <w:rFonts w:ascii="Ping LCG Regular" w:hAnsi="Ping LCG Regular" w:cs="Arial"/>
              </w:rPr>
            </w:pPr>
            <w:r w:rsidRPr="00663715">
              <w:rPr>
                <w:rFonts w:ascii="Ping LCG Regular" w:hAnsi="Ping LCG Regular" w:cs="Arial"/>
              </w:rPr>
              <w:t>3.</w:t>
            </w:r>
            <w:r w:rsidRPr="00663715">
              <w:rPr>
                <w:rFonts w:ascii="Ping LCG Regular" w:hAnsi="Ping LCG Regular" w:cs="Arial"/>
                <w:lang w:val="el-GR"/>
              </w:rPr>
              <w:t>283,6</w:t>
            </w:r>
          </w:p>
        </w:tc>
        <w:tc>
          <w:tcPr>
            <w:tcW w:w="2139" w:type="dxa"/>
            <w:vAlign w:val="center"/>
          </w:tcPr>
          <w:p w14:paraId="474F34E9" w14:textId="12CEF741" w:rsidR="003332ED" w:rsidRPr="00AD7643" w:rsidRDefault="003332ED" w:rsidP="00452A51">
            <w:pPr>
              <w:jc w:val="center"/>
              <w:rPr>
                <w:rFonts w:ascii="Ping LCG Regular" w:hAnsi="Ping LCG Regular" w:cs="Arial"/>
              </w:rPr>
            </w:pPr>
            <w:r w:rsidRPr="00AD7643">
              <w:rPr>
                <w:rFonts w:ascii="Ping LCG Regular" w:hAnsi="Ping LCG Regular" w:cs="Arial"/>
              </w:rPr>
              <w:t>3.687,0</w:t>
            </w:r>
          </w:p>
        </w:tc>
      </w:tr>
    </w:tbl>
    <w:p w14:paraId="536502E5" w14:textId="43AC952F" w:rsidR="00A249A6" w:rsidRDefault="00A249A6" w:rsidP="00A249A6">
      <w:pPr>
        <w:widowControl w:val="0"/>
        <w:autoSpaceDE w:val="0"/>
        <w:autoSpaceDN w:val="0"/>
        <w:adjustRightInd w:val="0"/>
        <w:ind w:left="284" w:right="18" w:hanging="284"/>
        <w:jc w:val="both"/>
        <w:rPr>
          <w:rFonts w:ascii="Ping LCG Regular" w:hAnsi="Ping LCG Regular" w:cs="Arial"/>
          <w:i/>
          <w:spacing w:val="-14"/>
          <w:sz w:val="22"/>
          <w:vertAlign w:val="superscript"/>
        </w:rPr>
      </w:pPr>
    </w:p>
    <w:p w14:paraId="652CDB4A" w14:textId="17670DA7" w:rsidR="00A249A6" w:rsidRPr="00851841" w:rsidRDefault="00E34012" w:rsidP="00A249A6">
      <w:pPr>
        <w:widowControl w:val="0"/>
        <w:autoSpaceDE w:val="0"/>
        <w:autoSpaceDN w:val="0"/>
        <w:adjustRightInd w:val="0"/>
        <w:ind w:left="284" w:right="18" w:hanging="284"/>
        <w:jc w:val="both"/>
        <w:rPr>
          <w:rFonts w:ascii="Ping LCG Regular" w:hAnsi="Ping LCG Regular" w:cs="Arial"/>
          <w:iCs/>
          <w:color w:val="FF0000"/>
          <w:spacing w:val="-14"/>
          <w:sz w:val="22"/>
          <w:lang w:val="el-GR"/>
        </w:rPr>
      </w:pPr>
      <w:r w:rsidRPr="00851841" w:rsidDel="00E34012">
        <w:rPr>
          <w:rFonts w:ascii="Ping LCG Regular" w:hAnsi="Ping LCG Regular" w:cs="Arial"/>
          <w:iCs/>
          <w:spacing w:val="-14"/>
          <w:sz w:val="22"/>
          <w:vertAlign w:val="superscript"/>
          <w:lang w:val="el-GR"/>
        </w:rPr>
        <w:t xml:space="preserve"> </w:t>
      </w:r>
      <w:r w:rsidR="00A249A6" w:rsidRPr="00851841">
        <w:rPr>
          <w:rFonts w:ascii="Ping LCG Regular" w:hAnsi="Ping LCG Regular" w:cs="Arial"/>
          <w:iCs/>
          <w:spacing w:val="-14"/>
          <w:sz w:val="22"/>
          <w:vertAlign w:val="superscript"/>
          <w:lang w:val="el-GR"/>
        </w:rPr>
        <w:t>(*)</w:t>
      </w:r>
      <w:r w:rsidR="00A249A6" w:rsidRPr="00851841">
        <w:rPr>
          <w:rFonts w:ascii="Ping LCG Regular" w:hAnsi="Ping LCG Regular" w:cs="Arial"/>
          <w:iCs/>
          <w:spacing w:val="-14"/>
          <w:sz w:val="22"/>
          <w:lang w:val="el-GR"/>
        </w:rPr>
        <w:t xml:space="preserve"> </w:t>
      </w:r>
      <w:r w:rsidR="00A249A6" w:rsidRPr="00851841">
        <w:rPr>
          <w:rFonts w:ascii="Ping LCG Regular" w:hAnsi="Ping LCG Regular" w:cs="Arial"/>
          <w:iCs/>
          <w:spacing w:val="-14"/>
          <w:sz w:val="22"/>
          <w:lang w:val="el-GR"/>
        </w:rPr>
        <w:tab/>
        <w:t>Στον υπολογισμό του καθαρού χρέους, αφαιρούνται οι δεσμευμένες καταθέσεις που σχετίζονται με τον δανεισμό</w:t>
      </w:r>
      <w:r w:rsidR="00A249A6" w:rsidRPr="00851841">
        <w:rPr>
          <w:rFonts w:ascii="Ping LCG Regular" w:hAnsi="Ping LCG Regular" w:cs="Arial"/>
          <w:iCs/>
          <w:color w:val="FF0000"/>
          <w:spacing w:val="-14"/>
          <w:sz w:val="22"/>
          <w:lang w:val="el-GR"/>
        </w:rPr>
        <w:t>.</w:t>
      </w:r>
    </w:p>
    <w:bookmarkEnd w:id="12"/>
    <w:p w14:paraId="326D775D" w14:textId="6674A661" w:rsidR="000E01B9" w:rsidRDefault="000E01B9" w:rsidP="000E01B9">
      <w:pPr>
        <w:jc w:val="both"/>
        <w:rPr>
          <w:rFonts w:ascii="Ping LCG Regular" w:hAnsi="Ping LCG Regular" w:cs="Arial"/>
          <w:bCs/>
          <w:spacing w:val="-14"/>
          <w:lang w:val="el-GR"/>
        </w:rPr>
      </w:pPr>
    </w:p>
    <w:p w14:paraId="241FCFCD" w14:textId="77777777" w:rsidR="00767943" w:rsidRDefault="00767943" w:rsidP="000E01B9">
      <w:pPr>
        <w:jc w:val="both"/>
        <w:rPr>
          <w:rFonts w:ascii="Ping LCG Regular" w:hAnsi="Ping LCG Regular" w:cs="Arial"/>
          <w:bCs/>
          <w:spacing w:val="-14"/>
          <w:lang w:val="el-GR"/>
        </w:rPr>
      </w:pPr>
    </w:p>
    <w:p w14:paraId="59755DF4" w14:textId="77777777" w:rsidR="00121A6A" w:rsidRDefault="00121A6A">
      <w:pPr>
        <w:rPr>
          <w:rFonts w:ascii="Ping LCG Regular" w:hAnsi="Ping LCG Regular" w:cs="Arial"/>
          <w:b/>
          <w:bCs/>
          <w:color w:val="000000"/>
          <w:lang w:val="el-GR"/>
        </w:rPr>
      </w:pPr>
      <w:r>
        <w:rPr>
          <w:rFonts w:ascii="Ping LCG Regular" w:hAnsi="Ping LCG Regular" w:cs="Arial"/>
          <w:b/>
          <w:bCs/>
          <w:color w:val="000000"/>
          <w:lang w:val="el-GR"/>
        </w:rPr>
        <w:br w:type="page"/>
      </w:r>
    </w:p>
    <w:p w14:paraId="0D3E52C4" w14:textId="6607EF54" w:rsidR="0040760C" w:rsidRPr="00CD3233" w:rsidRDefault="0040760C" w:rsidP="0040760C">
      <w:pPr>
        <w:autoSpaceDE w:val="0"/>
        <w:autoSpaceDN w:val="0"/>
        <w:adjustRightInd w:val="0"/>
        <w:rPr>
          <w:rFonts w:ascii="Ping LCG Regular" w:hAnsi="Ping LCG Regular" w:cs="Arial"/>
          <w:color w:val="000000"/>
          <w:lang w:val="el-GR"/>
        </w:rPr>
      </w:pPr>
      <w:r w:rsidRPr="00CD3233">
        <w:rPr>
          <w:rFonts w:ascii="Ping LCG Regular" w:hAnsi="Ping LCG Regular" w:cs="Arial"/>
          <w:b/>
          <w:bCs/>
          <w:color w:val="000000"/>
          <w:lang w:val="el-GR"/>
        </w:rPr>
        <w:lastRenderedPageBreak/>
        <w:t xml:space="preserve">ΠΑΡΑΡΤΗΜΑ 2 </w:t>
      </w:r>
    </w:p>
    <w:p w14:paraId="2AF9F3C2" w14:textId="77777777" w:rsidR="0040760C" w:rsidRPr="00CD3233" w:rsidRDefault="0040760C" w:rsidP="0040760C">
      <w:pPr>
        <w:autoSpaceDE w:val="0"/>
        <w:autoSpaceDN w:val="0"/>
        <w:adjustRightInd w:val="0"/>
        <w:rPr>
          <w:rFonts w:ascii="Ping LCG Regular" w:hAnsi="Ping LCG Regular" w:cs="Arial"/>
          <w:color w:val="000000"/>
          <w:lang w:val="el-GR"/>
        </w:rPr>
      </w:pPr>
      <w:r w:rsidRPr="00CD3233">
        <w:rPr>
          <w:rFonts w:ascii="Ping LCG Regular" w:hAnsi="Ping LCG Regular" w:cs="Arial"/>
          <w:b/>
          <w:bCs/>
          <w:color w:val="000000"/>
          <w:lang w:val="el-GR"/>
        </w:rPr>
        <w:t xml:space="preserve">Βασικά οικονομικά μεγέθη Μητρικής ΔΕΗ Α.Ε. </w:t>
      </w:r>
    </w:p>
    <w:p w14:paraId="4478ADD1" w14:textId="03F17BD2" w:rsidR="0040760C" w:rsidRPr="00663715" w:rsidRDefault="00F400CD" w:rsidP="0040760C">
      <w:pPr>
        <w:autoSpaceDE w:val="0"/>
        <w:autoSpaceDN w:val="0"/>
        <w:adjustRightInd w:val="0"/>
        <w:rPr>
          <w:rFonts w:ascii="Ping LCG Regular" w:hAnsi="Ping LCG Regular" w:cs="Arial"/>
          <w:color w:val="000000"/>
          <w:sz w:val="23"/>
          <w:szCs w:val="23"/>
        </w:rPr>
      </w:pPr>
      <w:r>
        <w:rPr>
          <w:rFonts w:ascii="Ping LCG Regular" w:hAnsi="Ping LCG Regular" w:cs="Arial"/>
          <w:color w:val="000000"/>
          <w:sz w:val="23"/>
          <w:szCs w:val="23"/>
        </w:rPr>
        <w:pict w14:anchorId="3DE7E2B8">
          <v:shape id="_x0000_i1026" type="#_x0000_t75" style="width:514.2pt;height:359.4pt">
            <v:imagedata r:id="rId10" o:title=""/>
          </v:shape>
        </w:pict>
      </w:r>
    </w:p>
    <w:p w14:paraId="48F48D3A" w14:textId="77777777" w:rsidR="0040760C" w:rsidRPr="00663715" w:rsidRDefault="0040760C" w:rsidP="0040760C">
      <w:pPr>
        <w:autoSpaceDE w:val="0"/>
        <w:autoSpaceDN w:val="0"/>
        <w:adjustRightInd w:val="0"/>
        <w:rPr>
          <w:rFonts w:ascii="Ping LCG Regular" w:hAnsi="Ping LCG Regular" w:cs="Arial"/>
        </w:rPr>
      </w:pPr>
    </w:p>
    <w:p w14:paraId="64B0F973" w14:textId="77777777" w:rsidR="0040760C" w:rsidRPr="00CD3233" w:rsidRDefault="0040760C" w:rsidP="0040760C">
      <w:pPr>
        <w:pageBreakBefore/>
        <w:autoSpaceDE w:val="0"/>
        <w:autoSpaceDN w:val="0"/>
        <w:adjustRightInd w:val="0"/>
        <w:rPr>
          <w:rFonts w:ascii="Ping LCG Regular" w:hAnsi="Ping LCG Regular" w:cs="Arial"/>
          <w:lang w:val="el-GR"/>
        </w:rPr>
      </w:pPr>
      <w:r w:rsidRPr="00CD3233">
        <w:rPr>
          <w:rFonts w:ascii="Ping LCG Regular" w:hAnsi="Ping LCG Regular" w:cs="Arial"/>
          <w:b/>
          <w:bCs/>
          <w:lang w:val="el-GR"/>
        </w:rPr>
        <w:lastRenderedPageBreak/>
        <w:t xml:space="preserve">ΠΑΡΑΡΤΗΜΑ 3 </w:t>
      </w:r>
    </w:p>
    <w:p w14:paraId="745E9866" w14:textId="77777777" w:rsidR="0040760C" w:rsidRPr="00CD3233" w:rsidRDefault="0040760C" w:rsidP="0040760C">
      <w:pPr>
        <w:autoSpaceDE w:val="0"/>
        <w:autoSpaceDN w:val="0"/>
        <w:adjustRightInd w:val="0"/>
        <w:rPr>
          <w:rFonts w:ascii="Ping LCG Regular" w:hAnsi="Ping LCG Regular" w:cs="Arial"/>
          <w:lang w:val="el-GR"/>
        </w:rPr>
      </w:pPr>
      <w:r w:rsidRPr="00CD3233">
        <w:rPr>
          <w:rFonts w:ascii="Ping LCG Regular" w:hAnsi="Ping LCG Regular" w:cs="Arial"/>
          <w:b/>
          <w:bCs/>
          <w:lang w:val="el-GR"/>
        </w:rPr>
        <w:t xml:space="preserve">Βασικά οικονομικά μεγέθη ΔΕΔΔΗΕ Α.Ε. </w:t>
      </w:r>
    </w:p>
    <w:p w14:paraId="6C098946" w14:textId="77777777" w:rsidR="0040760C" w:rsidRPr="00CD3233" w:rsidRDefault="0040760C" w:rsidP="0040760C">
      <w:pPr>
        <w:autoSpaceDE w:val="0"/>
        <w:autoSpaceDN w:val="0"/>
        <w:adjustRightInd w:val="0"/>
        <w:rPr>
          <w:rFonts w:ascii="Ping LCG Regular" w:hAnsi="Ping LCG Regular" w:cs="Arial"/>
          <w:lang w:val="el-GR"/>
        </w:rPr>
      </w:pPr>
      <w:r w:rsidRPr="00CD3233">
        <w:rPr>
          <w:rFonts w:ascii="Ping LCG Regular" w:hAnsi="Ping LCG Regular" w:cs="Arial"/>
          <w:b/>
          <w:bCs/>
          <w:lang w:val="el-GR"/>
        </w:rPr>
        <w:t xml:space="preserve">(Διαχειριστής του Ελληνικού Δικτύου Διανομής Ηλεκτρικής Ενέργειας) </w:t>
      </w:r>
    </w:p>
    <w:p w14:paraId="7F6AC5CF" w14:textId="048CF503" w:rsidR="0040760C" w:rsidRPr="00663715" w:rsidRDefault="00F400CD" w:rsidP="0040760C">
      <w:pPr>
        <w:autoSpaceDE w:val="0"/>
        <w:autoSpaceDN w:val="0"/>
        <w:adjustRightInd w:val="0"/>
        <w:rPr>
          <w:rFonts w:ascii="Ping LCG Regular" w:hAnsi="Ping LCG Regular" w:cs="Arial"/>
          <w:sz w:val="23"/>
          <w:szCs w:val="23"/>
          <w:lang w:val="el-GR"/>
        </w:rPr>
      </w:pPr>
      <w:r>
        <w:rPr>
          <w:rFonts w:ascii="Ping LCG Regular" w:hAnsi="Ping LCG Regular" w:cs="Arial"/>
          <w:sz w:val="23"/>
          <w:szCs w:val="23"/>
          <w:lang w:val="el-GR"/>
        </w:rPr>
        <w:pict w14:anchorId="70659834">
          <v:shape id="_x0000_i1027" type="#_x0000_t75" style="width:517.2pt;height:361.2pt">
            <v:imagedata r:id="rId11" o:title=""/>
          </v:shape>
        </w:pict>
      </w:r>
    </w:p>
    <w:p w14:paraId="17ED4A38" w14:textId="77777777" w:rsidR="0040760C" w:rsidRPr="00663715" w:rsidRDefault="0040760C" w:rsidP="0040760C">
      <w:pPr>
        <w:autoSpaceDE w:val="0"/>
        <w:autoSpaceDN w:val="0"/>
        <w:adjustRightInd w:val="0"/>
        <w:rPr>
          <w:rFonts w:ascii="Ping LCG Regular" w:hAnsi="Ping LCG Regular" w:cs="Arial"/>
          <w:lang w:val="el-GR"/>
        </w:rPr>
      </w:pPr>
    </w:p>
    <w:p w14:paraId="3E338B3D" w14:textId="77777777" w:rsidR="0040760C" w:rsidRPr="00CD3233" w:rsidRDefault="0040760C" w:rsidP="0040760C">
      <w:pPr>
        <w:pageBreakBefore/>
        <w:autoSpaceDE w:val="0"/>
        <w:autoSpaceDN w:val="0"/>
        <w:adjustRightInd w:val="0"/>
        <w:rPr>
          <w:rFonts w:ascii="Ping LCG Regular" w:hAnsi="Ping LCG Regular" w:cs="Arial"/>
          <w:lang w:val="el-GR"/>
        </w:rPr>
      </w:pPr>
      <w:r w:rsidRPr="00CD3233">
        <w:rPr>
          <w:rFonts w:ascii="Ping LCG Regular" w:hAnsi="Ping LCG Regular" w:cs="Arial"/>
          <w:b/>
          <w:bCs/>
          <w:lang w:val="el-GR"/>
        </w:rPr>
        <w:lastRenderedPageBreak/>
        <w:t xml:space="preserve">ΠΑΡΑΡΤΗΜΑ 4 </w:t>
      </w:r>
    </w:p>
    <w:p w14:paraId="5A717282" w14:textId="77777777" w:rsidR="0040760C" w:rsidRPr="00CD3233" w:rsidRDefault="0040760C" w:rsidP="0040760C">
      <w:pPr>
        <w:autoSpaceDE w:val="0"/>
        <w:autoSpaceDN w:val="0"/>
        <w:adjustRightInd w:val="0"/>
        <w:rPr>
          <w:rFonts w:ascii="Ping LCG Regular" w:hAnsi="Ping LCG Regular" w:cs="Arial"/>
          <w:lang w:val="el-GR"/>
        </w:rPr>
      </w:pPr>
      <w:r w:rsidRPr="00CD3233">
        <w:rPr>
          <w:rFonts w:ascii="Ping LCG Regular" w:hAnsi="Ping LCG Regular" w:cs="Arial"/>
          <w:b/>
          <w:bCs/>
          <w:lang w:val="el-GR"/>
        </w:rPr>
        <w:t xml:space="preserve">Βασικά οικονομικά μεγέθη ΔΕΗ ΑΝΑΝΕΩΣΙΜΕΣ Α.Ε. </w:t>
      </w:r>
    </w:p>
    <w:p w14:paraId="16B6C92F" w14:textId="2FC9D3D1" w:rsidR="0040760C" w:rsidRPr="00663715" w:rsidRDefault="00F400CD" w:rsidP="0040760C">
      <w:pPr>
        <w:autoSpaceDE w:val="0"/>
        <w:autoSpaceDN w:val="0"/>
        <w:adjustRightInd w:val="0"/>
        <w:rPr>
          <w:rFonts w:ascii="Ping LCG Regular" w:hAnsi="Ping LCG Regular" w:cs="Arial"/>
          <w:sz w:val="23"/>
          <w:szCs w:val="23"/>
          <w:lang w:val="el-GR"/>
        </w:rPr>
      </w:pPr>
      <w:r>
        <w:rPr>
          <w:rFonts w:ascii="Ping LCG Regular" w:hAnsi="Ping LCG Regular" w:cs="Arial"/>
          <w:sz w:val="23"/>
          <w:szCs w:val="23"/>
          <w:lang w:val="el-GR"/>
        </w:rPr>
        <w:pict w14:anchorId="2784E173">
          <v:shape id="_x0000_i1028" type="#_x0000_t75" style="width:516.6pt;height:344.4pt">
            <v:imagedata r:id="rId12" o:title=""/>
          </v:shape>
        </w:pict>
      </w:r>
    </w:p>
    <w:p w14:paraId="5C477957" w14:textId="77777777" w:rsidR="0040760C" w:rsidRPr="00663715" w:rsidRDefault="0040760C" w:rsidP="0040760C">
      <w:pPr>
        <w:autoSpaceDE w:val="0"/>
        <w:autoSpaceDN w:val="0"/>
        <w:adjustRightInd w:val="0"/>
        <w:rPr>
          <w:rFonts w:ascii="Ping LCG Regular" w:hAnsi="Ping LCG Regular" w:cs="Arial"/>
          <w:lang w:val="el-GR"/>
        </w:rPr>
      </w:pPr>
    </w:p>
    <w:p w14:paraId="7D50D036" w14:textId="77777777" w:rsidR="0040760C" w:rsidRPr="00CD3233" w:rsidRDefault="0040760C" w:rsidP="0040760C">
      <w:pPr>
        <w:pageBreakBefore/>
        <w:autoSpaceDE w:val="0"/>
        <w:autoSpaceDN w:val="0"/>
        <w:adjustRightInd w:val="0"/>
        <w:rPr>
          <w:rFonts w:ascii="Ping LCG Regular" w:hAnsi="Ping LCG Regular" w:cs="Arial"/>
          <w:lang w:val="el-GR"/>
        </w:rPr>
      </w:pPr>
      <w:r w:rsidRPr="00CD3233">
        <w:rPr>
          <w:rFonts w:ascii="Ping LCG Regular" w:hAnsi="Ping LCG Regular" w:cs="Arial"/>
          <w:b/>
          <w:bCs/>
          <w:lang w:val="el-GR"/>
        </w:rPr>
        <w:lastRenderedPageBreak/>
        <w:t xml:space="preserve">ΠΑΡΑΡΤΗΜΑ 5 </w:t>
      </w:r>
    </w:p>
    <w:p w14:paraId="2050940A" w14:textId="77777777" w:rsidR="0040760C" w:rsidRPr="00CD3233" w:rsidRDefault="0040760C" w:rsidP="0040760C">
      <w:pPr>
        <w:autoSpaceDE w:val="0"/>
        <w:autoSpaceDN w:val="0"/>
        <w:adjustRightInd w:val="0"/>
        <w:rPr>
          <w:rFonts w:ascii="Ping LCG Regular" w:hAnsi="Ping LCG Regular" w:cs="Arial"/>
          <w:lang w:val="el-GR"/>
        </w:rPr>
      </w:pPr>
      <w:r w:rsidRPr="00CD3233">
        <w:rPr>
          <w:rFonts w:ascii="Ping LCG Regular" w:hAnsi="Ping LCG Regular" w:cs="Arial"/>
          <w:b/>
          <w:bCs/>
          <w:lang w:val="el-GR"/>
        </w:rPr>
        <w:t xml:space="preserve">Βασικά οικονομικά μεγέθη ΛΙΓΝΙΤΙΚΗ ΜΕΛΙΤΗΣ Α.Ε. </w:t>
      </w:r>
    </w:p>
    <w:p w14:paraId="18BF42FB" w14:textId="0B39C67F" w:rsidR="0040760C" w:rsidRPr="00663715" w:rsidRDefault="00F400CD" w:rsidP="0040760C">
      <w:pPr>
        <w:rPr>
          <w:rFonts w:ascii="Ping LCG Regular" w:hAnsi="Ping LCG Regular" w:cs="Arial"/>
          <w:sz w:val="23"/>
          <w:szCs w:val="23"/>
          <w:lang w:val="el-GR"/>
        </w:rPr>
      </w:pPr>
      <w:r>
        <w:rPr>
          <w:rFonts w:ascii="Ping LCG Regular" w:hAnsi="Ping LCG Regular" w:cs="Arial"/>
          <w:sz w:val="23"/>
          <w:szCs w:val="23"/>
          <w:lang w:val="el-GR"/>
        </w:rPr>
        <w:pict w14:anchorId="757100D4">
          <v:shape id="_x0000_i1029" type="#_x0000_t75" style="width:513.6pt;height:373.8pt">
            <v:imagedata r:id="rId13" o:title=""/>
          </v:shape>
        </w:pict>
      </w:r>
    </w:p>
    <w:p w14:paraId="53B38CC1" w14:textId="77777777" w:rsidR="0040760C" w:rsidRPr="00663715" w:rsidRDefault="0040760C">
      <w:pPr>
        <w:rPr>
          <w:rFonts w:ascii="Ping LCG Regular" w:hAnsi="Ping LCG Regular" w:cs="Arial"/>
          <w:sz w:val="23"/>
          <w:szCs w:val="23"/>
          <w:lang w:val="el-GR"/>
        </w:rPr>
      </w:pPr>
      <w:r w:rsidRPr="00663715">
        <w:rPr>
          <w:rFonts w:ascii="Ping LCG Regular" w:hAnsi="Ping LCG Regular" w:cs="Arial"/>
          <w:sz w:val="23"/>
          <w:szCs w:val="23"/>
          <w:lang w:val="el-GR"/>
        </w:rPr>
        <w:br w:type="page"/>
      </w:r>
    </w:p>
    <w:p w14:paraId="46EC1137" w14:textId="77777777" w:rsidR="0040760C" w:rsidRPr="00CD3233" w:rsidRDefault="0040760C" w:rsidP="0040760C">
      <w:pPr>
        <w:autoSpaceDE w:val="0"/>
        <w:autoSpaceDN w:val="0"/>
        <w:adjustRightInd w:val="0"/>
        <w:rPr>
          <w:rFonts w:ascii="Ping LCG Regular" w:hAnsi="Ping LCG Regular" w:cs="Arial"/>
          <w:color w:val="000000"/>
          <w:lang w:val="el-GR"/>
        </w:rPr>
      </w:pPr>
      <w:r w:rsidRPr="00CD3233">
        <w:rPr>
          <w:rFonts w:ascii="Ping LCG Regular" w:hAnsi="Ping LCG Regular" w:cs="Arial"/>
          <w:b/>
          <w:bCs/>
          <w:color w:val="000000"/>
          <w:lang w:val="el-GR"/>
        </w:rPr>
        <w:lastRenderedPageBreak/>
        <w:t xml:space="preserve">ΠΑΡΑΡΤΗΜΑ 6 </w:t>
      </w:r>
    </w:p>
    <w:p w14:paraId="41A82DA4" w14:textId="77777777" w:rsidR="0040760C" w:rsidRPr="00CD3233" w:rsidRDefault="0040760C" w:rsidP="0040760C">
      <w:pPr>
        <w:rPr>
          <w:rFonts w:ascii="Ping LCG Regular" w:hAnsi="Ping LCG Regular" w:cs="Arial"/>
          <w:b/>
          <w:bCs/>
          <w:color w:val="000000"/>
          <w:lang w:val="el-GR"/>
        </w:rPr>
      </w:pPr>
      <w:r w:rsidRPr="00CD3233">
        <w:rPr>
          <w:rFonts w:ascii="Ping LCG Regular" w:hAnsi="Ping LCG Regular" w:cs="Arial"/>
          <w:b/>
          <w:bCs/>
          <w:color w:val="000000"/>
          <w:lang w:val="el-GR"/>
        </w:rPr>
        <w:t xml:space="preserve">Βασικά οικονομικά μεγέθη ΛΙΓΝΙΤΙΚΗ ΜΕΓΑΛΟΠΟΛΗΣ Α.Ε. </w:t>
      </w:r>
    </w:p>
    <w:p w14:paraId="52DDB7F5" w14:textId="36BF850C" w:rsidR="0040760C" w:rsidRPr="0040760C" w:rsidRDefault="00F400CD" w:rsidP="0040760C">
      <w:pPr>
        <w:rPr>
          <w:rFonts w:ascii="Ping LCG Regular" w:hAnsi="Ping LCG Regular" w:cs="Arial"/>
          <w:bCs/>
          <w:spacing w:val="-14"/>
          <w:lang w:val="el-GR"/>
        </w:rPr>
      </w:pPr>
      <w:r>
        <w:rPr>
          <w:rFonts w:ascii="Ping LCG Regular" w:hAnsi="Ping LCG Regular" w:cs="Arial"/>
          <w:bCs/>
          <w:spacing w:val="-14"/>
          <w:lang w:val="el-GR"/>
        </w:rPr>
        <w:pict w14:anchorId="20B0B940">
          <v:shape id="_x0000_i1030" type="#_x0000_t75" style="width:517.2pt;height:387.6pt">
            <v:imagedata r:id="rId14" o:title=""/>
          </v:shape>
        </w:pict>
      </w:r>
      <w:r w:rsidR="0040760C" w:rsidRPr="0040760C">
        <w:rPr>
          <w:rFonts w:ascii="Ping LCG Regular" w:hAnsi="Ping LCG Regular" w:cs="Arial"/>
          <w:bCs/>
          <w:spacing w:val="-14"/>
          <w:lang w:val="el-GR"/>
        </w:rPr>
        <w:br w:type="page"/>
      </w:r>
    </w:p>
    <w:p w14:paraId="21FD40CA" w14:textId="36FF9224" w:rsidR="0040760C" w:rsidRPr="00CD3233" w:rsidRDefault="00B20086" w:rsidP="00663715">
      <w:pPr>
        <w:autoSpaceDE w:val="0"/>
        <w:autoSpaceDN w:val="0"/>
        <w:adjustRightInd w:val="0"/>
        <w:rPr>
          <w:rFonts w:ascii="Ping LCG Regular" w:hAnsi="Ping LCG Regular" w:cs="Arial"/>
          <w:b/>
          <w:bCs/>
          <w:color w:val="000000"/>
          <w:lang w:val="el-GR"/>
        </w:rPr>
      </w:pPr>
      <w:r w:rsidRPr="00CD3233">
        <w:rPr>
          <w:rFonts w:ascii="Ping LCG Regular" w:hAnsi="Ping LCG Regular" w:cs="Arial"/>
          <w:b/>
          <w:bCs/>
          <w:color w:val="000000"/>
          <w:lang w:val="el-GR"/>
        </w:rPr>
        <w:lastRenderedPageBreak/>
        <w:t xml:space="preserve">ΠΑΡΑΡΤΗΜΑ </w:t>
      </w:r>
      <w:r w:rsidR="0040760C" w:rsidRPr="00CD3233">
        <w:rPr>
          <w:rFonts w:ascii="Ping LCG Regular" w:hAnsi="Ping LCG Regular" w:cs="Arial"/>
          <w:b/>
          <w:bCs/>
          <w:color w:val="000000"/>
          <w:lang w:val="el-GR"/>
        </w:rPr>
        <w:t>7</w:t>
      </w:r>
      <w:r w:rsidRPr="00CD3233">
        <w:rPr>
          <w:rFonts w:ascii="Ping LCG Regular" w:hAnsi="Ping LCG Regular" w:cs="Arial"/>
          <w:b/>
          <w:bCs/>
          <w:color w:val="000000"/>
          <w:lang w:val="el-GR"/>
        </w:rPr>
        <w:t xml:space="preserve"> </w:t>
      </w:r>
    </w:p>
    <w:p w14:paraId="7F5DE3D0" w14:textId="4E15CAE0" w:rsidR="00A249A6" w:rsidRPr="00CD3233" w:rsidRDefault="00A249A6" w:rsidP="00663715">
      <w:pPr>
        <w:rPr>
          <w:rFonts w:ascii="Ping LCG Regular" w:hAnsi="Ping LCG Regular" w:cs="Arial"/>
          <w:b/>
          <w:bCs/>
          <w:color w:val="000000"/>
          <w:lang w:val="el-GR"/>
        </w:rPr>
      </w:pPr>
      <w:r w:rsidRPr="00CD3233">
        <w:rPr>
          <w:rFonts w:ascii="Ping LCG Regular" w:hAnsi="Ping LCG Regular" w:cs="Arial"/>
          <w:b/>
          <w:bCs/>
          <w:color w:val="000000"/>
          <w:lang w:val="el-GR"/>
        </w:rPr>
        <w:t>Αναλυτικά Οικονομικά Αποτελέσματα Ομίλου</w:t>
      </w:r>
    </w:p>
    <w:p w14:paraId="51D4D014" w14:textId="5277D731" w:rsidR="00157B4C" w:rsidRDefault="00F400CD" w:rsidP="00851841">
      <w:pPr>
        <w:spacing w:line="276" w:lineRule="auto"/>
        <w:rPr>
          <w:rFonts w:ascii="Ping LCG Regular" w:hAnsi="Ping LCG Regular" w:cs="Arial"/>
          <w:b/>
          <w:spacing w:val="-14"/>
          <w:lang w:val="el-GR"/>
        </w:rPr>
      </w:pPr>
      <w:r>
        <w:rPr>
          <w:rFonts w:ascii="Ping LCG Regular" w:hAnsi="Ping LCG Regular" w:cs="Arial"/>
          <w:b/>
          <w:bCs/>
          <w:color w:val="000000"/>
          <w:sz w:val="23"/>
          <w:szCs w:val="23"/>
          <w:lang w:val="el-GR"/>
        </w:rPr>
        <w:pict w14:anchorId="148BCE59">
          <v:shape id="_x0000_i1031" type="#_x0000_t75" style="width:484.2pt;height:643.8pt">
            <v:imagedata r:id="rId15" o:title=""/>
          </v:shape>
        </w:pict>
      </w:r>
    </w:p>
    <w:p w14:paraId="0ACDC1E4" w14:textId="173DFA5C" w:rsidR="00374F9B" w:rsidRDefault="00F400CD">
      <w:pPr>
        <w:rPr>
          <w:rFonts w:ascii="Ping LCG Regular" w:hAnsi="Ping LCG Regular" w:cs="Arial"/>
          <w:b/>
          <w:spacing w:val="-14"/>
          <w:lang w:val="el-GR"/>
        </w:rPr>
      </w:pPr>
      <w:r>
        <w:rPr>
          <w:rFonts w:ascii="Ping LCG Regular" w:hAnsi="Ping LCG Regular" w:cs="Arial"/>
          <w:b/>
          <w:spacing w:val="-14"/>
          <w:lang w:val="el-GR"/>
        </w:rPr>
        <w:lastRenderedPageBreak/>
        <w:pict w14:anchorId="4CC75CBF">
          <v:shape id="_x0000_i1032" type="#_x0000_t75" style="width:483.6pt;height:455.4pt">
            <v:imagedata r:id="rId16" o:title=""/>
          </v:shape>
        </w:pict>
      </w:r>
    </w:p>
    <w:p w14:paraId="6E3241D4" w14:textId="77777777" w:rsidR="00E959C4" w:rsidRPr="00851841" w:rsidRDefault="00E959C4" w:rsidP="00851841">
      <w:pPr>
        <w:ind w:right="962"/>
        <w:rPr>
          <w:rFonts w:ascii="Ping LCG Regular" w:hAnsi="Ping LCG Regular" w:cs="Arial"/>
          <w:iCs/>
          <w:spacing w:val="-14"/>
          <w:sz w:val="16"/>
          <w:lang w:val="el-GR"/>
        </w:rPr>
      </w:pPr>
      <w:r w:rsidRPr="00851841">
        <w:rPr>
          <w:rFonts w:ascii="Ping LCG Regular" w:hAnsi="Ping LCG Regular" w:cs="Arial"/>
          <w:iCs/>
          <w:spacing w:val="-14"/>
          <w:sz w:val="16"/>
          <w:lang w:val="el-GR"/>
        </w:rPr>
        <w:t xml:space="preserve">Για περισσότερες πληροφορίες σχετικά με τους ορισμούς δεικτών που περιλαμβάνονται στα παραπάνω μεγέθη, μπορείτε να ανατρέξετε στην Ετήσια Οικονομική Έκθεση 2020 (Παράρτημα: Ορισμοί και συμφωνία των Εναλλακτικών Δεικτών Μέτρησης Απόδοσης - “ΕΔΜΑ”). </w:t>
      </w:r>
    </w:p>
    <w:p w14:paraId="503F7490" w14:textId="77777777" w:rsidR="00980A05" w:rsidRDefault="00980A05">
      <w:pPr>
        <w:rPr>
          <w:rFonts w:ascii="Ping LCG Regular" w:hAnsi="Ping LCG Regular" w:cs="Arial"/>
          <w:spacing w:val="-14"/>
          <w:lang w:val="el-GR"/>
        </w:rPr>
      </w:pPr>
      <w:r>
        <w:rPr>
          <w:rFonts w:ascii="Ping LCG Regular" w:hAnsi="Ping LCG Regular" w:cs="Arial"/>
          <w:spacing w:val="-14"/>
          <w:lang w:val="el-GR"/>
        </w:rPr>
        <w:br w:type="page"/>
      </w:r>
    </w:p>
    <w:p w14:paraId="2BE0D110" w14:textId="282FE3B6" w:rsidR="00072120" w:rsidRPr="00144F71" w:rsidRDefault="00072120" w:rsidP="00072120">
      <w:pPr>
        <w:spacing w:after="200" w:line="276" w:lineRule="auto"/>
        <w:rPr>
          <w:rFonts w:ascii="Ping LCG Regular" w:hAnsi="Ping LCG Regular" w:cs="Arial"/>
          <w:spacing w:val="-14"/>
          <w:highlight w:val="yellow"/>
          <w:lang w:val="el-GR"/>
        </w:rPr>
      </w:pPr>
      <w:r w:rsidRPr="00A249A6">
        <w:rPr>
          <w:rFonts w:ascii="Ping LCG Regular" w:hAnsi="Ping LCG Regular" w:cs="Arial"/>
          <w:spacing w:val="-14"/>
          <w:lang w:val="el-GR"/>
        </w:rPr>
        <w:lastRenderedPageBreak/>
        <w:t>Για περισσότερες πληροφορίες παρακαλούμε απευθυνθείτε στ</w:t>
      </w:r>
      <w:r w:rsidR="00B20086">
        <w:rPr>
          <w:rFonts w:ascii="Ping LCG Regular" w:hAnsi="Ping LCG Regular" w:cs="Arial"/>
          <w:spacing w:val="-14"/>
          <w:lang w:val="el-GR"/>
        </w:rPr>
        <w:t>η</w:t>
      </w:r>
      <w:r>
        <w:rPr>
          <w:rFonts w:ascii="Ping LCG Regular" w:hAnsi="Ping LCG Regular" w:cs="Arial"/>
          <w:spacing w:val="-14"/>
          <w:lang w:val="el-GR"/>
        </w:rPr>
        <w:t xml:space="preserve"> </w:t>
      </w:r>
      <w:r w:rsidR="00B20086">
        <w:rPr>
          <w:rFonts w:ascii="Ping LCG Regular" w:hAnsi="Ping LCG Regular" w:cs="Arial"/>
          <w:spacing w:val="-14"/>
          <w:lang w:val="el-GR"/>
        </w:rPr>
        <w:t>Διεύθυνση</w:t>
      </w:r>
      <w:r>
        <w:rPr>
          <w:rFonts w:ascii="Ping LCG Regular" w:hAnsi="Ping LCG Regular" w:cs="Arial"/>
          <w:spacing w:val="-14"/>
          <w:lang w:val="el-GR"/>
        </w:rPr>
        <w:t xml:space="preserve"> Επενδυτικών Σχέσεων</w:t>
      </w:r>
      <w:r w:rsidR="00B20086">
        <w:rPr>
          <w:rFonts w:ascii="Ping LCG Regular" w:hAnsi="Ping LCG Regular" w:cs="Arial"/>
          <w:spacing w:val="-14"/>
          <w:lang w:val="el-GR"/>
        </w:rPr>
        <w:t xml:space="preserve"> (</w:t>
      </w:r>
      <w:r w:rsidR="00B20086">
        <w:rPr>
          <w:rFonts w:ascii="Ping LCG Regular" w:hAnsi="Ping LCG Regular" w:cs="Arial"/>
          <w:spacing w:val="-14"/>
        </w:rPr>
        <w:t>ir</w:t>
      </w:r>
      <w:r w:rsidR="00B20086" w:rsidRPr="00001E5E">
        <w:rPr>
          <w:rFonts w:ascii="Ping LCG Regular" w:hAnsi="Ping LCG Regular" w:cs="Arial"/>
          <w:spacing w:val="-14"/>
          <w:lang w:val="el-GR"/>
        </w:rPr>
        <w:t>@</w:t>
      </w:r>
      <w:r w:rsidR="00B20086">
        <w:rPr>
          <w:rFonts w:ascii="Ping LCG Regular" w:hAnsi="Ping LCG Regular" w:cs="Arial"/>
          <w:spacing w:val="-14"/>
        </w:rPr>
        <w:t>dei</w:t>
      </w:r>
      <w:r w:rsidR="00B20086" w:rsidRPr="00001E5E">
        <w:rPr>
          <w:rFonts w:ascii="Ping LCG Regular" w:hAnsi="Ping LCG Regular" w:cs="Arial"/>
          <w:spacing w:val="-14"/>
          <w:lang w:val="el-GR"/>
        </w:rPr>
        <w:t>.</w:t>
      </w:r>
      <w:r w:rsidR="00B20086">
        <w:rPr>
          <w:rFonts w:ascii="Ping LCG Regular" w:hAnsi="Ping LCG Regular" w:cs="Arial"/>
          <w:spacing w:val="-14"/>
        </w:rPr>
        <w:t>com</w:t>
      </w:r>
      <w:r w:rsidR="00B20086" w:rsidRPr="00001E5E">
        <w:rPr>
          <w:rFonts w:ascii="Ping LCG Regular" w:hAnsi="Ping LCG Regular" w:cs="Arial"/>
          <w:spacing w:val="-14"/>
          <w:lang w:val="el-GR"/>
        </w:rPr>
        <w:t>.</w:t>
      </w:r>
      <w:r w:rsidR="00B20086">
        <w:rPr>
          <w:rFonts w:ascii="Ping LCG Regular" w:hAnsi="Ping LCG Regular" w:cs="Arial"/>
          <w:spacing w:val="-14"/>
        </w:rPr>
        <w:t>gr</w:t>
      </w:r>
      <w:r w:rsidR="00B20086" w:rsidRPr="00001E5E">
        <w:rPr>
          <w:rFonts w:ascii="Ping LCG Regular" w:hAnsi="Ping LCG Regular" w:cs="Arial"/>
          <w:spacing w:val="-14"/>
          <w:lang w:val="el-GR"/>
        </w:rPr>
        <w:t>)</w:t>
      </w:r>
      <w:r w:rsidRPr="00A249A6">
        <w:rPr>
          <w:rFonts w:ascii="Ping LCG Regular" w:hAnsi="Ping LCG Regular" w:cs="Arial"/>
          <w:spacing w:val="-14"/>
          <w:lang w:val="el-GR"/>
        </w:rPr>
        <w:t>:</w:t>
      </w:r>
    </w:p>
    <w:p w14:paraId="6AC12A7A" w14:textId="77777777" w:rsidR="00072120" w:rsidRPr="00AD7643" w:rsidRDefault="00072120" w:rsidP="00072120">
      <w:pPr>
        <w:pStyle w:val="af1"/>
        <w:numPr>
          <w:ilvl w:val="0"/>
          <w:numId w:val="2"/>
        </w:numPr>
        <w:autoSpaceDE w:val="0"/>
        <w:autoSpaceDN w:val="0"/>
        <w:adjustRightInd w:val="0"/>
        <w:jc w:val="both"/>
        <w:rPr>
          <w:rFonts w:ascii="Ping LCG Regular" w:hAnsi="Ping LCG Regular" w:cs="Arial"/>
          <w:bCs/>
          <w:i/>
          <w:spacing w:val="-14"/>
        </w:rPr>
      </w:pPr>
      <w:r w:rsidRPr="00AD7643">
        <w:rPr>
          <w:rFonts w:ascii="Ping LCG Regular" w:hAnsi="Ping LCG Regular" w:cs="Arial"/>
          <w:spacing w:val="-14"/>
        </w:rPr>
        <w:t xml:space="preserve">κ. Ιωάννη Στέφο, Διευθυντή Επενδυτικών Σχέσεων, </w:t>
      </w:r>
    </w:p>
    <w:p w14:paraId="0F877818" w14:textId="1E10F94A" w:rsidR="00072120" w:rsidRPr="00AD7643" w:rsidRDefault="00072120" w:rsidP="00072120">
      <w:pPr>
        <w:pStyle w:val="af1"/>
        <w:autoSpaceDE w:val="0"/>
        <w:autoSpaceDN w:val="0"/>
        <w:adjustRightInd w:val="0"/>
        <w:ind w:left="540"/>
        <w:jc w:val="both"/>
        <w:rPr>
          <w:rFonts w:ascii="Ping LCG Regular" w:hAnsi="Ping LCG Regular" w:cs="Arial"/>
          <w:bCs/>
          <w:i/>
          <w:spacing w:val="-14"/>
        </w:rPr>
      </w:pPr>
      <w:r w:rsidRPr="00AD7643">
        <w:rPr>
          <w:rFonts w:ascii="Ping LCG Regular" w:hAnsi="Ping LCG Regular" w:cs="Arial"/>
          <w:spacing w:val="-14"/>
        </w:rPr>
        <w:t>τηλ</w:t>
      </w:r>
      <w:r w:rsidRPr="00AD7643">
        <w:rPr>
          <w:rFonts w:ascii="Ping LCG Regular" w:hAnsi="Ping LCG Regular" w:cs="Arial"/>
          <w:spacing w:val="-14"/>
          <w:lang w:val="en-US"/>
        </w:rPr>
        <w:t xml:space="preserve">. 210 5292153, e-mail: </w:t>
      </w:r>
      <w:r w:rsidR="00E110C8">
        <w:rPr>
          <w:rFonts w:ascii="Ping LCG Regular" w:hAnsi="Ping LCG Regular" w:cs="Arial"/>
          <w:spacing w:val="-14"/>
          <w:lang w:val="en-US"/>
        </w:rPr>
        <w:t>i.s</w:t>
      </w:r>
      <w:r w:rsidRPr="00AD7643">
        <w:rPr>
          <w:rFonts w:ascii="Ping LCG Regular" w:hAnsi="Ping LCG Regular" w:cs="Arial"/>
          <w:spacing w:val="-14"/>
          <w:lang w:val="en-US"/>
        </w:rPr>
        <w:t xml:space="preserve">tefos@dei.com.gr, </w:t>
      </w:r>
      <w:r w:rsidR="00A74A20">
        <w:rPr>
          <w:rFonts w:ascii="Ping LCG Regular" w:hAnsi="Ping LCG Regular" w:cs="Arial"/>
          <w:spacing w:val="-14"/>
        </w:rPr>
        <w:t xml:space="preserve"> </w:t>
      </w:r>
      <w:r w:rsidRPr="00AD7643">
        <w:rPr>
          <w:rFonts w:ascii="Ping LCG Regular" w:hAnsi="Ping LCG Regular" w:cs="Arial"/>
          <w:spacing w:val="-14"/>
        </w:rPr>
        <w:t>και</w:t>
      </w:r>
    </w:p>
    <w:p w14:paraId="5B16E82A" w14:textId="77777777" w:rsidR="00072120" w:rsidRPr="00AD7643" w:rsidRDefault="00072120" w:rsidP="00072120">
      <w:pPr>
        <w:pStyle w:val="af1"/>
        <w:numPr>
          <w:ilvl w:val="0"/>
          <w:numId w:val="2"/>
        </w:numPr>
        <w:autoSpaceDE w:val="0"/>
        <w:autoSpaceDN w:val="0"/>
        <w:adjustRightInd w:val="0"/>
        <w:jc w:val="both"/>
        <w:rPr>
          <w:rFonts w:ascii="Ping LCG Regular" w:hAnsi="Ping LCG Regular" w:cs="Arial"/>
          <w:bCs/>
          <w:i/>
          <w:spacing w:val="-14"/>
        </w:rPr>
      </w:pPr>
      <w:r w:rsidRPr="00AD7643">
        <w:rPr>
          <w:rFonts w:ascii="Ping LCG Regular" w:hAnsi="Ping LCG Regular" w:cs="Arial"/>
          <w:spacing w:val="-14"/>
        </w:rPr>
        <w:t xml:space="preserve">κ. Εμμανουήλ Χατζάκη, Διευθυντή Κλάδου Σχέσεων με Αγορές, </w:t>
      </w:r>
    </w:p>
    <w:p w14:paraId="18D57CFC" w14:textId="77777777" w:rsidR="00072120" w:rsidRDefault="00072120" w:rsidP="00072120">
      <w:pPr>
        <w:ind w:firstLine="540"/>
        <w:rPr>
          <w:rFonts w:ascii="Ping LCG Regular" w:hAnsi="Ping LCG Regular" w:cs="Arial"/>
          <w:spacing w:val="-14"/>
        </w:rPr>
      </w:pPr>
      <w:r w:rsidRPr="00AD7643">
        <w:rPr>
          <w:rFonts w:ascii="Ping LCG Regular" w:hAnsi="Ping LCG Regular" w:cs="Arial"/>
          <w:spacing w:val="-14"/>
        </w:rPr>
        <w:t>τηλ. 210 5235832, e-mail:</w:t>
      </w:r>
      <w:r w:rsidRPr="00F97715">
        <w:rPr>
          <w:rFonts w:ascii="Ping LCG Regular" w:hAnsi="Ping LCG Regular" w:cs="Arial"/>
          <w:spacing w:val="-14"/>
        </w:rPr>
        <w:t xml:space="preserve"> </w:t>
      </w:r>
      <w:hyperlink r:id="rId17" w:history="1">
        <w:r w:rsidRPr="00F97715">
          <w:rPr>
            <w:rFonts w:ascii="Ping LCG Regular" w:hAnsi="Ping LCG Regular" w:cs="Arial"/>
            <w:spacing w:val="-14"/>
          </w:rPr>
          <w:t>e.hatzakis@dei.com.gr</w:t>
        </w:r>
      </w:hyperlink>
      <w:r w:rsidRPr="00F97715">
        <w:rPr>
          <w:rFonts w:ascii="Ping LCG Regular" w:hAnsi="Ping LCG Regular" w:cs="Arial"/>
          <w:spacing w:val="-14"/>
        </w:rPr>
        <w:t>.</w:t>
      </w:r>
    </w:p>
    <w:p w14:paraId="3119741C" w14:textId="38881AE2" w:rsidR="00072120" w:rsidRPr="00AB5F3E" w:rsidRDefault="00072120" w:rsidP="00E15CDC">
      <w:pPr>
        <w:spacing w:after="200" w:line="276" w:lineRule="auto"/>
        <w:rPr>
          <w:rFonts w:ascii="Ping LCG Regular" w:hAnsi="Ping LCG Regular" w:cs="Arial"/>
          <w:spacing w:val="-14"/>
        </w:rPr>
      </w:pPr>
    </w:p>
    <w:p w14:paraId="66BB04B7" w14:textId="64546E80" w:rsidR="001577D3" w:rsidRDefault="001577D3" w:rsidP="00AB5F3E">
      <w:pPr>
        <w:spacing w:after="200" w:line="276" w:lineRule="auto"/>
        <w:jc w:val="both"/>
        <w:rPr>
          <w:rFonts w:ascii="Ping LCG Regular" w:hAnsi="Ping LCG Regular" w:cs="Arial"/>
          <w:spacing w:val="-14"/>
          <w:lang w:val="el-GR"/>
        </w:rPr>
      </w:pPr>
      <w:r>
        <w:rPr>
          <w:rFonts w:ascii="Ping LCG Regular" w:hAnsi="Ping LCG Regular" w:cs="Arial"/>
          <w:spacing w:val="-14"/>
          <w:lang w:val="el-GR"/>
        </w:rPr>
        <w:t>Το Δελτίο Τύπου είναι διαθέσιμο στον διαδικτυακό τόπο της ΔΕΗ Α.Ε</w:t>
      </w:r>
      <w:r w:rsidRPr="00851841">
        <w:rPr>
          <w:rFonts w:ascii="Ping LCG Regular" w:hAnsi="Ping LCG Regular" w:cs="Arial"/>
          <w:spacing w:val="-14"/>
          <w:lang w:val="el-GR"/>
        </w:rPr>
        <w:t xml:space="preserve"> (</w:t>
      </w:r>
      <w:hyperlink r:id="rId18" w:history="1">
        <w:r w:rsidRPr="00F768C1">
          <w:rPr>
            <w:rStyle w:val="-"/>
            <w:rFonts w:ascii="Ping LCG Regular" w:hAnsi="Ping LCG Regular" w:cs="Arial"/>
            <w:spacing w:val="-14"/>
          </w:rPr>
          <w:t>www</w:t>
        </w:r>
        <w:r w:rsidRPr="00851841">
          <w:rPr>
            <w:rStyle w:val="-"/>
            <w:lang w:val="el-GR"/>
          </w:rPr>
          <w:t>.</w:t>
        </w:r>
        <w:r w:rsidRPr="00F768C1">
          <w:rPr>
            <w:rStyle w:val="-"/>
            <w:rFonts w:ascii="Ping LCG Regular" w:hAnsi="Ping LCG Regular" w:cs="Arial"/>
            <w:spacing w:val="-14"/>
          </w:rPr>
          <w:t>dei</w:t>
        </w:r>
        <w:r w:rsidRPr="00851841">
          <w:rPr>
            <w:rStyle w:val="-"/>
            <w:lang w:val="el-GR"/>
          </w:rPr>
          <w:t>.</w:t>
        </w:r>
        <w:r w:rsidRPr="00F768C1">
          <w:rPr>
            <w:rStyle w:val="-"/>
            <w:rFonts w:ascii="Ping LCG Regular" w:hAnsi="Ping LCG Regular" w:cs="Arial"/>
            <w:spacing w:val="-14"/>
          </w:rPr>
          <w:t>gr</w:t>
        </w:r>
      </w:hyperlink>
      <w:r w:rsidRPr="00851841">
        <w:rPr>
          <w:rFonts w:ascii="Ping LCG Regular" w:hAnsi="Ping LCG Regular" w:cs="Arial"/>
          <w:spacing w:val="-14"/>
          <w:lang w:val="el-GR"/>
        </w:rPr>
        <w:t xml:space="preserve">) </w:t>
      </w:r>
      <w:r>
        <w:rPr>
          <w:rFonts w:ascii="Ping LCG Regular" w:hAnsi="Ping LCG Regular" w:cs="Arial"/>
          <w:spacing w:val="-14"/>
          <w:lang w:val="el-GR"/>
        </w:rPr>
        <w:t xml:space="preserve">στην ενότητα </w:t>
      </w:r>
      <w:r w:rsidRPr="00851841">
        <w:rPr>
          <w:rFonts w:ascii="Ping LCG Regular" w:hAnsi="Ping LCG Regular" w:cs="Arial"/>
          <w:spacing w:val="-14"/>
          <w:lang w:val="el-GR"/>
        </w:rPr>
        <w:t>“</w:t>
      </w:r>
      <w:r>
        <w:rPr>
          <w:rFonts w:ascii="Ping LCG Regular" w:hAnsi="Ping LCG Regular" w:cs="Arial"/>
          <w:spacing w:val="-14"/>
          <w:lang w:val="el-GR"/>
        </w:rPr>
        <w:t>Ενημέρωση Επενδυτών</w:t>
      </w:r>
      <w:r w:rsidRPr="00851841">
        <w:rPr>
          <w:rFonts w:ascii="Ping LCG Regular" w:hAnsi="Ping LCG Regular" w:cs="Arial"/>
          <w:spacing w:val="-14"/>
          <w:lang w:val="el-GR"/>
        </w:rPr>
        <w:t xml:space="preserve">”. </w:t>
      </w:r>
    </w:p>
    <w:p w14:paraId="587C193B" w14:textId="1CBA0CFB" w:rsidR="00072120" w:rsidRDefault="00072120" w:rsidP="00AB5F3E">
      <w:pPr>
        <w:spacing w:after="200" w:line="276" w:lineRule="auto"/>
        <w:jc w:val="both"/>
        <w:rPr>
          <w:rFonts w:ascii="Ping LCG Regular" w:hAnsi="Ping LCG Regular" w:cs="Arial"/>
          <w:spacing w:val="-14"/>
          <w:lang w:val="el-GR"/>
        </w:rPr>
      </w:pPr>
    </w:p>
    <w:p w14:paraId="766FC4DD" w14:textId="1A587B0B" w:rsidR="00072120" w:rsidRPr="00A469D4" w:rsidRDefault="00072120" w:rsidP="00AB5F3E">
      <w:pPr>
        <w:spacing w:after="200" w:line="276" w:lineRule="auto"/>
        <w:jc w:val="both"/>
        <w:rPr>
          <w:rFonts w:ascii="Ping LCG Regular" w:hAnsi="Ping LCG Regular" w:cs="Arial"/>
          <w:b/>
          <w:bCs/>
          <w:spacing w:val="-14"/>
          <w:lang w:val="el-GR"/>
        </w:rPr>
      </w:pPr>
      <w:r w:rsidRPr="00A469D4">
        <w:rPr>
          <w:rFonts w:ascii="Ping LCG Regular" w:hAnsi="Ping LCG Regular" w:cs="Arial"/>
          <w:b/>
          <w:bCs/>
          <w:spacing w:val="-14"/>
          <w:lang w:val="el-GR"/>
        </w:rPr>
        <w:t>Σχετικά με τη Δ</w:t>
      </w:r>
      <w:r w:rsidR="00064956" w:rsidRPr="00A469D4">
        <w:rPr>
          <w:rFonts w:ascii="Ping LCG Regular" w:hAnsi="Ping LCG Regular" w:cs="Arial"/>
          <w:b/>
          <w:bCs/>
          <w:spacing w:val="-14"/>
          <w:lang w:val="el-GR"/>
        </w:rPr>
        <w:t xml:space="preserve">ημόσια Επιχείρηση </w:t>
      </w:r>
      <w:r w:rsidR="002A61B1" w:rsidRPr="00A469D4">
        <w:rPr>
          <w:rFonts w:ascii="Ping LCG Regular" w:hAnsi="Ping LCG Regular" w:cs="Arial"/>
          <w:b/>
          <w:bCs/>
          <w:spacing w:val="-14"/>
          <w:lang w:val="el-GR"/>
        </w:rPr>
        <w:t>Ηλεκτρισμού</w:t>
      </w:r>
      <w:r w:rsidRPr="00A469D4">
        <w:rPr>
          <w:rFonts w:ascii="Ping LCG Regular" w:hAnsi="Ping LCG Regular" w:cs="Arial"/>
          <w:b/>
          <w:bCs/>
          <w:spacing w:val="-14"/>
          <w:lang w:val="el-GR"/>
        </w:rPr>
        <w:t xml:space="preserve"> Α.Ε.</w:t>
      </w:r>
    </w:p>
    <w:p w14:paraId="112832D1" w14:textId="2E04B4CE" w:rsidR="00072120" w:rsidRPr="00952911" w:rsidRDefault="00072120" w:rsidP="00AB5F3E">
      <w:pPr>
        <w:spacing w:after="200" w:line="276" w:lineRule="auto"/>
        <w:jc w:val="both"/>
        <w:rPr>
          <w:rFonts w:ascii="Ping LCG Regular" w:hAnsi="Ping LCG Regular" w:cs="Arial"/>
          <w:spacing w:val="-14"/>
          <w:lang w:val="el-GR"/>
        </w:rPr>
      </w:pPr>
      <w:r w:rsidRPr="00072120">
        <w:rPr>
          <w:rFonts w:ascii="Ping LCG Regular" w:hAnsi="Ping LCG Regular" w:cs="Arial"/>
          <w:spacing w:val="-14"/>
          <w:lang w:val="el-GR"/>
        </w:rPr>
        <w:t xml:space="preserve">Η ΔΕΗ είναι ο μεγαλύτερος παραγωγός και προμηθευτής ηλεκτρικής ενέργειας στην Ελλάδα, καθώς και ο μοναδικός ιδιοκτήτης του δικτύου διανομής ηλεκτρικής ενέργειας, το οποίο διαχειρίζεται η ΔΕΔΔΗΕ Α.Ε., 100% θυγατρική της, παρέχοντας ηλεκτρική ενέργεια σε περίπου </w:t>
      </w:r>
      <w:r w:rsidR="003D3CD2">
        <w:rPr>
          <w:rFonts w:ascii="Ping LCG Regular" w:hAnsi="Ping LCG Regular" w:cs="Arial"/>
          <w:spacing w:val="-14"/>
          <w:lang w:val="el-GR"/>
        </w:rPr>
        <w:t>6</w:t>
      </w:r>
      <w:r w:rsidRPr="00072120">
        <w:rPr>
          <w:rFonts w:ascii="Ping LCG Regular" w:hAnsi="Ping LCG Regular" w:cs="Arial"/>
          <w:spacing w:val="-14"/>
          <w:lang w:val="el-GR"/>
        </w:rPr>
        <w:t xml:space="preserve"> εκατομμύρια πελάτες. Για περισσότερα από 70 χρόνια, η ΔΕΗ είναι στην πρώτη γραμμή στην Ελλάδα στον τομέα της ενέργειας και αναπόσπαστο μέρος του εξηλεκτρισμού της χώρας. Η ΔΕΗ είναι εισηγμένη και οι μετοχές της διαπραγματεύονται στην Κύρια Αγορά του Χρηματιστηρίου Αθηνών.</w:t>
      </w:r>
    </w:p>
    <w:p w14:paraId="7D752B41" w14:textId="77777777" w:rsidR="00E15CDC" w:rsidRPr="00952911" w:rsidRDefault="00E15CDC" w:rsidP="00555B95">
      <w:pPr>
        <w:spacing w:after="200" w:line="276" w:lineRule="auto"/>
        <w:rPr>
          <w:rFonts w:ascii="Ping LCG Regular" w:hAnsi="Ping LCG Regular" w:cs="Arial"/>
          <w:spacing w:val="-14"/>
          <w:lang w:val="el-GR"/>
        </w:rPr>
      </w:pPr>
    </w:p>
    <w:p w14:paraId="66B98C6F" w14:textId="77777777" w:rsidR="00E15CDC" w:rsidRPr="00952911" w:rsidRDefault="00E15CDC" w:rsidP="00555B95">
      <w:pPr>
        <w:spacing w:after="200" w:line="276" w:lineRule="auto"/>
        <w:rPr>
          <w:rFonts w:ascii="Ping LCG Regular" w:hAnsi="Ping LCG Regular" w:cs="Arial"/>
          <w:spacing w:val="-14"/>
          <w:lang w:val="el-GR"/>
        </w:rPr>
      </w:pPr>
    </w:p>
    <w:p w14:paraId="72A87676" w14:textId="77777777" w:rsidR="00E15CDC" w:rsidRPr="00952911" w:rsidRDefault="00E15CDC" w:rsidP="00555B95">
      <w:pPr>
        <w:spacing w:after="200" w:line="276" w:lineRule="auto"/>
        <w:rPr>
          <w:rFonts w:ascii="Ping LCG Regular" w:hAnsi="Ping LCG Regular" w:cs="Arial"/>
          <w:spacing w:val="-14"/>
          <w:lang w:val="el-GR"/>
        </w:rPr>
      </w:pPr>
    </w:p>
    <w:p w14:paraId="732CF64D" w14:textId="77777777" w:rsidR="00E15CDC" w:rsidRPr="00952911" w:rsidRDefault="00E15CDC" w:rsidP="00555B95">
      <w:pPr>
        <w:spacing w:after="200" w:line="276" w:lineRule="auto"/>
        <w:rPr>
          <w:rFonts w:ascii="Ping LCG Regular" w:hAnsi="Ping LCG Regular" w:cs="Arial"/>
          <w:spacing w:val="-14"/>
          <w:lang w:val="el-GR"/>
        </w:rPr>
      </w:pPr>
    </w:p>
    <w:p w14:paraId="79643A95" w14:textId="77777777" w:rsidR="00A249A6" w:rsidRPr="00AB5F3E" w:rsidRDefault="00A249A6" w:rsidP="00A249A6">
      <w:pPr>
        <w:autoSpaceDE w:val="0"/>
        <w:autoSpaceDN w:val="0"/>
        <w:adjustRightInd w:val="0"/>
        <w:rPr>
          <w:rFonts w:ascii="Ping LCG Regular" w:hAnsi="Ping LCG Regular" w:cs="Tahoma"/>
          <w:color w:val="000000"/>
          <w:sz w:val="22"/>
          <w:szCs w:val="22"/>
          <w:lang w:val="el-GR"/>
        </w:rPr>
      </w:pPr>
    </w:p>
    <w:p w14:paraId="2EB5F9EA" w14:textId="77777777" w:rsidR="00A249A6" w:rsidRPr="00AB5F3E" w:rsidRDefault="00A249A6" w:rsidP="00A249A6">
      <w:pPr>
        <w:rPr>
          <w:lang w:val="el-GR"/>
        </w:rPr>
      </w:pPr>
    </w:p>
    <w:sectPr w:rsidR="00A249A6" w:rsidRPr="00AB5F3E" w:rsidSect="006B1EF6">
      <w:headerReference w:type="default" r:id="rId19"/>
      <w:footerReference w:type="default" r:id="rId20"/>
      <w:pgSz w:w="11900" w:h="16840"/>
      <w:pgMar w:top="720" w:right="720" w:bottom="720" w:left="720" w:header="981"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467DD" w14:textId="77777777" w:rsidR="008B2BBE" w:rsidRDefault="008B2BBE" w:rsidP="000E10BE">
      <w:r>
        <w:separator/>
      </w:r>
    </w:p>
  </w:endnote>
  <w:endnote w:type="continuationSeparator" w:id="0">
    <w:p w14:paraId="4FE5C74B" w14:textId="77777777" w:rsidR="008B2BBE" w:rsidRDefault="008B2BBE" w:rsidP="000E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Ping LCG">
    <w:altName w:val="Calibri"/>
    <w:panose1 w:val="00000000000000000000"/>
    <w:charset w:val="00"/>
    <w:family w:val="auto"/>
    <w:notTrueType/>
    <w:pitch w:val="variable"/>
    <w:sig w:usb0="E00002FF" w:usb1="5001E47B" w:usb2="00000000" w:usb3="00000000" w:csb0="0000019F" w:csb1="00000000"/>
  </w:font>
  <w:font w:name="Times New Roman (Body CS)">
    <w:altName w:val="Times New Roman"/>
    <w:panose1 w:val="00000000000000000000"/>
    <w:charset w:val="00"/>
    <w:family w:val="roman"/>
    <w:notTrueType/>
    <w:pitch w:val="default"/>
  </w:font>
  <w:font w:name="Segoe UI">
    <w:panose1 w:val="020B0502040204020203"/>
    <w:charset w:val="A1"/>
    <w:family w:val="swiss"/>
    <w:pitch w:val="variable"/>
    <w:sig w:usb0="E4002EFF" w:usb1="C000E47F" w:usb2="00000009" w:usb3="00000000" w:csb0="000001FF" w:csb1="00000000"/>
  </w:font>
  <w:font w:name="Ping LCG Regular">
    <w:panose1 w:val="00000000000000000000"/>
    <w:charset w:val="00"/>
    <w:family w:val="modern"/>
    <w:notTrueType/>
    <w:pitch w:val="variable"/>
    <w:sig w:usb0="E00002FF" w:usb1="5001E47B" w:usb2="00000000" w:usb3="00000000" w:csb0="0000019F" w:csb1="00000000"/>
  </w:font>
  <w:font w:name="Ping LCG Bold">
    <w:panose1 w:val="00000000000000000000"/>
    <w:charset w:val="00"/>
    <w:family w:val="modern"/>
    <w:notTrueType/>
    <w:pitch w:val="variable"/>
    <w:sig w:usb0="E00002FF" w:usb1="5001E47B"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ing LCG Regular" w:hAnsi="Ping LCG Regular"/>
        <w:lang w:val="el-GR"/>
      </w:rPr>
      <w:id w:val="360316571"/>
      <w:docPartObj>
        <w:docPartGallery w:val="Page Numbers (Bottom of Page)"/>
        <w:docPartUnique/>
      </w:docPartObj>
    </w:sdtPr>
    <w:sdtEndPr/>
    <w:sdtContent>
      <w:p w14:paraId="14BCB474" w14:textId="5153D000" w:rsidR="0095519B" w:rsidRPr="00F400CD" w:rsidRDefault="0095519B">
        <w:pPr>
          <w:pStyle w:val="af"/>
          <w:jc w:val="center"/>
          <w:rPr>
            <w:rFonts w:ascii="Ping LCG Regular" w:hAnsi="Ping LCG Regular"/>
          </w:rPr>
        </w:pPr>
        <w:r w:rsidRPr="00F400CD">
          <w:rPr>
            <w:rFonts w:ascii="Ping LCG Regular" w:hAnsi="Ping LCG Regular"/>
            <w:lang w:val="el-GR"/>
          </w:rPr>
          <w:t>[</w:t>
        </w:r>
        <w:r w:rsidRPr="00F400CD">
          <w:rPr>
            <w:rFonts w:ascii="Ping LCG Regular" w:hAnsi="Ping LCG Regular"/>
          </w:rPr>
          <w:fldChar w:fldCharType="begin"/>
        </w:r>
        <w:r w:rsidRPr="00F400CD">
          <w:rPr>
            <w:rFonts w:ascii="Ping LCG Regular" w:hAnsi="Ping LCG Regular"/>
          </w:rPr>
          <w:instrText>PAGE   \* MERGEFORMAT</w:instrText>
        </w:r>
        <w:r w:rsidRPr="00F400CD">
          <w:rPr>
            <w:rFonts w:ascii="Ping LCG Regular" w:hAnsi="Ping LCG Regular"/>
          </w:rPr>
          <w:fldChar w:fldCharType="separate"/>
        </w:r>
        <w:r w:rsidRPr="00F400CD">
          <w:rPr>
            <w:rFonts w:ascii="Ping LCG Regular" w:hAnsi="Ping LCG Regular"/>
            <w:lang w:val="el-GR"/>
          </w:rPr>
          <w:t>2</w:t>
        </w:r>
        <w:r w:rsidRPr="00F400CD">
          <w:rPr>
            <w:rFonts w:ascii="Ping LCG Regular" w:hAnsi="Ping LCG Regular"/>
          </w:rPr>
          <w:fldChar w:fldCharType="end"/>
        </w:r>
        <w:r w:rsidRPr="00F400CD">
          <w:rPr>
            <w:rFonts w:ascii="Ping LCG Regular" w:hAnsi="Ping LCG Regular"/>
            <w:lang w:val="el-GR"/>
          </w:rPr>
          <w:t>]</w:t>
        </w:r>
      </w:p>
    </w:sdtContent>
  </w:sdt>
  <w:p w14:paraId="250A1140" w14:textId="77777777" w:rsidR="0095519B" w:rsidRDefault="0095519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7E6F5" w14:textId="77777777" w:rsidR="008B2BBE" w:rsidRDefault="008B2BBE" w:rsidP="000E10BE">
      <w:r>
        <w:separator/>
      </w:r>
    </w:p>
  </w:footnote>
  <w:footnote w:type="continuationSeparator" w:id="0">
    <w:p w14:paraId="79A64C1B" w14:textId="77777777" w:rsidR="008B2BBE" w:rsidRDefault="008B2BBE" w:rsidP="000E10BE">
      <w:r>
        <w:continuationSeparator/>
      </w:r>
    </w:p>
  </w:footnote>
  <w:footnote w:id="1">
    <w:p w14:paraId="68F9E492" w14:textId="2924CFAF" w:rsidR="00FE7DED" w:rsidRPr="00851841" w:rsidRDefault="00FE7DED">
      <w:pPr>
        <w:pStyle w:val="af8"/>
        <w:rPr>
          <w:rFonts w:ascii="Ping LCG Regular" w:hAnsi="Ping LCG Regular"/>
          <w:lang w:val="el-GR"/>
        </w:rPr>
      </w:pPr>
      <w:r w:rsidRPr="00851841">
        <w:rPr>
          <w:rStyle w:val="af9"/>
          <w:rFonts w:ascii="Ping LCG Regular" w:hAnsi="Ping LCG Regular"/>
          <w:sz w:val="18"/>
          <w:szCs w:val="18"/>
        </w:rPr>
        <w:footnoteRef/>
      </w:r>
      <w:r w:rsidRPr="00851841">
        <w:rPr>
          <w:rFonts w:ascii="Ping LCG Regular" w:hAnsi="Ping LCG Regular"/>
          <w:sz w:val="18"/>
          <w:szCs w:val="18"/>
          <w:lang w:val="el-GR"/>
        </w:rPr>
        <w:t xml:space="preserve"> Αναλυτική περιγραφή τ</w:t>
      </w:r>
      <w:r w:rsidR="00587A47">
        <w:rPr>
          <w:rFonts w:ascii="Ping LCG Regular" w:hAnsi="Ping LCG Regular"/>
          <w:sz w:val="18"/>
          <w:szCs w:val="18"/>
          <w:lang w:val="el-GR"/>
        </w:rPr>
        <w:t xml:space="preserve">ων </w:t>
      </w:r>
      <w:bookmarkStart w:id="0" w:name="_Hlk69553172"/>
      <w:bookmarkStart w:id="1" w:name="_Hlk69553173"/>
      <w:r w:rsidR="00587A47">
        <w:rPr>
          <w:rFonts w:ascii="Ping LCG Regular" w:hAnsi="Ping LCG Regular"/>
          <w:sz w:val="18"/>
          <w:szCs w:val="18"/>
          <w:lang w:val="el-GR"/>
        </w:rPr>
        <w:t xml:space="preserve">εφάπαξ επιπτώσεων στο </w:t>
      </w:r>
      <w:r w:rsidR="00587A47">
        <w:rPr>
          <w:rFonts w:ascii="Ping LCG Regular" w:hAnsi="Ping LCG Regular"/>
          <w:sz w:val="18"/>
          <w:szCs w:val="18"/>
        </w:rPr>
        <w:t>EBITDA</w:t>
      </w:r>
      <w:r w:rsidR="00587A47" w:rsidRPr="00851841">
        <w:rPr>
          <w:rFonts w:ascii="Ping LCG Regular" w:hAnsi="Ping LCG Regular"/>
          <w:sz w:val="18"/>
          <w:szCs w:val="18"/>
          <w:lang w:val="el-GR"/>
        </w:rPr>
        <w:t xml:space="preserve"> </w:t>
      </w:r>
      <w:r w:rsidR="00587A47">
        <w:rPr>
          <w:rFonts w:ascii="Ping LCG Regular" w:hAnsi="Ping LCG Regular"/>
          <w:sz w:val="18"/>
          <w:szCs w:val="18"/>
          <w:lang w:val="el-GR"/>
        </w:rPr>
        <w:t xml:space="preserve">γίνεται </w:t>
      </w:r>
      <w:r w:rsidRPr="00851841">
        <w:rPr>
          <w:rFonts w:ascii="Ping LCG Regular" w:hAnsi="Ping LCG Regular"/>
          <w:sz w:val="18"/>
          <w:szCs w:val="18"/>
          <w:lang w:val="el-GR"/>
        </w:rPr>
        <w:t>στο Παράρτημα 1: Ανάλυση Εσόδων &amp; Λειτουργικών δαπανών Ομίλου ΔΕΗ</w:t>
      </w:r>
      <w:bookmarkEnd w:id="0"/>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83DFD" w14:textId="77777777" w:rsidR="0095519B" w:rsidRPr="00F400CD" w:rsidRDefault="0095519B">
    <w:pPr>
      <w:pStyle w:val="ae"/>
      <w:rPr>
        <w:rFonts w:ascii="Ping LCG Regular" w:hAnsi="Ping LCG Regular"/>
        <w:sz w:val="20"/>
        <w:szCs w:val="20"/>
      </w:rPr>
    </w:pPr>
    <w:proofErr w:type="spellStart"/>
    <w:r w:rsidRPr="00F400CD">
      <w:rPr>
        <w:rFonts w:ascii="Ping LCG Regular" w:hAnsi="Ping LCG Regular"/>
        <w:sz w:val="20"/>
        <w:szCs w:val="20"/>
      </w:rPr>
      <w:t>Διεύθυνση</w:t>
    </w:r>
    <w:proofErr w:type="spellEnd"/>
    <w:r w:rsidRPr="00F400CD">
      <w:rPr>
        <w:rFonts w:ascii="Ping LCG Regular" w:hAnsi="Ping LCG Regular"/>
        <w:sz w:val="20"/>
        <w:szCs w:val="20"/>
      </w:rPr>
      <w:t xml:space="preserve"> </w:t>
    </w:r>
    <w:r w:rsidRPr="00F400CD">
      <w:rPr>
        <w:rFonts w:ascii="Ping LCG Regular" w:hAnsi="Ping LCG Regular"/>
        <w:sz w:val="20"/>
        <w:szCs w:val="20"/>
      </w:rPr>
      <w:br/>
      <w:t>Επ</w:t>
    </w:r>
    <w:proofErr w:type="spellStart"/>
    <w:r w:rsidRPr="00F400CD">
      <w:rPr>
        <w:rFonts w:ascii="Ping LCG Regular" w:hAnsi="Ping LCG Regular"/>
        <w:sz w:val="20"/>
        <w:szCs w:val="20"/>
      </w:rPr>
      <w:t>ενδυτικών</w:t>
    </w:r>
    <w:proofErr w:type="spellEnd"/>
    <w:r w:rsidRPr="00F400CD">
      <w:rPr>
        <w:rFonts w:ascii="Ping LCG Regular" w:hAnsi="Ping LCG Regular"/>
        <w:sz w:val="20"/>
        <w:szCs w:val="20"/>
      </w:rPr>
      <w:t xml:space="preserve"> </w:t>
    </w:r>
    <w:r w:rsidRPr="00F400CD">
      <w:rPr>
        <w:rFonts w:ascii="Ping LCG Regular" w:hAnsi="Ping LCG Regular"/>
        <w:sz w:val="20"/>
        <w:szCs w:val="20"/>
      </w:rPr>
      <w:br/>
    </w:r>
    <w:proofErr w:type="spellStart"/>
    <w:r w:rsidRPr="00F400CD">
      <w:rPr>
        <w:rFonts w:ascii="Ping LCG Regular" w:hAnsi="Ping LCG Regular"/>
        <w:sz w:val="20"/>
        <w:szCs w:val="20"/>
      </w:rPr>
      <w:t>Σχέσεων</w:t>
    </w:r>
    <w:proofErr w:type="spellEnd"/>
  </w:p>
  <w:p w14:paraId="03EE564A" w14:textId="551E4EF7" w:rsidR="0095519B" w:rsidRPr="00BB4345" w:rsidRDefault="0095519B">
    <w:pPr>
      <w:pStyle w:val="ae"/>
      <w:rPr>
        <w:sz w:val="18"/>
        <w:szCs w:val="18"/>
      </w:rPr>
    </w:pPr>
    <w:r w:rsidRPr="00BB4345">
      <w:rPr>
        <w:noProof/>
        <w:sz w:val="18"/>
        <w:szCs w:val="18"/>
      </w:rPr>
      <w:drawing>
        <wp:anchor distT="0" distB="0" distL="114300" distR="114300" simplePos="0" relativeHeight="251659264" behindDoc="1" locked="0" layoutInCell="1" allowOverlap="1" wp14:anchorId="23D6A740" wp14:editId="4495A765">
          <wp:simplePos x="0" y="0"/>
          <wp:positionH relativeFrom="page">
            <wp:posOffset>5392420</wp:posOffset>
          </wp:positionH>
          <wp:positionV relativeFrom="page">
            <wp:posOffset>12700</wp:posOffset>
          </wp:positionV>
          <wp:extent cx="1609200" cy="1609200"/>
          <wp:effectExtent l="0" t="0" r="0" b="0"/>
          <wp:wrapNone/>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DEI_Logo_RGB-with-safe-area.png"/>
                  <pic:cNvPicPr/>
                </pic:nvPicPr>
                <pic:blipFill>
                  <a:blip r:embed="rId1">
                    <a:extLst>
                      <a:ext uri="{28A0092B-C50C-407E-A947-70E740481C1C}">
                        <a14:useLocalDpi xmlns:a14="http://schemas.microsoft.com/office/drawing/2010/main" val="0"/>
                      </a:ext>
                    </a:extLst>
                  </a:blip>
                  <a:stretch>
                    <a:fillRect/>
                  </a:stretch>
                </pic:blipFill>
                <pic:spPr>
                  <a:xfrm>
                    <a:off x="0" y="0"/>
                    <a:ext cx="1609200" cy="1609200"/>
                  </a:xfrm>
                  <a:prstGeom prst="rect">
                    <a:avLst/>
                  </a:prstGeom>
                </pic:spPr>
              </pic:pic>
            </a:graphicData>
          </a:graphic>
          <wp14:sizeRelH relativeFrom="page">
            <wp14:pctWidth>0</wp14:pctWidth>
          </wp14:sizeRelH>
          <wp14:sizeRelV relativeFrom="page">
            <wp14:pctHeight>0</wp14:pctHeight>
          </wp14:sizeRelV>
        </wp:anchor>
      </w:drawing>
    </w:r>
  </w:p>
  <w:p w14:paraId="008678F8" w14:textId="78168467" w:rsidR="0095519B" w:rsidRDefault="0095519B">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62B8"/>
    <w:multiLevelType w:val="hybridMultilevel"/>
    <w:tmpl w:val="14A0C014"/>
    <w:lvl w:ilvl="0" w:tplc="00000001">
      <w:numFmt w:val="bullet"/>
      <w:lvlText w:val="-"/>
      <w:lvlJc w:val="left"/>
      <w:pPr>
        <w:ind w:left="360" w:hanging="360"/>
      </w:pPr>
      <w:rPr>
        <w:rFonts w:ascii="Times New Roman" w:hAnsi="Times New Roman"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A8B21C7"/>
    <w:multiLevelType w:val="hybridMultilevel"/>
    <w:tmpl w:val="00E81F68"/>
    <w:lvl w:ilvl="0" w:tplc="00000001">
      <w:numFmt w:val="bullet"/>
      <w:lvlText w:val="-"/>
      <w:lvlJc w:val="left"/>
      <w:pPr>
        <w:ind w:left="540" w:hanging="360"/>
      </w:pPr>
      <w:rPr>
        <w:rFonts w:ascii="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BDC29CE"/>
    <w:multiLevelType w:val="hybridMultilevel"/>
    <w:tmpl w:val="D8A4A3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45D7ADD"/>
    <w:multiLevelType w:val="hybridMultilevel"/>
    <w:tmpl w:val="757A65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0A072E"/>
    <w:multiLevelType w:val="hybridMultilevel"/>
    <w:tmpl w:val="27DEF4BC"/>
    <w:lvl w:ilvl="0" w:tplc="5D96AB8E">
      <w:start w:val="1"/>
      <w:numFmt w:val="bullet"/>
      <w:lvlText w:val=""/>
      <w:lvlJc w:val="left"/>
      <w:pPr>
        <w:tabs>
          <w:tab w:val="num" w:pos="720"/>
        </w:tabs>
        <w:ind w:left="720" w:hanging="360"/>
      </w:pPr>
      <w:rPr>
        <w:rFonts w:ascii="Wingdings" w:hAnsi="Wingdings" w:hint="default"/>
      </w:rPr>
    </w:lvl>
    <w:lvl w:ilvl="1" w:tplc="150A89C8">
      <w:start w:val="1"/>
      <w:numFmt w:val="bullet"/>
      <w:lvlText w:val=""/>
      <w:lvlJc w:val="left"/>
      <w:pPr>
        <w:tabs>
          <w:tab w:val="num" w:pos="1440"/>
        </w:tabs>
        <w:ind w:left="1440" w:hanging="360"/>
      </w:pPr>
      <w:rPr>
        <w:rFonts w:ascii="Wingdings" w:hAnsi="Wingdings" w:hint="default"/>
      </w:rPr>
    </w:lvl>
    <w:lvl w:ilvl="2" w:tplc="2436B798" w:tentative="1">
      <w:start w:val="1"/>
      <w:numFmt w:val="bullet"/>
      <w:lvlText w:val=""/>
      <w:lvlJc w:val="left"/>
      <w:pPr>
        <w:tabs>
          <w:tab w:val="num" w:pos="2160"/>
        </w:tabs>
        <w:ind w:left="2160" w:hanging="360"/>
      </w:pPr>
      <w:rPr>
        <w:rFonts w:ascii="Wingdings" w:hAnsi="Wingdings" w:hint="default"/>
      </w:rPr>
    </w:lvl>
    <w:lvl w:ilvl="3" w:tplc="BFE652CA" w:tentative="1">
      <w:start w:val="1"/>
      <w:numFmt w:val="bullet"/>
      <w:lvlText w:val=""/>
      <w:lvlJc w:val="left"/>
      <w:pPr>
        <w:tabs>
          <w:tab w:val="num" w:pos="2880"/>
        </w:tabs>
        <w:ind w:left="2880" w:hanging="360"/>
      </w:pPr>
      <w:rPr>
        <w:rFonts w:ascii="Wingdings" w:hAnsi="Wingdings" w:hint="default"/>
      </w:rPr>
    </w:lvl>
    <w:lvl w:ilvl="4" w:tplc="A016DD7E" w:tentative="1">
      <w:start w:val="1"/>
      <w:numFmt w:val="bullet"/>
      <w:lvlText w:val=""/>
      <w:lvlJc w:val="left"/>
      <w:pPr>
        <w:tabs>
          <w:tab w:val="num" w:pos="3600"/>
        </w:tabs>
        <w:ind w:left="3600" w:hanging="360"/>
      </w:pPr>
      <w:rPr>
        <w:rFonts w:ascii="Wingdings" w:hAnsi="Wingdings" w:hint="default"/>
      </w:rPr>
    </w:lvl>
    <w:lvl w:ilvl="5" w:tplc="C35E7BD6" w:tentative="1">
      <w:start w:val="1"/>
      <w:numFmt w:val="bullet"/>
      <w:lvlText w:val=""/>
      <w:lvlJc w:val="left"/>
      <w:pPr>
        <w:tabs>
          <w:tab w:val="num" w:pos="4320"/>
        </w:tabs>
        <w:ind w:left="4320" w:hanging="360"/>
      </w:pPr>
      <w:rPr>
        <w:rFonts w:ascii="Wingdings" w:hAnsi="Wingdings" w:hint="default"/>
      </w:rPr>
    </w:lvl>
    <w:lvl w:ilvl="6" w:tplc="4CF82B56" w:tentative="1">
      <w:start w:val="1"/>
      <w:numFmt w:val="bullet"/>
      <w:lvlText w:val=""/>
      <w:lvlJc w:val="left"/>
      <w:pPr>
        <w:tabs>
          <w:tab w:val="num" w:pos="5040"/>
        </w:tabs>
        <w:ind w:left="5040" w:hanging="360"/>
      </w:pPr>
      <w:rPr>
        <w:rFonts w:ascii="Wingdings" w:hAnsi="Wingdings" w:hint="default"/>
      </w:rPr>
    </w:lvl>
    <w:lvl w:ilvl="7" w:tplc="F61891EC" w:tentative="1">
      <w:start w:val="1"/>
      <w:numFmt w:val="bullet"/>
      <w:lvlText w:val=""/>
      <w:lvlJc w:val="left"/>
      <w:pPr>
        <w:tabs>
          <w:tab w:val="num" w:pos="5760"/>
        </w:tabs>
        <w:ind w:left="5760" w:hanging="360"/>
      </w:pPr>
      <w:rPr>
        <w:rFonts w:ascii="Wingdings" w:hAnsi="Wingdings" w:hint="default"/>
      </w:rPr>
    </w:lvl>
    <w:lvl w:ilvl="8" w:tplc="AFCCCF2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193B38"/>
    <w:multiLevelType w:val="hybridMultilevel"/>
    <w:tmpl w:val="3C563A20"/>
    <w:lvl w:ilvl="0" w:tplc="0408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D45756A"/>
    <w:multiLevelType w:val="hybridMultilevel"/>
    <w:tmpl w:val="5D1EB3A2"/>
    <w:lvl w:ilvl="0" w:tplc="CB68E564">
      <w:numFmt w:val="bullet"/>
      <w:lvlText w:val="-"/>
      <w:lvlJc w:val="left"/>
      <w:pPr>
        <w:ind w:left="644" w:hanging="360"/>
      </w:pPr>
      <w:rPr>
        <w:rFonts w:ascii="Arial" w:eastAsia="Times New Roman" w:hAnsi="Arial" w:cs="Arial" w:hint="default"/>
      </w:rPr>
    </w:lvl>
    <w:lvl w:ilvl="1" w:tplc="04080003">
      <w:start w:val="1"/>
      <w:numFmt w:val="bullet"/>
      <w:lvlText w:val="o"/>
      <w:lvlJc w:val="left"/>
      <w:pPr>
        <w:ind w:left="-3946" w:hanging="360"/>
      </w:pPr>
      <w:rPr>
        <w:rFonts w:ascii="Courier New" w:hAnsi="Courier New" w:cs="Courier New" w:hint="default"/>
      </w:rPr>
    </w:lvl>
    <w:lvl w:ilvl="2" w:tplc="04080005" w:tentative="1">
      <w:start w:val="1"/>
      <w:numFmt w:val="bullet"/>
      <w:lvlText w:val=""/>
      <w:lvlJc w:val="left"/>
      <w:pPr>
        <w:ind w:left="-3226" w:hanging="360"/>
      </w:pPr>
      <w:rPr>
        <w:rFonts w:ascii="Wingdings" w:hAnsi="Wingdings" w:hint="default"/>
      </w:rPr>
    </w:lvl>
    <w:lvl w:ilvl="3" w:tplc="04080001" w:tentative="1">
      <w:start w:val="1"/>
      <w:numFmt w:val="bullet"/>
      <w:lvlText w:val=""/>
      <w:lvlJc w:val="left"/>
      <w:pPr>
        <w:ind w:left="-2506" w:hanging="360"/>
      </w:pPr>
      <w:rPr>
        <w:rFonts w:ascii="Symbol" w:hAnsi="Symbol" w:hint="default"/>
      </w:rPr>
    </w:lvl>
    <w:lvl w:ilvl="4" w:tplc="04080003" w:tentative="1">
      <w:start w:val="1"/>
      <w:numFmt w:val="bullet"/>
      <w:lvlText w:val="o"/>
      <w:lvlJc w:val="left"/>
      <w:pPr>
        <w:ind w:left="-1786" w:hanging="360"/>
      </w:pPr>
      <w:rPr>
        <w:rFonts w:ascii="Courier New" w:hAnsi="Courier New" w:cs="Courier New" w:hint="default"/>
      </w:rPr>
    </w:lvl>
    <w:lvl w:ilvl="5" w:tplc="04080005" w:tentative="1">
      <w:start w:val="1"/>
      <w:numFmt w:val="bullet"/>
      <w:lvlText w:val=""/>
      <w:lvlJc w:val="left"/>
      <w:pPr>
        <w:ind w:left="-1066" w:hanging="360"/>
      </w:pPr>
      <w:rPr>
        <w:rFonts w:ascii="Wingdings" w:hAnsi="Wingdings" w:hint="default"/>
      </w:rPr>
    </w:lvl>
    <w:lvl w:ilvl="6" w:tplc="04080001" w:tentative="1">
      <w:start w:val="1"/>
      <w:numFmt w:val="bullet"/>
      <w:lvlText w:val=""/>
      <w:lvlJc w:val="left"/>
      <w:pPr>
        <w:ind w:left="-346" w:hanging="360"/>
      </w:pPr>
      <w:rPr>
        <w:rFonts w:ascii="Symbol" w:hAnsi="Symbol" w:hint="default"/>
      </w:rPr>
    </w:lvl>
    <w:lvl w:ilvl="7" w:tplc="04080003" w:tentative="1">
      <w:start w:val="1"/>
      <w:numFmt w:val="bullet"/>
      <w:lvlText w:val="o"/>
      <w:lvlJc w:val="left"/>
      <w:pPr>
        <w:ind w:left="374" w:hanging="360"/>
      </w:pPr>
      <w:rPr>
        <w:rFonts w:ascii="Courier New" w:hAnsi="Courier New" w:cs="Courier New" w:hint="default"/>
      </w:rPr>
    </w:lvl>
    <w:lvl w:ilvl="8" w:tplc="04080005" w:tentative="1">
      <w:start w:val="1"/>
      <w:numFmt w:val="bullet"/>
      <w:lvlText w:val=""/>
      <w:lvlJc w:val="left"/>
      <w:pPr>
        <w:ind w:left="1094" w:hanging="360"/>
      </w:pPr>
      <w:rPr>
        <w:rFonts w:ascii="Wingdings" w:hAnsi="Wingdings" w:hint="default"/>
      </w:rPr>
    </w:lvl>
  </w:abstractNum>
  <w:abstractNum w:abstractNumId="7" w15:restartNumberingAfterBreak="0">
    <w:nsid w:val="7B292AE7"/>
    <w:multiLevelType w:val="hybridMultilevel"/>
    <w:tmpl w:val="41409D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4"/>
  </w:num>
  <w:num w:numId="5">
    <w:abstractNumId w:val="3"/>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0BE"/>
    <w:rsid w:val="00001E5E"/>
    <w:rsid w:val="00003CC4"/>
    <w:rsid w:val="000057C4"/>
    <w:rsid w:val="000073EC"/>
    <w:rsid w:val="000113F4"/>
    <w:rsid w:val="00012D6D"/>
    <w:rsid w:val="000135F5"/>
    <w:rsid w:val="0001669D"/>
    <w:rsid w:val="000337AD"/>
    <w:rsid w:val="00035ED6"/>
    <w:rsid w:val="000436B4"/>
    <w:rsid w:val="00050AA8"/>
    <w:rsid w:val="00054441"/>
    <w:rsid w:val="00055140"/>
    <w:rsid w:val="000638D9"/>
    <w:rsid w:val="00063C55"/>
    <w:rsid w:val="00064956"/>
    <w:rsid w:val="00065351"/>
    <w:rsid w:val="0006544F"/>
    <w:rsid w:val="00072120"/>
    <w:rsid w:val="00076804"/>
    <w:rsid w:val="0008621C"/>
    <w:rsid w:val="00091DDA"/>
    <w:rsid w:val="00092C42"/>
    <w:rsid w:val="00093193"/>
    <w:rsid w:val="0009624B"/>
    <w:rsid w:val="00096713"/>
    <w:rsid w:val="000A04F5"/>
    <w:rsid w:val="000A4D42"/>
    <w:rsid w:val="000A6C19"/>
    <w:rsid w:val="000B08CB"/>
    <w:rsid w:val="000B2A3B"/>
    <w:rsid w:val="000B336F"/>
    <w:rsid w:val="000B5D13"/>
    <w:rsid w:val="000C2A32"/>
    <w:rsid w:val="000C41AE"/>
    <w:rsid w:val="000C7D9A"/>
    <w:rsid w:val="000D0AB6"/>
    <w:rsid w:val="000D4172"/>
    <w:rsid w:val="000D67A1"/>
    <w:rsid w:val="000E01B9"/>
    <w:rsid w:val="000E10BE"/>
    <w:rsid w:val="000E2125"/>
    <w:rsid w:val="000F076B"/>
    <w:rsid w:val="000F54C9"/>
    <w:rsid w:val="000F613D"/>
    <w:rsid w:val="0010083B"/>
    <w:rsid w:val="001035BA"/>
    <w:rsid w:val="001036B1"/>
    <w:rsid w:val="00103C1C"/>
    <w:rsid w:val="00104B80"/>
    <w:rsid w:val="001065EC"/>
    <w:rsid w:val="00107FE2"/>
    <w:rsid w:val="00121A6A"/>
    <w:rsid w:val="00125A35"/>
    <w:rsid w:val="00126C55"/>
    <w:rsid w:val="001301DA"/>
    <w:rsid w:val="0013668D"/>
    <w:rsid w:val="001417CB"/>
    <w:rsid w:val="00144F71"/>
    <w:rsid w:val="001511E7"/>
    <w:rsid w:val="001517B9"/>
    <w:rsid w:val="001547D6"/>
    <w:rsid w:val="001577D3"/>
    <w:rsid w:val="00157B4C"/>
    <w:rsid w:val="001641E2"/>
    <w:rsid w:val="00165CD8"/>
    <w:rsid w:val="0016769A"/>
    <w:rsid w:val="00173777"/>
    <w:rsid w:val="001838D5"/>
    <w:rsid w:val="001878DB"/>
    <w:rsid w:val="001A31CD"/>
    <w:rsid w:val="001B0EB8"/>
    <w:rsid w:val="001B24AD"/>
    <w:rsid w:val="001B45B2"/>
    <w:rsid w:val="001B4B5B"/>
    <w:rsid w:val="001B7BA9"/>
    <w:rsid w:val="001C3371"/>
    <w:rsid w:val="001D4DE5"/>
    <w:rsid w:val="001F4BDF"/>
    <w:rsid w:val="001F5F5A"/>
    <w:rsid w:val="00202E2F"/>
    <w:rsid w:val="002031F8"/>
    <w:rsid w:val="00222937"/>
    <w:rsid w:val="002236A9"/>
    <w:rsid w:val="00242F03"/>
    <w:rsid w:val="002467E1"/>
    <w:rsid w:val="00250564"/>
    <w:rsid w:val="002554EA"/>
    <w:rsid w:val="00257221"/>
    <w:rsid w:val="0025794B"/>
    <w:rsid w:val="00257AE6"/>
    <w:rsid w:val="00263F3B"/>
    <w:rsid w:val="00266CB1"/>
    <w:rsid w:val="0028355E"/>
    <w:rsid w:val="00290C12"/>
    <w:rsid w:val="002A55B7"/>
    <w:rsid w:val="002A61B1"/>
    <w:rsid w:val="002A6407"/>
    <w:rsid w:val="002B6FC3"/>
    <w:rsid w:val="002C1202"/>
    <w:rsid w:val="002C17BB"/>
    <w:rsid w:val="002D0421"/>
    <w:rsid w:val="002D34DA"/>
    <w:rsid w:val="002D5AE3"/>
    <w:rsid w:val="002D6B38"/>
    <w:rsid w:val="002E6FF7"/>
    <w:rsid w:val="002E764E"/>
    <w:rsid w:val="002F17FD"/>
    <w:rsid w:val="002F1CDB"/>
    <w:rsid w:val="002F5045"/>
    <w:rsid w:val="0030091C"/>
    <w:rsid w:val="003020A5"/>
    <w:rsid w:val="003109EF"/>
    <w:rsid w:val="00312792"/>
    <w:rsid w:val="00324E55"/>
    <w:rsid w:val="00326302"/>
    <w:rsid w:val="00327C59"/>
    <w:rsid w:val="00331BA4"/>
    <w:rsid w:val="003332ED"/>
    <w:rsid w:val="003336B3"/>
    <w:rsid w:val="00335B9A"/>
    <w:rsid w:val="00336A30"/>
    <w:rsid w:val="00345777"/>
    <w:rsid w:val="00354B6F"/>
    <w:rsid w:val="0035550D"/>
    <w:rsid w:val="00356E51"/>
    <w:rsid w:val="003648FC"/>
    <w:rsid w:val="003671B6"/>
    <w:rsid w:val="00374F9B"/>
    <w:rsid w:val="003753A2"/>
    <w:rsid w:val="0038307E"/>
    <w:rsid w:val="00390095"/>
    <w:rsid w:val="0039019F"/>
    <w:rsid w:val="00393191"/>
    <w:rsid w:val="003954AE"/>
    <w:rsid w:val="0039569C"/>
    <w:rsid w:val="003A09DA"/>
    <w:rsid w:val="003A5C3F"/>
    <w:rsid w:val="003A7E41"/>
    <w:rsid w:val="003A7E4D"/>
    <w:rsid w:val="003C1261"/>
    <w:rsid w:val="003D24F8"/>
    <w:rsid w:val="003D31E6"/>
    <w:rsid w:val="003D3CD2"/>
    <w:rsid w:val="003D7A77"/>
    <w:rsid w:val="003E14D0"/>
    <w:rsid w:val="003F3D85"/>
    <w:rsid w:val="003F4E12"/>
    <w:rsid w:val="003F5045"/>
    <w:rsid w:val="00403CFF"/>
    <w:rsid w:val="004051DB"/>
    <w:rsid w:val="004053D9"/>
    <w:rsid w:val="0040760C"/>
    <w:rsid w:val="00407A48"/>
    <w:rsid w:val="00410FF8"/>
    <w:rsid w:val="0041122A"/>
    <w:rsid w:val="00413EEF"/>
    <w:rsid w:val="00416BC3"/>
    <w:rsid w:val="00425E75"/>
    <w:rsid w:val="00432568"/>
    <w:rsid w:val="004342F1"/>
    <w:rsid w:val="0044090B"/>
    <w:rsid w:val="00452A51"/>
    <w:rsid w:val="00464D0A"/>
    <w:rsid w:val="00471C49"/>
    <w:rsid w:val="004744CC"/>
    <w:rsid w:val="00474F1D"/>
    <w:rsid w:val="0048538E"/>
    <w:rsid w:val="00485C32"/>
    <w:rsid w:val="004971A3"/>
    <w:rsid w:val="004B1BAE"/>
    <w:rsid w:val="004C7973"/>
    <w:rsid w:val="004D1171"/>
    <w:rsid w:val="004D236E"/>
    <w:rsid w:val="004E03E1"/>
    <w:rsid w:val="004E3749"/>
    <w:rsid w:val="00500167"/>
    <w:rsid w:val="00511FA3"/>
    <w:rsid w:val="00515715"/>
    <w:rsid w:val="0053675B"/>
    <w:rsid w:val="00545EF7"/>
    <w:rsid w:val="00555B95"/>
    <w:rsid w:val="00557268"/>
    <w:rsid w:val="00571C8A"/>
    <w:rsid w:val="0058157A"/>
    <w:rsid w:val="00587A47"/>
    <w:rsid w:val="00590E16"/>
    <w:rsid w:val="00597602"/>
    <w:rsid w:val="005A0DBE"/>
    <w:rsid w:val="005A281C"/>
    <w:rsid w:val="005B17CB"/>
    <w:rsid w:val="005B61C0"/>
    <w:rsid w:val="005C1BB8"/>
    <w:rsid w:val="005C1D19"/>
    <w:rsid w:val="005C2345"/>
    <w:rsid w:val="005C57A1"/>
    <w:rsid w:val="005C719E"/>
    <w:rsid w:val="005D028C"/>
    <w:rsid w:val="005D3B22"/>
    <w:rsid w:val="005E5830"/>
    <w:rsid w:val="005F3323"/>
    <w:rsid w:val="005F4126"/>
    <w:rsid w:val="005F693A"/>
    <w:rsid w:val="006068F0"/>
    <w:rsid w:val="0061134B"/>
    <w:rsid w:val="00613831"/>
    <w:rsid w:val="00617101"/>
    <w:rsid w:val="0062023D"/>
    <w:rsid w:val="00622E0E"/>
    <w:rsid w:val="00623FA8"/>
    <w:rsid w:val="006307C9"/>
    <w:rsid w:val="00635D47"/>
    <w:rsid w:val="00645748"/>
    <w:rsid w:val="00646102"/>
    <w:rsid w:val="0065467B"/>
    <w:rsid w:val="00654E41"/>
    <w:rsid w:val="00663715"/>
    <w:rsid w:val="006852BF"/>
    <w:rsid w:val="00690C9B"/>
    <w:rsid w:val="00691AF7"/>
    <w:rsid w:val="00692A09"/>
    <w:rsid w:val="00696C8A"/>
    <w:rsid w:val="006A0C6C"/>
    <w:rsid w:val="006A32C3"/>
    <w:rsid w:val="006A4A1B"/>
    <w:rsid w:val="006B1EF6"/>
    <w:rsid w:val="006B28F1"/>
    <w:rsid w:val="006B5D7B"/>
    <w:rsid w:val="006C71DC"/>
    <w:rsid w:val="006D1FDF"/>
    <w:rsid w:val="006E144F"/>
    <w:rsid w:val="006E1A84"/>
    <w:rsid w:val="006E28B8"/>
    <w:rsid w:val="006E30B6"/>
    <w:rsid w:val="00702B4A"/>
    <w:rsid w:val="007110BA"/>
    <w:rsid w:val="00711387"/>
    <w:rsid w:val="007202A8"/>
    <w:rsid w:val="00724167"/>
    <w:rsid w:val="0072503B"/>
    <w:rsid w:val="0073566D"/>
    <w:rsid w:val="007369B8"/>
    <w:rsid w:val="00740364"/>
    <w:rsid w:val="00744F17"/>
    <w:rsid w:val="0076114E"/>
    <w:rsid w:val="00763E88"/>
    <w:rsid w:val="00767943"/>
    <w:rsid w:val="00767AEB"/>
    <w:rsid w:val="0077028B"/>
    <w:rsid w:val="007748B1"/>
    <w:rsid w:val="0077574D"/>
    <w:rsid w:val="00780085"/>
    <w:rsid w:val="0078309A"/>
    <w:rsid w:val="0079277E"/>
    <w:rsid w:val="007A0301"/>
    <w:rsid w:val="007B2E24"/>
    <w:rsid w:val="007B7942"/>
    <w:rsid w:val="007C3F88"/>
    <w:rsid w:val="007E0DA6"/>
    <w:rsid w:val="007E21BD"/>
    <w:rsid w:val="007E767D"/>
    <w:rsid w:val="007F2A4B"/>
    <w:rsid w:val="007F50A6"/>
    <w:rsid w:val="007F6669"/>
    <w:rsid w:val="00800B6D"/>
    <w:rsid w:val="00807B72"/>
    <w:rsid w:val="00822245"/>
    <w:rsid w:val="008226AF"/>
    <w:rsid w:val="008256E5"/>
    <w:rsid w:val="00831402"/>
    <w:rsid w:val="00837A4F"/>
    <w:rsid w:val="00850D76"/>
    <w:rsid w:val="00851841"/>
    <w:rsid w:val="00852AA7"/>
    <w:rsid w:val="00854B24"/>
    <w:rsid w:val="00857137"/>
    <w:rsid w:val="0086411B"/>
    <w:rsid w:val="00877422"/>
    <w:rsid w:val="00886178"/>
    <w:rsid w:val="00887E3D"/>
    <w:rsid w:val="0089040D"/>
    <w:rsid w:val="008919BE"/>
    <w:rsid w:val="0089458B"/>
    <w:rsid w:val="00896952"/>
    <w:rsid w:val="008A37AE"/>
    <w:rsid w:val="008B2BBE"/>
    <w:rsid w:val="008C0726"/>
    <w:rsid w:val="008C3381"/>
    <w:rsid w:val="008C35F8"/>
    <w:rsid w:val="008C5887"/>
    <w:rsid w:val="008D0B38"/>
    <w:rsid w:val="008D2912"/>
    <w:rsid w:val="008D6A4E"/>
    <w:rsid w:val="008F1881"/>
    <w:rsid w:val="008F314D"/>
    <w:rsid w:val="00904859"/>
    <w:rsid w:val="00905704"/>
    <w:rsid w:val="009123D3"/>
    <w:rsid w:val="009145DC"/>
    <w:rsid w:val="00915F18"/>
    <w:rsid w:val="00943616"/>
    <w:rsid w:val="00945DD2"/>
    <w:rsid w:val="00945FEC"/>
    <w:rsid w:val="00952911"/>
    <w:rsid w:val="0095519B"/>
    <w:rsid w:val="0096043F"/>
    <w:rsid w:val="00962027"/>
    <w:rsid w:val="009625A0"/>
    <w:rsid w:val="009753C3"/>
    <w:rsid w:val="00980A05"/>
    <w:rsid w:val="00981B6C"/>
    <w:rsid w:val="00997741"/>
    <w:rsid w:val="009A5B64"/>
    <w:rsid w:val="009B465F"/>
    <w:rsid w:val="009B674E"/>
    <w:rsid w:val="009B6EB2"/>
    <w:rsid w:val="009D4188"/>
    <w:rsid w:val="009E62CA"/>
    <w:rsid w:val="009F3AB8"/>
    <w:rsid w:val="009F499D"/>
    <w:rsid w:val="00A06EE5"/>
    <w:rsid w:val="00A10725"/>
    <w:rsid w:val="00A10ACD"/>
    <w:rsid w:val="00A1459E"/>
    <w:rsid w:val="00A221DD"/>
    <w:rsid w:val="00A23B89"/>
    <w:rsid w:val="00A24596"/>
    <w:rsid w:val="00A249A6"/>
    <w:rsid w:val="00A24D9E"/>
    <w:rsid w:val="00A256A1"/>
    <w:rsid w:val="00A4493D"/>
    <w:rsid w:val="00A469D4"/>
    <w:rsid w:val="00A47902"/>
    <w:rsid w:val="00A5765C"/>
    <w:rsid w:val="00A57DB3"/>
    <w:rsid w:val="00A621DD"/>
    <w:rsid w:val="00A63A92"/>
    <w:rsid w:val="00A65DE8"/>
    <w:rsid w:val="00A72151"/>
    <w:rsid w:val="00A74A20"/>
    <w:rsid w:val="00A85212"/>
    <w:rsid w:val="00A927F5"/>
    <w:rsid w:val="00A94CDA"/>
    <w:rsid w:val="00AA3C6E"/>
    <w:rsid w:val="00AB0732"/>
    <w:rsid w:val="00AB5F3E"/>
    <w:rsid w:val="00AB7098"/>
    <w:rsid w:val="00AC20BF"/>
    <w:rsid w:val="00AC278A"/>
    <w:rsid w:val="00AC6FCA"/>
    <w:rsid w:val="00AD2731"/>
    <w:rsid w:val="00AE206C"/>
    <w:rsid w:val="00AE2FF9"/>
    <w:rsid w:val="00AE3388"/>
    <w:rsid w:val="00AF2E22"/>
    <w:rsid w:val="00AF5DEB"/>
    <w:rsid w:val="00AF6CD1"/>
    <w:rsid w:val="00B037A9"/>
    <w:rsid w:val="00B20086"/>
    <w:rsid w:val="00B22E18"/>
    <w:rsid w:val="00B2463B"/>
    <w:rsid w:val="00B24D06"/>
    <w:rsid w:val="00B26DED"/>
    <w:rsid w:val="00B27A97"/>
    <w:rsid w:val="00B43D10"/>
    <w:rsid w:val="00B4507C"/>
    <w:rsid w:val="00B46BC3"/>
    <w:rsid w:val="00B6233C"/>
    <w:rsid w:val="00B67E85"/>
    <w:rsid w:val="00B719FD"/>
    <w:rsid w:val="00B8066E"/>
    <w:rsid w:val="00B80C23"/>
    <w:rsid w:val="00B873A0"/>
    <w:rsid w:val="00B91B87"/>
    <w:rsid w:val="00B947CB"/>
    <w:rsid w:val="00B95D17"/>
    <w:rsid w:val="00BA2873"/>
    <w:rsid w:val="00BA37E2"/>
    <w:rsid w:val="00BA5B65"/>
    <w:rsid w:val="00BA74D7"/>
    <w:rsid w:val="00BB1440"/>
    <w:rsid w:val="00BB4345"/>
    <w:rsid w:val="00BB736F"/>
    <w:rsid w:val="00BC0760"/>
    <w:rsid w:val="00BC0B5F"/>
    <w:rsid w:val="00BC45E0"/>
    <w:rsid w:val="00BC625E"/>
    <w:rsid w:val="00BC692B"/>
    <w:rsid w:val="00BC781C"/>
    <w:rsid w:val="00BC7D94"/>
    <w:rsid w:val="00BD47B5"/>
    <w:rsid w:val="00BD6681"/>
    <w:rsid w:val="00BE515B"/>
    <w:rsid w:val="00BF0692"/>
    <w:rsid w:val="00BF715C"/>
    <w:rsid w:val="00BF7FC6"/>
    <w:rsid w:val="00C1070C"/>
    <w:rsid w:val="00C10C9D"/>
    <w:rsid w:val="00C11A36"/>
    <w:rsid w:val="00C2769E"/>
    <w:rsid w:val="00C30DE4"/>
    <w:rsid w:val="00C432FB"/>
    <w:rsid w:val="00C57EFA"/>
    <w:rsid w:val="00C61930"/>
    <w:rsid w:val="00C61AE6"/>
    <w:rsid w:val="00C676FC"/>
    <w:rsid w:val="00C730AF"/>
    <w:rsid w:val="00C75698"/>
    <w:rsid w:val="00C832EA"/>
    <w:rsid w:val="00C8583E"/>
    <w:rsid w:val="00C8606C"/>
    <w:rsid w:val="00C87DAC"/>
    <w:rsid w:val="00C90172"/>
    <w:rsid w:val="00CA2560"/>
    <w:rsid w:val="00CA7707"/>
    <w:rsid w:val="00CB1E2B"/>
    <w:rsid w:val="00CB47D0"/>
    <w:rsid w:val="00CC4BB1"/>
    <w:rsid w:val="00CC6536"/>
    <w:rsid w:val="00CD026F"/>
    <w:rsid w:val="00CD3233"/>
    <w:rsid w:val="00CD54C2"/>
    <w:rsid w:val="00CF30C5"/>
    <w:rsid w:val="00CF5725"/>
    <w:rsid w:val="00CF573C"/>
    <w:rsid w:val="00D04287"/>
    <w:rsid w:val="00D074D5"/>
    <w:rsid w:val="00D07B79"/>
    <w:rsid w:val="00D10CE8"/>
    <w:rsid w:val="00D270A9"/>
    <w:rsid w:val="00D27A5C"/>
    <w:rsid w:val="00D379C3"/>
    <w:rsid w:val="00D53965"/>
    <w:rsid w:val="00D53C55"/>
    <w:rsid w:val="00D55552"/>
    <w:rsid w:val="00D659AF"/>
    <w:rsid w:val="00D66320"/>
    <w:rsid w:val="00D66821"/>
    <w:rsid w:val="00D71D50"/>
    <w:rsid w:val="00D736CC"/>
    <w:rsid w:val="00D830EE"/>
    <w:rsid w:val="00D86B07"/>
    <w:rsid w:val="00D918AD"/>
    <w:rsid w:val="00D9512F"/>
    <w:rsid w:val="00D952CA"/>
    <w:rsid w:val="00D95964"/>
    <w:rsid w:val="00DA48F3"/>
    <w:rsid w:val="00DA621E"/>
    <w:rsid w:val="00DC7740"/>
    <w:rsid w:val="00DD1423"/>
    <w:rsid w:val="00DF15FB"/>
    <w:rsid w:val="00DF1A40"/>
    <w:rsid w:val="00E00E53"/>
    <w:rsid w:val="00E07445"/>
    <w:rsid w:val="00E110C8"/>
    <w:rsid w:val="00E15CDC"/>
    <w:rsid w:val="00E15FBD"/>
    <w:rsid w:val="00E22911"/>
    <w:rsid w:val="00E240AE"/>
    <w:rsid w:val="00E24BAE"/>
    <w:rsid w:val="00E2730C"/>
    <w:rsid w:val="00E27B27"/>
    <w:rsid w:val="00E34012"/>
    <w:rsid w:val="00E400D1"/>
    <w:rsid w:val="00E47329"/>
    <w:rsid w:val="00E622A4"/>
    <w:rsid w:val="00E63764"/>
    <w:rsid w:val="00E655CF"/>
    <w:rsid w:val="00E72B83"/>
    <w:rsid w:val="00E7400C"/>
    <w:rsid w:val="00E76CB2"/>
    <w:rsid w:val="00E84251"/>
    <w:rsid w:val="00E84C3D"/>
    <w:rsid w:val="00E959C4"/>
    <w:rsid w:val="00E9736B"/>
    <w:rsid w:val="00EA0321"/>
    <w:rsid w:val="00EA3E57"/>
    <w:rsid w:val="00EA650F"/>
    <w:rsid w:val="00EB6E77"/>
    <w:rsid w:val="00EC25C6"/>
    <w:rsid w:val="00ED1C32"/>
    <w:rsid w:val="00EE69AD"/>
    <w:rsid w:val="00F0310A"/>
    <w:rsid w:val="00F04E64"/>
    <w:rsid w:val="00F120C8"/>
    <w:rsid w:val="00F12ADC"/>
    <w:rsid w:val="00F1347E"/>
    <w:rsid w:val="00F20331"/>
    <w:rsid w:val="00F23290"/>
    <w:rsid w:val="00F27D79"/>
    <w:rsid w:val="00F3242A"/>
    <w:rsid w:val="00F400CD"/>
    <w:rsid w:val="00F43A67"/>
    <w:rsid w:val="00F47936"/>
    <w:rsid w:val="00F5338E"/>
    <w:rsid w:val="00F7256B"/>
    <w:rsid w:val="00F80FEC"/>
    <w:rsid w:val="00F872C7"/>
    <w:rsid w:val="00F90C6F"/>
    <w:rsid w:val="00F934AD"/>
    <w:rsid w:val="00F96403"/>
    <w:rsid w:val="00FA1C69"/>
    <w:rsid w:val="00FA5A87"/>
    <w:rsid w:val="00FB10B9"/>
    <w:rsid w:val="00FB28A7"/>
    <w:rsid w:val="00FB530A"/>
    <w:rsid w:val="00FC0A07"/>
    <w:rsid w:val="00FC7A6A"/>
    <w:rsid w:val="00FD1125"/>
    <w:rsid w:val="00FD4466"/>
    <w:rsid w:val="00FE04E9"/>
    <w:rsid w:val="00FE0E6A"/>
    <w:rsid w:val="00FE1D43"/>
    <w:rsid w:val="00FE1D5F"/>
    <w:rsid w:val="00FE5638"/>
    <w:rsid w:val="00FE612C"/>
    <w:rsid w:val="00FE7DED"/>
    <w:rsid w:val="00FF2BB9"/>
    <w:rsid w:val="00FF2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B8D39"/>
  <w15:chartTrackingRefBased/>
  <w15:docId w15:val="{511EF078-7BB9-45FC-87D2-8C9AAB6FB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10BE"/>
    <w:rPr>
      <w:rFonts w:ascii="Ping LCG" w:hAnsi="Ping LCG" w:cs="Times New Roman (Body CS)"/>
    </w:rPr>
  </w:style>
  <w:style w:type="paragraph" w:styleId="1">
    <w:name w:val="heading 1"/>
    <w:basedOn w:val="a"/>
    <w:next w:val="a"/>
    <w:link w:val="1Char"/>
    <w:autoRedefine/>
    <w:uiPriority w:val="9"/>
    <w:qFormat/>
    <w:rsid w:val="000E10BE"/>
    <w:pPr>
      <w:keepNext/>
      <w:keepLines/>
      <w:spacing w:before="240"/>
      <w:outlineLvl w:val="0"/>
    </w:pPr>
    <w:rPr>
      <w:rFonts w:eastAsiaTheme="majorEastAsia" w:cstheme="majorBidi"/>
      <w:color w:val="2F5496" w:themeColor="accent1" w:themeShade="BF"/>
      <w:sz w:val="32"/>
      <w:szCs w:val="32"/>
    </w:rPr>
  </w:style>
  <w:style w:type="paragraph" w:styleId="2">
    <w:name w:val="heading 2"/>
    <w:basedOn w:val="a"/>
    <w:next w:val="a"/>
    <w:link w:val="2Char"/>
    <w:uiPriority w:val="9"/>
    <w:semiHidden/>
    <w:unhideWhenUsed/>
    <w:qFormat/>
    <w:rsid w:val="000E10BE"/>
    <w:pPr>
      <w:keepNext/>
      <w:keepLines/>
      <w:spacing w:before="40"/>
      <w:outlineLvl w:val="1"/>
    </w:pPr>
    <w:rPr>
      <w:rFonts w:eastAsiaTheme="majorEastAsia"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autoRedefine/>
    <w:uiPriority w:val="10"/>
    <w:qFormat/>
    <w:rsid w:val="000E10BE"/>
    <w:pPr>
      <w:contextualSpacing/>
    </w:pPr>
    <w:rPr>
      <w:rFonts w:eastAsiaTheme="majorEastAsia" w:cstheme="majorBidi"/>
      <w:spacing w:val="-10"/>
      <w:kern w:val="28"/>
      <w:sz w:val="56"/>
      <w:szCs w:val="56"/>
    </w:rPr>
  </w:style>
  <w:style w:type="character" w:customStyle="1" w:styleId="Char">
    <w:name w:val="Τίτλος Char"/>
    <w:basedOn w:val="a0"/>
    <w:link w:val="a3"/>
    <w:uiPriority w:val="10"/>
    <w:rsid w:val="000E10BE"/>
    <w:rPr>
      <w:rFonts w:ascii="Ping LCG" w:eastAsiaTheme="majorEastAsia" w:hAnsi="Ping LCG" w:cstheme="majorBidi"/>
      <w:spacing w:val="-10"/>
      <w:kern w:val="28"/>
      <w:sz w:val="56"/>
      <w:szCs w:val="56"/>
    </w:rPr>
  </w:style>
  <w:style w:type="character" w:customStyle="1" w:styleId="1Char">
    <w:name w:val="Επικεφαλίδα 1 Char"/>
    <w:basedOn w:val="a0"/>
    <w:link w:val="1"/>
    <w:uiPriority w:val="9"/>
    <w:rsid w:val="000E10BE"/>
    <w:rPr>
      <w:rFonts w:ascii="Ping LCG" w:eastAsiaTheme="majorEastAsia" w:hAnsi="Ping LCG" w:cstheme="majorBidi"/>
      <w:color w:val="2F5496" w:themeColor="accent1" w:themeShade="BF"/>
      <w:sz w:val="32"/>
      <w:szCs w:val="32"/>
    </w:rPr>
  </w:style>
  <w:style w:type="character" w:customStyle="1" w:styleId="2Char">
    <w:name w:val="Επικεφαλίδα 2 Char"/>
    <w:basedOn w:val="a0"/>
    <w:link w:val="2"/>
    <w:uiPriority w:val="9"/>
    <w:semiHidden/>
    <w:rsid w:val="000E10BE"/>
    <w:rPr>
      <w:rFonts w:ascii="Ping LCG" w:eastAsiaTheme="majorEastAsia" w:hAnsi="Ping LCG" w:cstheme="majorBidi"/>
      <w:color w:val="2F5496" w:themeColor="accent1" w:themeShade="BF"/>
      <w:sz w:val="26"/>
      <w:szCs w:val="26"/>
    </w:rPr>
  </w:style>
  <w:style w:type="paragraph" w:styleId="a4">
    <w:name w:val="Subtitle"/>
    <w:basedOn w:val="a"/>
    <w:next w:val="a"/>
    <w:link w:val="Char0"/>
    <w:autoRedefine/>
    <w:uiPriority w:val="11"/>
    <w:qFormat/>
    <w:rsid w:val="000E10BE"/>
    <w:pPr>
      <w:numPr>
        <w:ilvl w:val="1"/>
      </w:numPr>
      <w:spacing w:after="160"/>
    </w:pPr>
    <w:rPr>
      <w:rFonts w:eastAsiaTheme="minorEastAsia" w:cstheme="minorBidi"/>
      <w:color w:val="5A5A5A" w:themeColor="text1" w:themeTint="A5"/>
      <w:spacing w:val="15"/>
      <w:sz w:val="22"/>
      <w:szCs w:val="22"/>
    </w:rPr>
  </w:style>
  <w:style w:type="character" w:customStyle="1" w:styleId="Char0">
    <w:name w:val="Υπότιτλος Char"/>
    <w:basedOn w:val="a0"/>
    <w:link w:val="a4"/>
    <w:uiPriority w:val="11"/>
    <w:rsid w:val="000E10BE"/>
    <w:rPr>
      <w:rFonts w:ascii="Ping LCG" w:eastAsiaTheme="minorEastAsia" w:hAnsi="Ping LCG"/>
      <w:color w:val="5A5A5A" w:themeColor="text1" w:themeTint="A5"/>
      <w:spacing w:val="15"/>
      <w:sz w:val="22"/>
      <w:szCs w:val="22"/>
    </w:rPr>
  </w:style>
  <w:style w:type="character" w:styleId="a5">
    <w:name w:val="Subtle Emphasis"/>
    <w:basedOn w:val="a0"/>
    <w:uiPriority w:val="19"/>
    <w:qFormat/>
    <w:rsid w:val="000E10BE"/>
    <w:rPr>
      <w:rFonts w:ascii="Ping LCG" w:hAnsi="Ping LCG"/>
      <w:i/>
      <w:iCs/>
      <w:color w:val="404040" w:themeColor="text1" w:themeTint="BF"/>
    </w:rPr>
  </w:style>
  <w:style w:type="character" w:styleId="a6">
    <w:name w:val="Book Title"/>
    <w:basedOn w:val="a0"/>
    <w:uiPriority w:val="33"/>
    <w:qFormat/>
    <w:rsid w:val="000E10BE"/>
    <w:rPr>
      <w:rFonts w:ascii="Ping LCG" w:hAnsi="Ping LCG"/>
      <w:b/>
      <w:bCs/>
      <w:i/>
      <w:iCs/>
      <w:spacing w:val="5"/>
    </w:rPr>
  </w:style>
  <w:style w:type="character" w:styleId="a7">
    <w:name w:val="Intense Reference"/>
    <w:basedOn w:val="a0"/>
    <w:uiPriority w:val="32"/>
    <w:qFormat/>
    <w:rsid w:val="000E10BE"/>
    <w:rPr>
      <w:rFonts w:ascii="Ping LCG" w:hAnsi="Ping LCG"/>
      <w:b/>
      <w:bCs/>
      <w:smallCaps/>
      <w:color w:val="4472C4" w:themeColor="accent1"/>
      <w:spacing w:val="5"/>
    </w:rPr>
  </w:style>
  <w:style w:type="character" w:styleId="a8">
    <w:name w:val="Subtle Reference"/>
    <w:basedOn w:val="a0"/>
    <w:uiPriority w:val="31"/>
    <w:qFormat/>
    <w:rsid w:val="000E10BE"/>
    <w:rPr>
      <w:rFonts w:ascii="Ping LCG" w:hAnsi="Ping LCG"/>
      <w:smallCaps/>
      <w:color w:val="5A5A5A" w:themeColor="text1" w:themeTint="A5"/>
    </w:rPr>
  </w:style>
  <w:style w:type="character" w:styleId="a9">
    <w:name w:val="Strong"/>
    <w:basedOn w:val="a0"/>
    <w:uiPriority w:val="22"/>
    <w:qFormat/>
    <w:rsid w:val="000E10BE"/>
    <w:rPr>
      <w:rFonts w:ascii="Ping LCG" w:hAnsi="Ping LCG"/>
      <w:b/>
      <w:bCs/>
    </w:rPr>
  </w:style>
  <w:style w:type="paragraph" w:styleId="aa">
    <w:name w:val="Quote"/>
    <w:basedOn w:val="a"/>
    <w:next w:val="a"/>
    <w:link w:val="Char1"/>
    <w:uiPriority w:val="29"/>
    <w:qFormat/>
    <w:rsid w:val="000E10BE"/>
    <w:pPr>
      <w:spacing w:before="200" w:after="160"/>
      <w:ind w:left="864" w:right="864"/>
      <w:jc w:val="center"/>
    </w:pPr>
    <w:rPr>
      <w:i/>
      <w:iCs/>
      <w:color w:val="404040" w:themeColor="text1" w:themeTint="BF"/>
    </w:rPr>
  </w:style>
  <w:style w:type="character" w:customStyle="1" w:styleId="Char1">
    <w:name w:val="Απόσπασμα Char"/>
    <w:basedOn w:val="a0"/>
    <w:link w:val="aa"/>
    <w:uiPriority w:val="29"/>
    <w:rsid w:val="000E10BE"/>
    <w:rPr>
      <w:rFonts w:ascii="Ping LCG" w:hAnsi="Ping LCG" w:cs="Times New Roman (Body CS)"/>
      <w:i/>
      <w:iCs/>
      <w:color w:val="404040" w:themeColor="text1" w:themeTint="BF"/>
    </w:rPr>
  </w:style>
  <w:style w:type="paragraph" w:styleId="ab">
    <w:name w:val="Intense Quote"/>
    <w:basedOn w:val="a"/>
    <w:next w:val="a"/>
    <w:link w:val="Char2"/>
    <w:uiPriority w:val="30"/>
    <w:qFormat/>
    <w:rsid w:val="000E10B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2">
    <w:name w:val="Έντονο απόσπ. Char"/>
    <w:basedOn w:val="a0"/>
    <w:link w:val="ab"/>
    <w:uiPriority w:val="30"/>
    <w:rsid w:val="000E10BE"/>
    <w:rPr>
      <w:rFonts w:ascii="Ping LCG" w:hAnsi="Ping LCG" w:cs="Times New Roman (Body CS)"/>
      <w:i/>
      <w:iCs/>
      <w:color w:val="4472C4" w:themeColor="accent1"/>
    </w:rPr>
  </w:style>
  <w:style w:type="character" w:styleId="ac">
    <w:name w:val="Emphasis"/>
    <w:basedOn w:val="a0"/>
    <w:uiPriority w:val="20"/>
    <w:qFormat/>
    <w:rsid w:val="000E10BE"/>
    <w:rPr>
      <w:rFonts w:ascii="Ping LCG" w:hAnsi="Ping LCG"/>
      <w:i/>
      <w:iCs/>
    </w:rPr>
  </w:style>
  <w:style w:type="character" w:styleId="ad">
    <w:name w:val="Intense Emphasis"/>
    <w:basedOn w:val="a0"/>
    <w:uiPriority w:val="21"/>
    <w:qFormat/>
    <w:rsid w:val="000E10BE"/>
    <w:rPr>
      <w:rFonts w:ascii="Ping LCG" w:hAnsi="Ping LCG"/>
      <w:i/>
      <w:iCs/>
      <w:color w:val="4472C4" w:themeColor="accent1"/>
    </w:rPr>
  </w:style>
  <w:style w:type="paragraph" w:styleId="ae">
    <w:name w:val="header"/>
    <w:basedOn w:val="a"/>
    <w:link w:val="Char3"/>
    <w:uiPriority w:val="99"/>
    <w:unhideWhenUsed/>
    <w:rsid w:val="000E10BE"/>
    <w:pPr>
      <w:tabs>
        <w:tab w:val="center" w:pos="4680"/>
        <w:tab w:val="right" w:pos="9360"/>
      </w:tabs>
    </w:pPr>
  </w:style>
  <w:style w:type="character" w:customStyle="1" w:styleId="Char3">
    <w:name w:val="Κεφαλίδα Char"/>
    <w:basedOn w:val="a0"/>
    <w:link w:val="ae"/>
    <w:uiPriority w:val="99"/>
    <w:rsid w:val="000E10BE"/>
    <w:rPr>
      <w:rFonts w:ascii="Ping LCG" w:hAnsi="Ping LCG" w:cs="Times New Roman (Body CS)"/>
    </w:rPr>
  </w:style>
  <w:style w:type="paragraph" w:styleId="af">
    <w:name w:val="footer"/>
    <w:basedOn w:val="a"/>
    <w:link w:val="Char4"/>
    <w:uiPriority w:val="99"/>
    <w:unhideWhenUsed/>
    <w:rsid w:val="000E10BE"/>
    <w:pPr>
      <w:tabs>
        <w:tab w:val="center" w:pos="4680"/>
        <w:tab w:val="right" w:pos="9360"/>
      </w:tabs>
    </w:pPr>
  </w:style>
  <w:style w:type="character" w:customStyle="1" w:styleId="Char4">
    <w:name w:val="Υποσέλιδο Char"/>
    <w:basedOn w:val="a0"/>
    <w:link w:val="af"/>
    <w:uiPriority w:val="99"/>
    <w:rsid w:val="000E10BE"/>
    <w:rPr>
      <w:rFonts w:ascii="Ping LCG" w:hAnsi="Ping LCG" w:cs="Times New Roman (Body CS)"/>
    </w:rPr>
  </w:style>
  <w:style w:type="table" w:styleId="af0">
    <w:name w:val="Table Grid"/>
    <w:basedOn w:val="a1"/>
    <w:uiPriority w:val="39"/>
    <w:rsid w:val="00BB4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A249A6"/>
    <w:pPr>
      <w:ind w:left="720"/>
      <w:contextualSpacing/>
    </w:pPr>
    <w:rPr>
      <w:rFonts w:ascii="Times New Roman" w:eastAsia="Times New Roman" w:hAnsi="Times New Roman" w:cs="Times New Roman"/>
      <w:lang w:val="el-GR" w:eastAsia="el-GR"/>
    </w:rPr>
  </w:style>
  <w:style w:type="paragraph" w:customStyle="1" w:styleId="Default">
    <w:name w:val="Default"/>
    <w:rsid w:val="00A249A6"/>
    <w:pPr>
      <w:autoSpaceDE w:val="0"/>
      <w:autoSpaceDN w:val="0"/>
      <w:adjustRightInd w:val="0"/>
    </w:pPr>
    <w:rPr>
      <w:rFonts w:ascii="Calibri" w:hAnsi="Calibri" w:cs="Calibri"/>
      <w:color w:val="000000"/>
      <w:lang w:val="el-GR"/>
    </w:rPr>
  </w:style>
  <w:style w:type="character" w:styleId="-">
    <w:name w:val="Hyperlink"/>
    <w:basedOn w:val="a0"/>
    <w:uiPriority w:val="99"/>
    <w:unhideWhenUsed/>
    <w:rsid w:val="00A249A6"/>
    <w:rPr>
      <w:color w:val="0563C1" w:themeColor="hyperlink"/>
      <w:u w:val="single"/>
    </w:rPr>
  </w:style>
  <w:style w:type="character" w:styleId="af2">
    <w:name w:val="Unresolved Mention"/>
    <w:basedOn w:val="a0"/>
    <w:uiPriority w:val="99"/>
    <w:semiHidden/>
    <w:unhideWhenUsed/>
    <w:rsid w:val="00A249A6"/>
    <w:rPr>
      <w:color w:val="605E5C"/>
      <w:shd w:val="clear" w:color="auto" w:fill="E1DFDD"/>
    </w:rPr>
  </w:style>
  <w:style w:type="paragraph" w:styleId="af3">
    <w:name w:val="Balloon Text"/>
    <w:basedOn w:val="a"/>
    <w:link w:val="Char5"/>
    <w:uiPriority w:val="99"/>
    <w:semiHidden/>
    <w:unhideWhenUsed/>
    <w:rsid w:val="00173777"/>
    <w:rPr>
      <w:rFonts w:ascii="Segoe UI" w:hAnsi="Segoe UI" w:cs="Segoe UI"/>
      <w:sz w:val="18"/>
      <w:szCs w:val="18"/>
    </w:rPr>
  </w:style>
  <w:style w:type="character" w:customStyle="1" w:styleId="Char5">
    <w:name w:val="Κείμενο πλαισίου Char"/>
    <w:basedOn w:val="a0"/>
    <w:link w:val="af3"/>
    <w:uiPriority w:val="99"/>
    <w:semiHidden/>
    <w:rsid w:val="00173777"/>
    <w:rPr>
      <w:rFonts w:ascii="Segoe UI" w:hAnsi="Segoe UI" w:cs="Segoe UI"/>
      <w:sz w:val="18"/>
      <w:szCs w:val="18"/>
    </w:rPr>
  </w:style>
  <w:style w:type="character" w:styleId="af4">
    <w:name w:val="annotation reference"/>
    <w:basedOn w:val="a0"/>
    <w:uiPriority w:val="99"/>
    <w:semiHidden/>
    <w:unhideWhenUsed/>
    <w:rsid w:val="002F17FD"/>
    <w:rPr>
      <w:sz w:val="16"/>
      <w:szCs w:val="16"/>
    </w:rPr>
  </w:style>
  <w:style w:type="paragraph" w:styleId="af5">
    <w:name w:val="annotation text"/>
    <w:basedOn w:val="a"/>
    <w:link w:val="Char6"/>
    <w:uiPriority w:val="99"/>
    <w:semiHidden/>
    <w:unhideWhenUsed/>
    <w:rsid w:val="002F17FD"/>
    <w:rPr>
      <w:sz w:val="20"/>
      <w:szCs w:val="20"/>
    </w:rPr>
  </w:style>
  <w:style w:type="character" w:customStyle="1" w:styleId="Char6">
    <w:name w:val="Κείμενο σχολίου Char"/>
    <w:basedOn w:val="a0"/>
    <w:link w:val="af5"/>
    <w:uiPriority w:val="99"/>
    <w:semiHidden/>
    <w:rsid w:val="002F17FD"/>
    <w:rPr>
      <w:rFonts w:ascii="Ping LCG" w:hAnsi="Ping LCG" w:cs="Times New Roman (Body CS)"/>
      <w:sz w:val="20"/>
      <w:szCs w:val="20"/>
    </w:rPr>
  </w:style>
  <w:style w:type="paragraph" w:styleId="af6">
    <w:name w:val="annotation subject"/>
    <w:basedOn w:val="af5"/>
    <w:next w:val="af5"/>
    <w:link w:val="Char7"/>
    <w:uiPriority w:val="99"/>
    <w:semiHidden/>
    <w:unhideWhenUsed/>
    <w:rsid w:val="002F17FD"/>
    <w:rPr>
      <w:b/>
      <w:bCs/>
    </w:rPr>
  </w:style>
  <w:style w:type="character" w:customStyle="1" w:styleId="Char7">
    <w:name w:val="Θέμα σχολίου Char"/>
    <w:basedOn w:val="Char6"/>
    <w:link w:val="af6"/>
    <w:uiPriority w:val="99"/>
    <w:semiHidden/>
    <w:rsid w:val="002F17FD"/>
    <w:rPr>
      <w:rFonts w:ascii="Ping LCG" w:hAnsi="Ping LCG" w:cs="Times New Roman (Body CS)"/>
      <w:b/>
      <w:bCs/>
      <w:sz w:val="20"/>
      <w:szCs w:val="20"/>
    </w:rPr>
  </w:style>
  <w:style w:type="paragraph" w:styleId="af7">
    <w:name w:val="Revision"/>
    <w:hidden/>
    <w:uiPriority w:val="99"/>
    <w:semiHidden/>
    <w:rsid w:val="002F17FD"/>
    <w:rPr>
      <w:rFonts w:ascii="Ping LCG" w:hAnsi="Ping LCG" w:cs="Times New Roman (Body CS)"/>
    </w:rPr>
  </w:style>
  <w:style w:type="paragraph" w:styleId="af8">
    <w:name w:val="footnote text"/>
    <w:basedOn w:val="a"/>
    <w:link w:val="Char8"/>
    <w:uiPriority w:val="99"/>
    <w:semiHidden/>
    <w:unhideWhenUsed/>
    <w:rsid w:val="00FE7DED"/>
    <w:rPr>
      <w:sz w:val="20"/>
      <w:szCs w:val="20"/>
    </w:rPr>
  </w:style>
  <w:style w:type="character" w:customStyle="1" w:styleId="Char8">
    <w:name w:val="Κείμενο υποσημείωσης Char"/>
    <w:basedOn w:val="a0"/>
    <w:link w:val="af8"/>
    <w:uiPriority w:val="99"/>
    <w:semiHidden/>
    <w:rsid w:val="00FE7DED"/>
    <w:rPr>
      <w:rFonts w:ascii="Ping LCG" w:hAnsi="Ping LCG" w:cs="Times New Roman (Body CS)"/>
      <w:sz w:val="20"/>
      <w:szCs w:val="20"/>
    </w:rPr>
  </w:style>
  <w:style w:type="character" w:styleId="af9">
    <w:name w:val="footnote reference"/>
    <w:basedOn w:val="a0"/>
    <w:uiPriority w:val="99"/>
    <w:semiHidden/>
    <w:unhideWhenUsed/>
    <w:rsid w:val="00FE7D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50101">
      <w:bodyDiv w:val="1"/>
      <w:marLeft w:val="0"/>
      <w:marRight w:val="0"/>
      <w:marTop w:val="0"/>
      <w:marBottom w:val="0"/>
      <w:divBdr>
        <w:top w:val="none" w:sz="0" w:space="0" w:color="auto"/>
        <w:left w:val="none" w:sz="0" w:space="0" w:color="auto"/>
        <w:bottom w:val="none" w:sz="0" w:space="0" w:color="auto"/>
        <w:right w:val="none" w:sz="0" w:space="0" w:color="auto"/>
      </w:divBdr>
    </w:div>
    <w:div w:id="473371395">
      <w:bodyDiv w:val="1"/>
      <w:marLeft w:val="0"/>
      <w:marRight w:val="0"/>
      <w:marTop w:val="0"/>
      <w:marBottom w:val="0"/>
      <w:divBdr>
        <w:top w:val="none" w:sz="0" w:space="0" w:color="auto"/>
        <w:left w:val="none" w:sz="0" w:space="0" w:color="auto"/>
        <w:bottom w:val="none" w:sz="0" w:space="0" w:color="auto"/>
        <w:right w:val="none" w:sz="0" w:space="0" w:color="auto"/>
      </w:divBdr>
    </w:div>
    <w:div w:id="660236966">
      <w:bodyDiv w:val="1"/>
      <w:marLeft w:val="0"/>
      <w:marRight w:val="0"/>
      <w:marTop w:val="0"/>
      <w:marBottom w:val="0"/>
      <w:divBdr>
        <w:top w:val="none" w:sz="0" w:space="0" w:color="auto"/>
        <w:left w:val="none" w:sz="0" w:space="0" w:color="auto"/>
        <w:bottom w:val="none" w:sz="0" w:space="0" w:color="auto"/>
        <w:right w:val="none" w:sz="0" w:space="0" w:color="auto"/>
      </w:divBdr>
    </w:div>
    <w:div w:id="699428838">
      <w:bodyDiv w:val="1"/>
      <w:marLeft w:val="0"/>
      <w:marRight w:val="0"/>
      <w:marTop w:val="0"/>
      <w:marBottom w:val="0"/>
      <w:divBdr>
        <w:top w:val="none" w:sz="0" w:space="0" w:color="auto"/>
        <w:left w:val="none" w:sz="0" w:space="0" w:color="auto"/>
        <w:bottom w:val="none" w:sz="0" w:space="0" w:color="auto"/>
        <w:right w:val="none" w:sz="0" w:space="0" w:color="auto"/>
      </w:divBdr>
    </w:div>
    <w:div w:id="769356194">
      <w:bodyDiv w:val="1"/>
      <w:marLeft w:val="0"/>
      <w:marRight w:val="0"/>
      <w:marTop w:val="0"/>
      <w:marBottom w:val="0"/>
      <w:divBdr>
        <w:top w:val="none" w:sz="0" w:space="0" w:color="auto"/>
        <w:left w:val="none" w:sz="0" w:space="0" w:color="auto"/>
        <w:bottom w:val="none" w:sz="0" w:space="0" w:color="auto"/>
        <w:right w:val="none" w:sz="0" w:space="0" w:color="auto"/>
      </w:divBdr>
    </w:div>
    <w:div w:id="1034816461">
      <w:bodyDiv w:val="1"/>
      <w:marLeft w:val="0"/>
      <w:marRight w:val="0"/>
      <w:marTop w:val="0"/>
      <w:marBottom w:val="0"/>
      <w:divBdr>
        <w:top w:val="none" w:sz="0" w:space="0" w:color="auto"/>
        <w:left w:val="none" w:sz="0" w:space="0" w:color="auto"/>
        <w:bottom w:val="none" w:sz="0" w:space="0" w:color="auto"/>
        <w:right w:val="none" w:sz="0" w:space="0" w:color="auto"/>
      </w:divBdr>
    </w:div>
    <w:div w:id="1063985980">
      <w:bodyDiv w:val="1"/>
      <w:marLeft w:val="0"/>
      <w:marRight w:val="0"/>
      <w:marTop w:val="0"/>
      <w:marBottom w:val="0"/>
      <w:divBdr>
        <w:top w:val="none" w:sz="0" w:space="0" w:color="auto"/>
        <w:left w:val="none" w:sz="0" w:space="0" w:color="auto"/>
        <w:bottom w:val="none" w:sz="0" w:space="0" w:color="auto"/>
        <w:right w:val="none" w:sz="0" w:space="0" w:color="auto"/>
      </w:divBdr>
      <w:divsChild>
        <w:div w:id="107311080">
          <w:marLeft w:val="547"/>
          <w:marRight w:val="0"/>
          <w:marTop w:val="0"/>
          <w:marBottom w:val="200"/>
          <w:divBdr>
            <w:top w:val="none" w:sz="0" w:space="0" w:color="auto"/>
            <w:left w:val="none" w:sz="0" w:space="0" w:color="auto"/>
            <w:bottom w:val="none" w:sz="0" w:space="0" w:color="auto"/>
            <w:right w:val="none" w:sz="0" w:space="0" w:color="auto"/>
          </w:divBdr>
        </w:div>
      </w:divsChild>
    </w:div>
    <w:div w:id="1165707547">
      <w:bodyDiv w:val="1"/>
      <w:marLeft w:val="0"/>
      <w:marRight w:val="0"/>
      <w:marTop w:val="0"/>
      <w:marBottom w:val="0"/>
      <w:divBdr>
        <w:top w:val="none" w:sz="0" w:space="0" w:color="auto"/>
        <w:left w:val="none" w:sz="0" w:space="0" w:color="auto"/>
        <w:bottom w:val="none" w:sz="0" w:space="0" w:color="auto"/>
        <w:right w:val="none" w:sz="0" w:space="0" w:color="auto"/>
      </w:divBdr>
    </w:div>
    <w:div w:id="1187906504">
      <w:bodyDiv w:val="1"/>
      <w:marLeft w:val="0"/>
      <w:marRight w:val="0"/>
      <w:marTop w:val="0"/>
      <w:marBottom w:val="0"/>
      <w:divBdr>
        <w:top w:val="none" w:sz="0" w:space="0" w:color="auto"/>
        <w:left w:val="none" w:sz="0" w:space="0" w:color="auto"/>
        <w:bottom w:val="none" w:sz="0" w:space="0" w:color="auto"/>
        <w:right w:val="none" w:sz="0" w:space="0" w:color="auto"/>
      </w:divBdr>
    </w:div>
    <w:div w:id="1280062805">
      <w:bodyDiv w:val="1"/>
      <w:marLeft w:val="0"/>
      <w:marRight w:val="0"/>
      <w:marTop w:val="0"/>
      <w:marBottom w:val="0"/>
      <w:divBdr>
        <w:top w:val="none" w:sz="0" w:space="0" w:color="auto"/>
        <w:left w:val="none" w:sz="0" w:space="0" w:color="auto"/>
        <w:bottom w:val="none" w:sz="0" w:space="0" w:color="auto"/>
        <w:right w:val="none" w:sz="0" w:space="0" w:color="auto"/>
      </w:divBdr>
    </w:div>
    <w:div w:id="1432117443">
      <w:bodyDiv w:val="1"/>
      <w:marLeft w:val="0"/>
      <w:marRight w:val="0"/>
      <w:marTop w:val="0"/>
      <w:marBottom w:val="0"/>
      <w:divBdr>
        <w:top w:val="none" w:sz="0" w:space="0" w:color="auto"/>
        <w:left w:val="none" w:sz="0" w:space="0" w:color="auto"/>
        <w:bottom w:val="none" w:sz="0" w:space="0" w:color="auto"/>
        <w:right w:val="none" w:sz="0" w:space="0" w:color="auto"/>
      </w:divBdr>
    </w:div>
    <w:div w:id="1588491341">
      <w:bodyDiv w:val="1"/>
      <w:marLeft w:val="0"/>
      <w:marRight w:val="0"/>
      <w:marTop w:val="0"/>
      <w:marBottom w:val="0"/>
      <w:divBdr>
        <w:top w:val="none" w:sz="0" w:space="0" w:color="auto"/>
        <w:left w:val="none" w:sz="0" w:space="0" w:color="auto"/>
        <w:bottom w:val="none" w:sz="0" w:space="0" w:color="auto"/>
        <w:right w:val="none" w:sz="0" w:space="0" w:color="auto"/>
      </w:divBdr>
    </w:div>
    <w:div w:id="1877549142">
      <w:bodyDiv w:val="1"/>
      <w:marLeft w:val="0"/>
      <w:marRight w:val="0"/>
      <w:marTop w:val="0"/>
      <w:marBottom w:val="0"/>
      <w:divBdr>
        <w:top w:val="none" w:sz="0" w:space="0" w:color="auto"/>
        <w:left w:val="none" w:sz="0" w:space="0" w:color="auto"/>
        <w:bottom w:val="none" w:sz="0" w:space="0" w:color="auto"/>
        <w:right w:val="none" w:sz="0" w:space="0" w:color="auto"/>
      </w:divBdr>
    </w:div>
    <w:div w:id="2005469848">
      <w:bodyDiv w:val="1"/>
      <w:marLeft w:val="0"/>
      <w:marRight w:val="0"/>
      <w:marTop w:val="0"/>
      <w:marBottom w:val="0"/>
      <w:divBdr>
        <w:top w:val="none" w:sz="0" w:space="0" w:color="auto"/>
        <w:left w:val="none" w:sz="0" w:space="0" w:color="auto"/>
        <w:bottom w:val="none" w:sz="0" w:space="0" w:color="auto"/>
        <w:right w:val="none" w:sz="0" w:space="0" w:color="auto"/>
      </w:divBdr>
    </w:div>
    <w:div w:id="2085953214">
      <w:bodyDiv w:val="1"/>
      <w:marLeft w:val="0"/>
      <w:marRight w:val="0"/>
      <w:marTop w:val="0"/>
      <w:marBottom w:val="0"/>
      <w:divBdr>
        <w:top w:val="none" w:sz="0" w:space="0" w:color="auto"/>
        <w:left w:val="none" w:sz="0" w:space="0" w:color="auto"/>
        <w:bottom w:val="none" w:sz="0" w:space="0" w:color="auto"/>
        <w:right w:val="none" w:sz="0" w:space="0" w:color="auto"/>
      </w:divBdr>
    </w:div>
    <w:div w:id="212365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yperlink" Target="http://www.dei.g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mailto:e.hatzakis@dei.com.gr"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EBDA4-8202-4B2C-84F5-8848164A4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2573</Words>
  <Characters>13896</Characters>
  <Application>Microsoft Office Word</Application>
  <DocSecurity>0</DocSecurity>
  <Lines>115</Lines>
  <Paragraphs>32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Peggy</cp:lastModifiedBy>
  <cp:revision>3</cp:revision>
  <cp:lastPrinted>2021-04-17T08:09:00Z</cp:lastPrinted>
  <dcterms:created xsi:type="dcterms:W3CDTF">2021-04-20T14:39:00Z</dcterms:created>
  <dcterms:modified xsi:type="dcterms:W3CDTF">2021-04-20T14:39:00Z</dcterms:modified>
</cp:coreProperties>
</file>