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81" w:rsidRPr="00EE40A0" w:rsidRDefault="00B721F7">
      <w:pPr>
        <w:rPr>
          <w:rFonts w:ascii="Segoe UI" w:hAnsi="Segoe UI" w:cs="Segoe UI"/>
          <w:color w:val="000000"/>
          <w:sz w:val="21"/>
          <w:szCs w:val="21"/>
          <w:lang w:val="en-US"/>
        </w:rPr>
      </w:pPr>
      <w:r>
        <w:rPr>
          <w:noProof/>
          <w:lang w:eastAsia="el-GR"/>
        </w:rPr>
        <w:drawing>
          <wp:anchor distT="0" distB="0" distL="114300" distR="114300" simplePos="0" relativeHeight="251676160" behindDoc="0" locked="0" layoutInCell="1" allowOverlap="1">
            <wp:simplePos x="0" y="0"/>
            <wp:positionH relativeFrom="column">
              <wp:posOffset>5242399</wp:posOffset>
            </wp:positionH>
            <wp:positionV relativeFrom="paragraph">
              <wp:posOffset>-154305</wp:posOffset>
            </wp:positionV>
            <wp:extent cx="1212215" cy="695960"/>
            <wp:effectExtent l="0" t="0" r="6985" b="8890"/>
            <wp:wrapNone/>
            <wp:docPr id="1878171020" name="Picture 187817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215" cy="695960"/>
                    </a:xfrm>
                    <a:prstGeom prst="rect">
                      <a:avLst/>
                    </a:prstGeom>
                    <a:noFill/>
                  </pic:spPr>
                </pic:pic>
              </a:graphicData>
            </a:graphic>
          </wp:anchor>
        </w:drawing>
      </w:r>
      <w:r w:rsidR="00C00739" w:rsidRPr="00C00739">
        <w:rPr>
          <w:rFonts w:ascii="Segoe UI" w:hAnsi="Segoe UI" w:cs="Segoe UI"/>
          <w:noProof/>
          <w:lang w:eastAsia="el-GR"/>
        </w:rPr>
        <w:pict>
          <v:rect id="Rectangle 3" o:spid="_x0000_s1026" style="position:absolute;margin-left:-42.55pt;margin-top:3.6pt;width:163.85pt;height:120.5pt;z-index:251645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" fillcolor="#007382" stroked="f" strokeweight="1pt">
            <v:path arrowok="t"/>
          </v:rect>
        </w:pict>
      </w:r>
      <w:r w:rsidR="00C00739" w:rsidRPr="00C00739">
        <w:rPr>
          <w:rFonts w:ascii="Segoe UI" w:hAnsi="Segoe UI" w:cs="Segoe UI"/>
          <w:noProof/>
          <w:lang w:eastAsia="el-GR"/>
        </w:rPr>
        <w:pict>
          <v:rect id="Rectangle 28" o:spid="_x0000_s1067" style="position:absolute;margin-left:-42.45pt;margin-top:-5.2pt;width:89.2pt;height:24pt;z-index:2516485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" fillcolor="#00b2c6" stroked="f" strokeweight="1pt">
            <v:path arrowok="t"/>
          </v:rect>
        </w:pict>
      </w:r>
    </w:p>
    <w:p w:rsidR="000765E8" w:rsidRPr="00EE40A0" w:rsidRDefault="00C00739" w:rsidP="000765E8">
      <w:pPr>
        <w:pStyle w:val="body"/>
        <w:rPr>
          <w:rFonts w:ascii="Segoe UI" w:hAnsi="Segoe UI" w:cs="Segoe UI"/>
          <w:lang w:val="en-US"/>
        </w:rPr>
      </w:pPr>
      <w:r>
        <w:rPr>
          <w:rFonts w:ascii="Segoe UI" w:hAnsi="Segoe UI" w:cs="Segoe UI"/>
          <w:noProof/>
          <w:lang w:eastAsia="el-GR"/>
        </w:rPr>
        <w:pict>
          <v:shapetype id="_x0000_t202" coordsize="21600,21600" o:spt="202" path="m,l,21600r21600,l21600,xe">
            <v:stroke joinstyle="miter"/>
            <v:path gradientshapeok="t" o:connecttype="rect"/>
          </v:shapetype>
          <v:shape id="Text Box 1" o:spid="_x0000_s1066" type="#_x0000_t202" style="position:absolute;left:0;text-align:left;margin-left:-17.8pt;margin-top:14.5pt;width:125.45pt;height:101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" filled="f" stroked="f" strokeweight=".5pt">
            <v:path arrowok="t"/>
            <v:textbox inset="0,,0">
              <w:txbxContent>
                <w:p w:rsidR="003B131A" w:rsidRPr="00F81F11" w:rsidRDefault="003B131A" w:rsidP="000765E8">
                  <w:pPr>
                    <w:spacing w:line="460" w:lineRule="exact"/>
                    <w:jc w:val="right"/>
                    <w:rPr>
                      <w:b/>
                      <w:bCs/>
                      <w:color w:val="FFFFFF" w:themeColor="background1"/>
                      <w:sz w:val="40"/>
                      <w:szCs w:val="40"/>
                    </w:rPr>
                  </w:pPr>
                  <w:r>
                    <w:rPr>
                      <w:b/>
                      <w:bCs/>
                      <w:color w:val="CDEEF1"/>
                      <w:sz w:val="40"/>
                      <w:szCs w:val="40"/>
                    </w:rPr>
                    <w:t>Όμιλος ΕΤΕ</w:t>
                  </w:r>
                </w:p>
                <w:p w:rsidR="003B131A" w:rsidRPr="00F81F11" w:rsidRDefault="003B131A" w:rsidP="000765E8">
                  <w:pPr>
                    <w:spacing w:line="460" w:lineRule="exact"/>
                    <w:jc w:val="right"/>
                    <w:rPr>
                      <w:b/>
                      <w:bCs/>
                      <w:color w:val="FFFFFF" w:themeColor="background1"/>
                      <w:sz w:val="44"/>
                      <w:szCs w:val="44"/>
                    </w:rPr>
                  </w:pPr>
                  <w:r>
                    <w:rPr>
                      <w:b/>
                      <w:bCs/>
                      <w:color w:val="FFFFFF" w:themeColor="background1"/>
                      <w:sz w:val="36"/>
                      <w:szCs w:val="36"/>
                    </w:rPr>
                    <w:t xml:space="preserve">Αποτελέσματα </w:t>
                  </w:r>
                  <w:r>
                    <w:rPr>
                      <w:b/>
                      <w:bCs/>
                      <w:color w:val="FFFFFF" w:themeColor="background1"/>
                      <w:sz w:val="36"/>
                      <w:szCs w:val="36"/>
                      <w:lang w:val="en-US"/>
                    </w:rPr>
                    <w:t>B</w:t>
                  </w:r>
                  <w:r>
                    <w:rPr>
                      <w:b/>
                      <w:bCs/>
                      <w:color w:val="FFFFFF" w:themeColor="background1"/>
                      <w:sz w:val="36"/>
                      <w:szCs w:val="36"/>
                    </w:rPr>
                    <w:t>’ τριμήνου 20</w:t>
                  </w:r>
                  <w:r w:rsidRPr="002607A2">
                    <w:rPr>
                      <w:b/>
                      <w:bCs/>
                      <w:color w:val="FFFFFF" w:themeColor="background1"/>
                      <w:sz w:val="36"/>
                      <w:szCs w:val="36"/>
                    </w:rPr>
                    <w:t>20</w:t>
                  </w:r>
                  <w:r>
                    <w:rPr>
                      <w:b/>
                      <w:bCs/>
                      <w:color w:val="FFFFFF" w:themeColor="background1"/>
                      <w:sz w:val="36"/>
                      <w:szCs w:val="36"/>
                    </w:rPr>
                    <w:t xml:space="preserve"> </w:t>
                  </w:r>
                </w:p>
              </w:txbxContent>
            </v:textbox>
          </v:shape>
        </w:pict>
      </w:r>
      <w:r w:rsidRPr="00C00739">
        <w:rPr>
          <w:rFonts w:ascii="Segoe UI" w:hAnsi="Segoe UI" w:cs="Segoe UI"/>
          <w:noProof/>
          <w:color w:val="646464"/>
          <w:lang w:eastAsia="el-GR"/>
        </w:rPr>
        <w:pict>
          <v:shape id="Text Box 60" o:spid="_x0000_s1027" type="#_x0000_t202" style="position:absolute;left:0;text-align:left;margin-left:125.3pt;margin-top:71.85pt;width:311.6pt;height:38.1pt;z-index:251651584;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" filled="f" stroked="f" strokeweight=".5pt">
            <v:path arrowok="t"/>
            <v:textbox>
              <w:txbxContent>
                <w:p w:rsidR="003B131A" w:rsidRPr="00F81F11" w:rsidRDefault="003B131A" w:rsidP="008E0A91">
                  <w:pPr>
                    <w:rPr>
                      <w:rFonts w:ascii="Calibri" w:hAnsi="Calibri"/>
                      <w:color w:val="00AFC3"/>
                      <w:sz w:val="52"/>
                      <w:szCs w:val="52"/>
                    </w:rPr>
                  </w:pPr>
                  <w:r>
                    <w:rPr>
                      <w:rFonts w:ascii="Calibri" w:hAnsi="Calibri"/>
                      <w:b/>
                      <w:color w:val="00AFC3"/>
                      <w:sz w:val="52"/>
                      <w:szCs w:val="52"/>
                    </w:rPr>
                    <w:t>ΔΕΛΤΙΟ ΤΥΠΟΥ</w:t>
                  </w:r>
                </w:p>
              </w:txbxContent>
            </v:textbox>
            <w10:wrap anchory="page"/>
          </v:shape>
        </w:pict>
      </w:r>
    </w:p>
    <w:p w:rsidR="000765E8" w:rsidRPr="00EE40A0" w:rsidRDefault="000765E8" w:rsidP="000765E8">
      <w:pPr>
        <w:pStyle w:val="body"/>
        <w:rPr>
          <w:rFonts w:ascii="Segoe UI" w:hAnsi="Segoe UI" w:cs="Segoe UI"/>
          <w:lang w:val="en-US"/>
        </w:rPr>
      </w:pPr>
    </w:p>
    <w:p w:rsidR="000765E8" w:rsidRPr="00EE40A0" w:rsidRDefault="00C00739" w:rsidP="000765E8">
      <w:pPr>
        <w:pStyle w:val="body"/>
        <w:rPr>
          <w:rFonts w:ascii="Segoe UI" w:hAnsi="Segoe UI" w:cs="Segoe UI"/>
          <w:lang w:val="en-US"/>
        </w:rPr>
      </w:pPr>
      <w:r>
        <w:rPr>
          <w:rFonts w:ascii="Segoe UI" w:hAnsi="Segoe UI" w:cs="Segoe UI"/>
          <w:noProof/>
          <w:lang w:eastAsia="el-GR"/>
        </w:rPr>
        <w:pict>
          <v:shape id="Text Box 2" o:spid="_x0000_s1028" type="#_x0000_t202" style="position:absolute;left:0;text-align:left;margin-left:132.6pt;margin-top:.2pt;width:351.75pt;height:67.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" filled="f" stroked="f" strokeweight=".5pt">
            <v:path arrowok="t"/>
            <v:textbox inset="0,,0">
              <w:txbxContent>
                <w:p w:rsidR="003B131A" w:rsidRPr="00D63B45" w:rsidRDefault="003B131A" w:rsidP="008E0A91">
                  <w:pPr>
                    <w:rPr>
                      <w:color w:val="007180"/>
                      <w:sz w:val="33"/>
                      <w:szCs w:val="33"/>
                    </w:rPr>
                  </w:pPr>
                  <w:r w:rsidRPr="00D63B45">
                    <w:rPr>
                      <w:color w:val="007180"/>
                      <w:sz w:val="33"/>
                      <w:szCs w:val="33"/>
                    </w:rPr>
                    <w:t>Η ανθεκτικότητα των λειτουργικών αποτελεσμάτων της Τράπεζας απορρόφησε το σοκ της πανδημίας του κορωνοϊού κατά το Β’ τρίμηνο 2020</w:t>
                  </w: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Default="00D63B45" w:rsidP="008E0A91">
                  <w:pPr>
                    <w:rPr>
                      <w:color w:val="007180"/>
                      <w:sz w:val="34"/>
                      <w:szCs w:val="34"/>
                    </w:rPr>
                  </w:pPr>
                </w:p>
                <w:p w:rsidR="00D63B45" w:rsidRPr="00D63B45" w:rsidRDefault="00D63B45" w:rsidP="008E0A91">
                  <w:pPr>
                    <w:rPr>
                      <w:color w:val="007180"/>
                      <w:sz w:val="34"/>
                      <w:szCs w:val="34"/>
                    </w:rPr>
                  </w:pPr>
                </w:p>
              </w:txbxContent>
            </v:textbox>
          </v:shape>
        </w:pict>
      </w:r>
    </w:p>
    <w:p w:rsidR="000765E8" w:rsidRPr="00EE40A0" w:rsidRDefault="000765E8" w:rsidP="000765E8">
      <w:pPr>
        <w:pStyle w:val="body"/>
        <w:rPr>
          <w:rFonts w:ascii="Segoe UI" w:hAnsi="Segoe UI" w:cs="Segoe UI"/>
          <w:lang w:val="en-US"/>
        </w:rPr>
      </w:pPr>
    </w:p>
    <w:p w:rsidR="000765E8" w:rsidRPr="00EE40A0" w:rsidRDefault="00C00739" w:rsidP="000765E8">
      <w:pPr>
        <w:pStyle w:val="body"/>
        <w:rPr>
          <w:rFonts w:ascii="Segoe UI" w:hAnsi="Segoe UI" w:cs="Segoe UI"/>
          <w:lang w:val="en-US"/>
        </w:rPr>
      </w:pPr>
      <w:r>
        <w:rPr>
          <w:rFonts w:ascii="Segoe UI" w:hAnsi="Segoe UI" w:cs="Segoe UI"/>
          <w:noProof/>
          <w:lang w:eastAsia="el-GR"/>
        </w:rPr>
        <w:pict>
          <v:rect id="Rectangle 1878171023" o:spid="_x0000_s1065" style="position:absolute;left:0;text-align:left;margin-left:10.1pt;margin-top:2.35pt;width:110.9pt;height:35.05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" fillcolor="#ffc001" stroked="f" strokeweight="1pt">
            <v:path arrowok="t"/>
          </v:rect>
        </w:pict>
      </w:r>
    </w:p>
    <w:p w:rsidR="000765E8" w:rsidRPr="00EE40A0" w:rsidRDefault="000765E8" w:rsidP="000765E8">
      <w:pPr>
        <w:pStyle w:val="body"/>
        <w:rPr>
          <w:rFonts w:ascii="Segoe UI" w:hAnsi="Segoe UI" w:cs="Segoe UI"/>
          <w:lang w:val="en-US"/>
        </w:rPr>
      </w:pPr>
    </w:p>
    <w:p w:rsidR="000765E8" w:rsidRPr="00B721F7" w:rsidRDefault="000765E8" w:rsidP="000765E8">
      <w:pPr>
        <w:pStyle w:val="body"/>
        <w:rPr>
          <w:rFonts w:ascii="Segoe UI" w:hAnsi="Segoe UI" w:cs="Segoe UI"/>
          <w:sz w:val="2"/>
          <w:szCs w:val="6"/>
          <w:lang w:val="en-US"/>
        </w:rPr>
      </w:pPr>
    </w:p>
    <w:p w:rsidR="0061399D" w:rsidRDefault="00C00739" w:rsidP="00D11BCD">
      <w:pPr>
        <w:pStyle w:val="body"/>
        <w:rPr>
          <w:rFonts w:ascii="Segoe UI" w:hAnsi="Segoe UI" w:cs="Segoe UI"/>
        </w:rPr>
      </w:pPr>
      <w:r>
        <w:rPr>
          <w:rFonts w:ascii="Segoe UI" w:hAnsi="Segoe UI" w:cs="Segoe UI"/>
          <w:noProof/>
          <w:lang w:eastAsia="el-GR"/>
        </w:rPr>
      </w:r>
      <w:r>
        <w:rPr>
          <w:rFonts w:ascii="Segoe UI" w:hAnsi="Segoe UI" w:cs="Segoe UI"/>
          <w:noProof/>
          <w:lang w:eastAsia="el-GR"/>
        </w:rPr>
        <w:pict>
          <v:shape id="Text Box 3" o:spid="_x0000_s1064" type="#_x0000_t202" style="width:509.6pt;height:591pt;visibility:visible;mso-position-horizontal-relative:char;mso-position-vertical-relative:line" fillcolor="#f1f1f1" stroked="f">
            <v:fill opacity="58853f"/>
            <v:textbox>
              <w:txbxContent>
                <w:p w:rsidR="003B131A" w:rsidRPr="007C5F0D" w:rsidRDefault="003B131A" w:rsidP="007C5F0D">
                  <w:pPr>
                    <w:pStyle w:val="a7"/>
                    <w:numPr>
                      <w:ilvl w:val="0"/>
                      <w:numId w:val="6"/>
                    </w:numPr>
                    <w:spacing w:before="120" w:after="0" w:line="276" w:lineRule="auto"/>
                    <w:jc w:val="left"/>
                    <w:rPr>
                      <w:rFonts w:ascii="Segoe UI" w:hAnsi="Segoe UI" w:cs="Segoe UI"/>
                      <w:b/>
                      <w:sz w:val="16"/>
                      <w:szCs w:val="16"/>
                    </w:rPr>
                  </w:pPr>
                  <w:r w:rsidRPr="007C5F0D">
                    <w:rPr>
                      <w:rFonts w:ascii="Segoe UI" w:hAnsi="Segoe UI" w:cs="Segoe UI"/>
                      <w:b/>
                      <w:sz w:val="16"/>
                      <w:szCs w:val="16"/>
                    </w:rPr>
                    <w:t xml:space="preserve">Η ΕΤΕ παραμένει προσηλωμένη στην προάσπιση της ασφάλειας και την </w:t>
                  </w:r>
                  <w:r>
                    <w:rPr>
                      <w:rFonts w:ascii="Segoe UI" w:hAnsi="Segoe UI" w:cs="Segoe UI"/>
                      <w:b/>
                      <w:sz w:val="16"/>
                      <w:szCs w:val="16"/>
                    </w:rPr>
                    <w:t>απρόσκοπτη συνέχιση</w:t>
                  </w:r>
                  <w:r w:rsidRPr="007C5F0D">
                    <w:rPr>
                      <w:rFonts w:ascii="Segoe UI" w:hAnsi="Segoe UI" w:cs="Segoe UI"/>
                      <w:b/>
                      <w:sz w:val="16"/>
                      <w:szCs w:val="16"/>
                    </w:rPr>
                    <w:t xml:space="preserve"> των λειτουργιών</w:t>
                  </w:r>
                  <w:r w:rsidRPr="00E25209">
                    <w:rPr>
                      <w:rFonts w:ascii="Segoe UI" w:hAnsi="Segoe UI" w:cs="Segoe UI"/>
                      <w:b/>
                      <w:sz w:val="16"/>
                      <w:szCs w:val="16"/>
                    </w:rPr>
                    <w:t xml:space="preserve"> </w:t>
                  </w:r>
                  <w:r>
                    <w:rPr>
                      <w:rFonts w:ascii="Segoe UI" w:hAnsi="Segoe UI" w:cs="Segoe UI"/>
                      <w:b/>
                      <w:sz w:val="16"/>
                      <w:szCs w:val="16"/>
                    </w:rPr>
                    <w:t>της Τράπεζας</w:t>
                  </w:r>
                  <w:r w:rsidRPr="007C5F0D">
                    <w:rPr>
                      <w:rFonts w:ascii="Segoe UI" w:hAnsi="Segoe UI" w:cs="Segoe UI"/>
                      <w:b/>
                      <w:sz w:val="16"/>
                      <w:szCs w:val="16"/>
                    </w:rPr>
                    <w:t xml:space="preserve">, στην επιτάχυνση του ψηφιακού μετασχηματισμού, καθώς και στην παροχή στήριξης σε </w:t>
                  </w:r>
                  <w:r>
                    <w:rPr>
                      <w:rFonts w:ascii="Segoe UI" w:hAnsi="Segoe UI" w:cs="Segoe UI"/>
                      <w:b/>
                      <w:sz w:val="16"/>
                      <w:szCs w:val="16"/>
                    </w:rPr>
                    <w:t>επιχειρήσεις</w:t>
                  </w:r>
                  <w:r w:rsidRPr="007C5F0D">
                    <w:rPr>
                      <w:rFonts w:ascii="Segoe UI" w:hAnsi="Segoe UI" w:cs="Segoe UI"/>
                      <w:b/>
                      <w:sz w:val="16"/>
                      <w:szCs w:val="16"/>
                    </w:rPr>
                    <w:t xml:space="preserve"> και νοικοκυριά</w:t>
                  </w:r>
                </w:p>
                <w:p w:rsidR="003B131A" w:rsidRPr="001F6149" w:rsidRDefault="003B131A" w:rsidP="000347D0">
                  <w:pPr>
                    <w:numPr>
                      <w:ilvl w:val="1"/>
                      <w:numId w:val="6"/>
                    </w:numPr>
                    <w:spacing w:before="80"/>
                    <w:ind w:left="641" w:hanging="357"/>
                    <w:rPr>
                      <w:rFonts w:ascii="Segoe UI" w:hAnsi="Segoe UI" w:cs="Segoe UI"/>
                      <w:sz w:val="16"/>
                      <w:szCs w:val="16"/>
                    </w:rPr>
                  </w:pPr>
                  <w:r>
                    <w:rPr>
                      <w:rFonts w:ascii="Segoe UI" w:hAnsi="Segoe UI" w:cs="Segoe UI"/>
                      <w:sz w:val="16"/>
                      <w:szCs w:val="16"/>
                    </w:rPr>
                    <w:t>Τα μέτρα διευκόλυνσης</w:t>
                  </w:r>
                  <w:r w:rsidRPr="001F6149">
                    <w:rPr>
                      <w:rFonts w:ascii="Segoe UI" w:hAnsi="Segoe UI" w:cs="Segoe UI"/>
                      <w:sz w:val="16"/>
                      <w:szCs w:val="16"/>
                    </w:rPr>
                    <w:t xml:space="preserve"> </w:t>
                  </w:r>
                  <w:r>
                    <w:rPr>
                      <w:rFonts w:ascii="Segoe UI" w:hAnsi="Segoe UI" w:cs="Segoe UI"/>
                      <w:sz w:val="16"/>
                      <w:szCs w:val="16"/>
                    </w:rPr>
                    <w:t xml:space="preserve">καταβολής οφειλών </w:t>
                  </w:r>
                  <w:r w:rsidRPr="001F6149">
                    <w:rPr>
                      <w:rFonts w:ascii="Segoe UI" w:hAnsi="Segoe UI" w:cs="Segoe UI"/>
                      <w:sz w:val="16"/>
                      <w:szCs w:val="16"/>
                    </w:rPr>
                    <w:t>επιχειρήσε</w:t>
                  </w:r>
                  <w:r>
                    <w:rPr>
                      <w:rFonts w:ascii="Segoe UI" w:hAnsi="Segoe UI" w:cs="Segoe UI"/>
                      <w:sz w:val="16"/>
                      <w:szCs w:val="16"/>
                    </w:rPr>
                    <w:t xml:space="preserve">ων </w:t>
                  </w:r>
                  <w:r w:rsidRPr="001F6149">
                    <w:rPr>
                      <w:rFonts w:ascii="Segoe UI" w:hAnsi="Segoe UI" w:cs="Segoe UI"/>
                      <w:sz w:val="16"/>
                      <w:szCs w:val="16"/>
                    </w:rPr>
                    <w:t xml:space="preserve">και </w:t>
                  </w:r>
                  <w:r>
                    <w:rPr>
                      <w:rFonts w:ascii="Segoe UI" w:hAnsi="Segoe UI" w:cs="Segoe UI"/>
                      <w:sz w:val="16"/>
                      <w:szCs w:val="16"/>
                    </w:rPr>
                    <w:t>φυσικών προσώπων έχουν ως αποτέλεσμα την υποβολή περίπου</w:t>
                  </w:r>
                  <w:r w:rsidRPr="001F6149">
                    <w:rPr>
                      <w:rFonts w:ascii="Segoe UI" w:hAnsi="Segoe UI" w:cs="Segoe UI"/>
                      <w:sz w:val="16"/>
                      <w:szCs w:val="16"/>
                    </w:rPr>
                    <w:t xml:space="preserve"> </w:t>
                  </w:r>
                  <w:r>
                    <w:rPr>
                      <w:rFonts w:ascii="Segoe UI" w:hAnsi="Segoe UI" w:cs="Segoe UI"/>
                      <w:sz w:val="16"/>
                      <w:szCs w:val="16"/>
                    </w:rPr>
                    <w:t>3</w:t>
                  </w:r>
                  <w:r w:rsidRPr="00962F79">
                    <w:rPr>
                      <w:rFonts w:ascii="Segoe UI" w:hAnsi="Segoe UI" w:cs="Segoe UI"/>
                      <w:sz w:val="16"/>
                      <w:szCs w:val="16"/>
                    </w:rPr>
                    <w:t>9</w:t>
                  </w:r>
                  <w:r>
                    <w:rPr>
                      <w:rFonts w:ascii="Segoe UI" w:hAnsi="Segoe UI" w:cs="Segoe UI"/>
                      <w:sz w:val="16"/>
                      <w:szCs w:val="16"/>
                    </w:rPr>
                    <w:t>,5</w:t>
                  </w:r>
                  <w:r w:rsidRPr="001F6149">
                    <w:rPr>
                      <w:rFonts w:ascii="Segoe UI" w:hAnsi="Segoe UI" w:cs="Segoe UI"/>
                      <w:sz w:val="16"/>
                      <w:szCs w:val="16"/>
                    </w:rPr>
                    <w:t xml:space="preserve"> χιλ. αιτήσε</w:t>
                  </w:r>
                  <w:r>
                    <w:rPr>
                      <w:rFonts w:ascii="Segoe UI" w:hAnsi="Segoe UI" w:cs="Segoe UI"/>
                      <w:sz w:val="16"/>
                      <w:szCs w:val="16"/>
                    </w:rPr>
                    <w:t>ων</w:t>
                  </w:r>
                  <w:r w:rsidRPr="001F6149">
                    <w:rPr>
                      <w:rFonts w:ascii="Segoe UI" w:hAnsi="Segoe UI" w:cs="Segoe UI"/>
                      <w:sz w:val="16"/>
                      <w:szCs w:val="16"/>
                    </w:rPr>
                    <w:t xml:space="preserve"> που αντιστοιχούν σε υπόλοιπα δανείων ύψους περίπου</w:t>
                  </w:r>
                  <w:r w:rsidRPr="00F77879">
                    <w:rPr>
                      <w:rFonts w:ascii="Segoe UI" w:hAnsi="Segoe UI" w:cs="Segoe UI"/>
                      <w:sz w:val="16"/>
                      <w:szCs w:val="16"/>
                    </w:rPr>
                    <w:t xml:space="preserve"> </w:t>
                  </w:r>
                  <w:r>
                    <w:rPr>
                      <w:rFonts w:ascii="Segoe UI" w:hAnsi="Segoe UI" w:cs="Segoe UI"/>
                      <w:sz w:val="16"/>
                      <w:szCs w:val="16"/>
                    </w:rPr>
                    <w:t>3,5</w:t>
                  </w:r>
                  <w:r w:rsidRPr="001F6149">
                    <w:rPr>
                      <w:rFonts w:ascii="Segoe UI" w:hAnsi="Segoe UI" w:cs="Segoe UI"/>
                      <w:sz w:val="16"/>
                      <w:szCs w:val="16"/>
                    </w:rPr>
                    <w:t xml:space="preserve"> δισ. ευρώ</w:t>
                  </w:r>
                  <w:r>
                    <w:rPr>
                      <w:rFonts w:ascii="Segoe UI" w:hAnsi="Segoe UI" w:cs="Segoe UI"/>
                      <w:sz w:val="16"/>
                      <w:szCs w:val="16"/>
                    </w:rPr>
                    <w:t xml:space="preserve"> </w:t>
                  </w:r>
                  <w:r w:rsidRPr="001F6149">
                    <w:rPr>
                      <w:rFonts w:ascii="Segoe UI" w:hAnsi="Segoe UI" w:cs="Segoe UI"/>
                      <w:sz w:val="16"/>
                      <w:szCs w:val="16"/>
                    </w:rPr>
                    <w:t xml:space="preserve">μέχρι σήμερα </w:t>
                  </w:r>
                </w:p>
                <w:p w:rsidR="003B131A" w:rsidRDefault="003B131A" w:rsidP="000347D0">
                  <w:pPr>
                    <w:numPr>
                      <w:ilvl w:val="1"/>
                      <w:numId w:val="6"/>
                    </w:numPr>
                    <w:spacing w:before="80"/>
                    <w:rPr>
                      <w:rFonts w:ascii="Segoe UI" w:hAnsi="Segoe UI" w:cs="Segoe UI"/>
                      <w:sz w:val="16"/>
                      <w:szCs w:val="16"/>
                    </w:rPr>
                  </w:pPr>
                  <w:r>
                    <w:rPr>
                      <w:rFonts w:ascii="Segoe UI" w:hAnsi="Segoe UI" w:cs="Segoe UI"/>
                      <w:sz w:val="16"/>
                      <w:szCs w:val="16"/>
                    </w:rPr>
                    <w:t>Ενεργή σ</w:t>
                  </w:r>
                  <w:r w:rsidRPr="00B03621">
                    <w:rPr>
                      <w:rFonts w:ascii="Segoe UI" w:hAnsi="Segoe UI" w:cs="Segoe UI"/>
                      <w:sz w:val="16"/>
                      <w:szCs w:val="16"/>
                    </w:rPr>
                    <w:t xml:space="preserve">υμμετοχή σε όλα τα </w:t>
                  </w:r>
                  <w:r>
                    <w:rPr>
                      <w:rFonts w:ascii="Segoe UI" w:hAnsi="Segoe UI" w:cs="Segoe UI"/>
                      <w:sz w:val="16"/>
                      <w:szCs w:val="16"/>
                    </w:rPr>
                    <w:t xml:space="preserve">κυβερνητικά </w:t>
                  </w:r>
                  <w:r w:rsidRPr="00B03621">
                    <w:rPr>
                      <w:rFonts w:ascii="Segoe UI" w:hAnsi="Segoe UI" w:cs="Segoe UI"/>
                      <w:sz w:val="16"/>
                      <w:szCs w:val="16"/>
                    </w:rPr>
                    <w:t>προγράμματα στήριξης</w:t>
                  </w:r>
                  <w:r>
                    <w:rPr>
                      <w:rFonts w:ascii="Segoe UI" w:hAnsi="Segoe UI" w:cs="Segoe UI"/>
                      <w:sz w:val="16"/>
                      <w:szCs w:val="16"/>
                    </w:rPr>
                    <w:t xml:space="preserve"> για την πανδημία του κορωνοϊού</w:t>
                  </w:r>
                  <w:r w:rsidRPr="00B03621">
                    <w:rPr>
                      <w:rFonts w:ascii="Segoe UI" w:hAnsi="Segoe UI" w:cs="Segoe UI"/>
                      <w:sz w:val="16"/>
                      <w:szCs w:val="16"/>
                    </w:rPr>
                    <w:t xml:space="preserve">, συμπεριλαμβανομένου του </w:t>
                  </w:r>
                  <w:r>
                    <w:rPr>
                      <w:rFonts w:ascii="Segoe UI" w:hAnsi="Segoe UI" w:cs="Segoe UI"/>
                      <w:sz w:val="16"/>
                      <w:szCs w:val="16"/>
                    </w:rPr>
                    <w:t>ΤΕΠΙΧ-ΙΙ (περίπου 2,4</w:t>
                  </w:r>
                  <w:r w:rsidRPr="00CD253C">
                    <w:rPr>
                      <w:rFonts w:ascii="Segoe UI" w:hAnsi="Segoe UI" w:cs="Segoe UI"/>
                      <w:sz w:val="16"/>
                      <w:szCs w:val="16"/>
                    </w:rPr>
                    <w:t xml:space="preserve"> χιλ. </w:t>
                  </w:r>
                  <w:r>
                    <w:rPr>
                      <w:rFonts w:ascii="Segoe UI" w:hAnsi="Segoe UI" w:cs="Segoe UI"/>
                      <w:sz w:val="16"/>
                      <w:szCs w:val="16"/>
                    </w:rPr>
                    <w:t>πελάτες και €230 εκατ. εγκεκριμένα δάνεια από την Ελληνική Αναπτυξιακή Τράπεζα - ΕΑΤ)</w:t>
                  </w:r>
                  <w:r w:rsidRPr="00B03621">
                    <w:rPr>
                      <w:rFonts w:ascii="Segoe UI" w:hAnsi="Segoe UI" w:cs="Segoe UI"/>
                      <w:sz w:val="16"/>
                      <w:szCs w:val="16"/>
                    </w:rPr>
                    <w:t xml:space="preserve">, </w:t>
                  </w:r>
                  <w:r>
                    <w:rPr>
                      <w:rFonts w:ascii="Segoe UI" w:hAnsi="Segoe UI" w:cs="Segoe UI"/>
                      <w:sz w:val="16"/>
                      <w:szCs w:val="16"/>
                    </w:rPr>
                    <w:t xml:space="preserve">των δανείων με εγγύηση Δημοσίου </w:t>
                  </w:r>
                  <w:r w:rsidRPr="002D44B8">
                    <w:rPr>
                      <w:rFonts w:ascii="Segoe UI" w:hAnsi="Segoe UI" w:cs="Segoe UI"/>
                      <w:sz w:val="16"/>
                      <w:szCs w:val="16"/>
                    </w:rPr>
                    <w:t>για κεφάλαι</w:t>
                  </w:r>
                  <w:r>
                    <w:rPr>
                      <w:rFonts w:ascii="Segoe UI" w:hAnsi="Segoe UI" w:cs="Segoe UI"/>
                      <w:sz w:val="16"/>
                      <w:szCs w:val="16"/>
                    </w:rPr>
                    <w:t>ο</w:t>
                  </w:r>
                  <w:r w:rsidRPr="002D44B8">
                    <w:rPr>
                      <w:rFonts w:ascii="Segoe UI" w:hAnsi="Segoe UI" w:cs="Segoe UI"/>
                      <w:sz w:val="16"/>
                      <w:szCs w:val="16"/>
                    </w:rPr>
                    <w:t xml:space="preserve"> κίνησης επιχειρήσε</w:t>
                  </w:r>
                  <w:r>
                    <w:rPr>
                      <w:rFonts w:ascii="Segoe UI" w:hAnsi="Segoe UI" w:cs="Segoe UI"/>
                      <w:sz w:val="16"/>
                      <w:szCs w:val="16"/>
                    </w:rPr>
                    <w:t xml:space="preserve">ων </w:t>
                  </w:r>
                  <w:r w:rsidRPr="0035570A">
                    <w:rPr>
                      <w:rFonts w:ascii="Segoe UI" w:hAnsi="Segoe UI" w:cs="Segoe UI"/>
                      <w:sz w:val="16"/>
                      <w:szCs w:val="16"/>
                    </w:rPr>
                    <w:t>(περίπου €</w:t>
                  </w:r>
                  <w:r w:rsidRPr="004C7538">
                    <w:rPr>
                      <w:rFonts w:ascii="Segoe UI" w:hAnsi="Segoe UI" w:cs="Segoe UI"/>
                      <w:sz w:val="16"/>
                      <w:szCs w:val="16"/>
                    </w:rPr>
                    <w:t>800</w:t>
                  </w:r>
                  <w:r w:rsidRPr="0035570A">
                    <w:rPr>
                      <w:rFonts w:ascii="Segoe UI" w:hAnsi="Segoe UI" w:cs="Segoe UI"/>
                      <w:sz w:val="16"/>
                      <w:szCs w:val="16"/>
                    </w:rPr>
                    <w:t xml:space="preserve"> εκατ. εγκεκριμένα δάνεια</w:t>
                  </w:r>
                  <w:r>
                    <w:rPr>
                      <w:rFonts w:ascii="Segoe UI" w:hAnsi="Segoe UI" w:cs="Segoe UI"/>
                      <w:sz w:val="16"/>
                      <w:szCs w:val="16"/>
                    </w:rPr>
                    <w:t xml:space="preserve">, εκ των οποίων περίπου €550 εκατ. έχουν ήδη εκταμιευθεί), καθώς και </w:t>
                  </w:r>
                  <w:r w:rsidRPr="007301C3">
                    <w:rPr>
                      <w:rFonts w:ascii="Segoe UI" w:hAnsi="Segoe UI" w:cs="Segoe UI"/>
                      <w:sz w:val="16"/>
                      <w:szCs w:val="16"/>
                    </w:rPr>
                    <w:t xml:space="preserve">των δανείων </w:t>
                  </w:r>
                  <w:r>
                    <w:rPr>
                      <w:rFonts w:ascii="Segoe UI" w:hAnsi="Segoe UI" w:cs="Segoe UI"/>
                      <w:sz w:val="16"/>
                      <w:szCs w:val="16"/>
                    </w:rPr>
                    <w:t xml:space="preserve">σε επιχειρήσεις με επιδότηση επιτοκίου </w:t>
                  </w:r>
                  <w:r w:rsidRPr="00DF19A6">
                    <w:rPr>
                      <w:rFonts w:ascii="Segoe UI" w:hAnsi="Segoe UI" w:cs="Segoe UI"/>
                      <w:sz w:val="16"/>
                      <w:szCs w:val="16"/>
                    </w:rPr>
                    <w:t xml:space="preserve">(περίπου </w:t>
                  </w:r>
                  <w:r>
                    <w:rPr>
                      <w:rFonts w:ascii="Segoe UI" w:hAnsi="Segoe UI" w:cs="Segoe UI"/>
                      <w:sz w:val="16"/>
                      <w:szCs w:val="16"/>
                    </w:rPr>
                    <w:t>8,8</w:t>
                  </w:r>
                  <w:r w:rsidRPr="00DF19A6">
                    <w:rPr>
                      <w:rFonts w:ascii="Segoe UI" w:hAnsi="Segoe UI" w:cs="Segoe UI"/>
                      <w:sz w:val="16"/>
                      <w:szCs w:val="16"/>
                    </w:rPr>
                    <w:t xml:space="preserve"> χιλ. </w:t>
                  </w:r>
                  <w:r>
                    <w:rPr>
                      <w:rFonts w:ascii="Segoe UI" w:hAnsi="Segoe UI" w:cs="Segoe UI"/>
                      <w:sz w:val="16"/>
                      <w:szCs w:val="16"/>
                    </w:rPr>
                    <w:t xml:space="preserve">εγκεκριμένες αιτήσεις που αντιστοιχούν σε επιδότηση επιτοκίου ύψους </w:t>
                  </w:r>
                  <w:r w:rsidRPr="00DF19A6">
                    <w:rPr>
                      <w:rFonts w:ascii="Segoe UI" w:hAnsi="Segoe UI" w:cs="Segoe UI"/>
                      <w:sz w:val="16"/>
                      <w:szCs w:val="16"/>
                    </w:rPr>
                    <w:t>€</w:t>
                  </w:r>
                  <w:r>
                    <w:rPr>
                      <w:rFonts w:ascii="Segoe UI" w:hAnsi="Segoe UI" w:cs="Segoe UI"/>
                      <w:sz w:val="16"/>
                      <w:szCs w:val="16"/>
                    </w:rPr>
                    <w:t>35</w:t>
                  </w:r>
                  <w:r w:rsidRPr="00DF19A6">
                    <w:rPr>
                      <w:rFonts w:ascii="Segoe UI" w:hAnsi="Segoe UI" w:cs="Segoe UI"/>
                      <w:sz w:val="16"/>
                      <w:szCs w:val="16"/>
                    </w:rPr>
                    <w:t xml:space="preserve"> εκατ.</w:t>
                  </w:r>
                  <w:r>
                    <w:rPr>
                      <w:rFonts w:ascii="Segoe UI" w:hAnsi="Segoe UI" w:cs="Segoe UI"/>
                      <w:sz w:val="16"/>
                      <w:szCs w:val="16"/>
                    </w:rPr>
                    <w:t xml:space="preserve"> ετησίως</w:t>
                  </w:r>
                  <w:r w:rsidRPr="00DF19A6">
                    <w:rPr>
                      <w:rFonts w:ascii="Segoe UI" w:hAnsi="Segoe UI" w:cs="Segoe UI"/>
                      <w:sz w:val="16"/>
                      <w:szCs w:val="16"/>
                    </w:rPr>
                    <w:t>)</w:t>
                  </w:r>
                </w:p>
                <w:p w:rsidR="003B131A" w:rsidRPr="00CA7C46" w:rsidRDefault="003B131A" w:rsidP="000347D0">
                  <w:pPr>
                    <w:numPr>
                      <w:ilvl w:val="1"/>
                      <w:numId w:val="6"/>
                    </w:numPr>
                    <w:spacing w:before="80"/>
                    <w:rPr>
                      <w:rFonts w:ascii="Segoe UI" w:hAnsi="Segoe UI" w:cs="Segoe UI"/>
                      <w:sz w:val="16"/>
                      <w:szCs w:val="16"/>
                    </w:rPr>
                  </w:pPr>
                  <w:r w:rsidRPr="000237DA">
                    <w:rPr>
                      <w:rFonts w:ascii="Segoe UI" w:hAnsi="Segoe UI" w:cs="Segoe UI"/>
                      <w:sz w:val="16"/>
                      <w:szCs w:val="16"/>
                    </w:rPr>
                    <w:t>Ε</w:t>
                  </w:r>
                  <w:r>
                    <w:rPr>
                      <w:rFonts w:ascii="Segoe UI" w:hAnsi="Segoe UI" w:cs="Segoe UI"/>
                      <w:sz w:val="16"/>
                      <w:szCs w:val="16"/>
                    </w:rPr>
                    <w:t xml:space="preserve">πιτάχυνση </w:t>
                  </w:r>
                  <w:r w:rsidRPr="00A056E0">
                    <w:rPr>
                      <w:rFonts w:ascii="Segoe UI" w:hAnsi="Segoe UI" w:cs="Segoe UI"/>
                      <w:sz w:val="16"/>
                      <w:szCs w:val="16"/>
                    </w:rPr>
                    <w:t>του ψηφιακού μετασχηματισμού</w:t>
                  </w:r>
                  <w:r>
                    <w:rPr>
                      <w:rFonts w:ascii="Segoe UI" w:hAnsi="Segoe UI" w:cs="Segoe UI"/>
                      <w:sz w:val="16"/>
                      <w:szCs w:val="16"/>
                    </w:rPr>
                    <w:t xml:space="preserve"> της Τράπεζας, με τις συναλλαγές </w:t>
                  </w:r>
                  <w:r>
                    <w:rPr>
                      <w:rFonts w:ascii="Segoe UI" w:hAnsi="Segoe UI" w:cs="Segoe UI"/>
                      <w:sz w:val="16"/>
                      <w:szCs w:val="16"/>
                      <w:lang w:val="en-GB"/>
                    </w:rPr>
                    <w:t>e</w:t>
                  </w:r>
                  <w:r w:rsidRPr="00A056E0">
                    <w:rPr>
                      <w:rFonts w:ascii="Segoe UI" w:hAnsi="Segoe UI" w:cs="Segoe UI"/>
                      <w:sz w:val="16"/>
                      <w:szCs w:val="16"/>
                    </w:rPr>
                    <w:t>-</w:t>
                  </w:r>
                  <w:r>
                    <w:rPr>
                      <w:rFonts w:ascii="Segoe UI" w:hAnsi="Segoe UI" w:cs="Segoe UI"/>
                      <w:sz w:val="16"/>
                      <w:szCs w:val="16"/>
                      <w:lang w:val="en-GB"/>
                    </w:rPr>
                    <w:t>banking</w:t>
                  </w:r>
                  <w:r w:rsidRPr="00A056E0">
                    <w:rPr>
                      <w:rFonts w:ascii="Segoe UI" w:hAnsi="Segoe UI" w:cs="Segoe UI"/>
                      <w:sz w:val="16"/>
                      <w:szCs w:val="16"/>
                    </w:rPr>
                    <w:t xml:space="preserve"> </w:t>
                  </w:r>
                  <w:r>
                    <w:rPr>
                      <w:rFonts w:ascii="Segoe UI" w:hAnsi="Segoe UI" w:cs="Segoe UI"/>
                      <w:sz w:val="16"/>
                      <w:szCs w:val="16"/>
                    </w:rPr>
                    <w:t>να κ</w:t>
                  </w:r>
                  <w:r w:rsidRPr="00884294">
                    <w:rPr>
                      <w:rFonts w:ascii="Segoe UI" w:hAnsi="Segoe UI" w:cs="Segoe UI"/>
                      <w:sz w:val="16"/>
                      <w:szCs w:val="16"/>
                    </w:rPr>
                    <w:t>αταγράφο</w:t>
                  </w:r>
                  <w:r>
                    <w:rPr>
                      <w:rFonts w:ascii="Segoe UI" w:hAnsi="Segoe UI" w:cs="Segoe UI"/>
                      <w:sz w:val="16"/>
                      <w:szCs w:val="16"/>
                    </w:rPr>
                    <w:t>υν</w:t>
                  </w:r>
                  <w:r w:rsidRPr="00884294">
                    <w:rPr>
                      <w:rFonts w:ascii="Segoe UI" w:hAnsi="Segoe UI" w:cs="Segoe UI"/>
                      <w:sz w:val="16"/>
                      <w:szCs w:val="16"/>
                    </w:rPr>
                    <w:t xml:space="preserve"> αύξηση </w:t>
                  </w:r>
                  <w:r>
                    <w:rPr>
                      <w:rFonts w:ascii="Segoe UI" w:hAnsi="Segoe UI" w:cs="Segoe UI"/>
                      <w:sz w:val="16"/>
                      <w:szCs w:val="16"/>
                    </w:rPr>
                    <w:t xml:space="preserve">32% </w:t>
                  </w:r>
                  <w:r w:rsidRPr="00884294">
                    <w:rPr>
                      <w:rFonts w:ascii="Segoe UI" w:hAnsi="Segoe UI" w:cs="Segoe UI"/>
                      <w:sz w:val="16"/>
                      <w:szCs w:val="16"/>
                    </w:rPr>
                    <w:t xml:space="preserve">μετά </w:t>
                  </w:r>
                  <w:r>
                    <w:rPr>
                      <w:rFonts w:ascii="Segoe UI" w:hAnsi="Segoe UI" w:cs="Segoe UI"/>
                      <w:sz w:val="16"/>
                      <w:szCs w:val="16"/>
                    </w:rPr>
                    <w:t>την άρση της απαγόρευσης κυκλοφορίας σε σχέση με τους μήνες πριν τον κορωνοϊό</w:t>
                  </w:r>
                  <w:r w:rsidRPr="00884294">
                    <w:rPr>
                      <w:rFonts w:ascii="Segoe UI" w:hAnsi="Segoe UI" w:cs="Segoe UI"/>
                      <w:sz w:val="16"/>
                      <w:szCs w:val="16"/>
                    </w:rPr>
                    <w:t xml:space="preserve">. Οι μηνιαίοι ενεργοί χρήστες </w:t>
                  </w:r>
                  <w:r>
                    <w:rPr>
                      <w:rFonts w:ascii="Segoe UI" w:hAnsi="Segoe UI" w:cs="Segoe UI"/>
                      <w:sz w:val="16"/>
                      <w:szCs w:val="16"/>
                    </w:rPr>
                    <w:t xml:space="preserve">των ψηφιακών καναλιών </w:t>
                  </w:r>
                  <w:r w:rsidR="00B911B7">
                    <w:rPr>
                      <w:rFonts w:ascii="Segoe UI" w:hAnsi="Segoe UI" w:cs="Segoe UI"/>
                      <w:sz w:val="16"/>
                      <w:szCs w:val="16"/>
                    </w:rPr>
                    <w:t>άγγιξαν</w:t>
                  </w:r>
                  <w:r w:rsidRPr="00884294">
                    <w:rPr>
                      <w:rFonts w:ascii="Segoe UI" w:hAnsi="Segoe UI" w:cs="Segoe UI"/>
                      <w:sz w:val="16"/>
                      <w:szCs w:val="16"/>
                    </w:rPr>
                    <w:t xml:space="preserve"> τα 1,5 εκατ</w:t>
                  </w:r>
                  <w:r>
                    <w:rPr>
                      <w:rFonts w:ascii="Segoe UI" w:hAnsi="Segoe UI" w:cs="Segoe UI"/>
                      <w:sz w:val="16"/>
                      <w:szCs w:val="16"/>
                    </w:rPr>
                    <w:t>.</w:t>
                  </w:r>
                  <w:r w:rsidRPr="00884294">
                    <w:rPr>
                      <w:rFonts w:ascii="Segoe UI" w:hAnsi="Segoe UI" w:cs="Segoe UI"/>
                      <w:sz w:val="16"/>
                      <w:szCs w:val="16"/>
                    </w:rPr>
                    <w:t xml:space="preserve"> τον Ιούνιο, αυξημέν</w:t>
                  </w:r>
                  <w:r>
                    <w:rPr>
                      <w:rFonts w:ascii="Segoe UI" w:hAnsi="Segoe UI" w:cs="Segoe UI"/>
                      <w:sz w:val="16"/>
                      <w:szCs w:val="16"/>
                    </w:rPr>
                    <w:t>οι</w:t>
                  </w:r>
                  <w:r w:rsidRPr="00884294">
                    <w:rPr>
                      <w:rFonts w:ascii="Segoe UI" w:hAnsi="Segoe UI" w:cs="Segoe UI"/>
                      <w:sz w:val="16"/>
                      <w:szCs w:val="16"/>
                    </w:rPr>
                    <w:t xml:space="preserve"> κατά 53% σε ετήσια βάση, ενώ περίπου 160 χιλ</w:t>
                  </w:r>
                  <w:r>
                    <w:rPr>
                      <w:rFonts w:ascii="Segoe UI" w:hAnsi="Segoe UI" w:cs="Segoe UI"/>
                      <w:sz w:val="16"/>
                      <w:szCs w:val="16"/>
                    </w:rPr>
                    <w:t>.</w:t>
                  </w:r>
                  <w:r w:rsidRPr="00884294">
                    <w:rPr>
                      <w:rFonts w:ascii="Segoe UI" w:hAnsi="Segoe UI" w:cs="Segoe UI"/>
                      <w:sz w:val="16"/>
                      <w:szCs w:val="16"/>
                    </w:rPr>
                    <w:t xml:space="preserve"> πελάτες έχουν </w:t>
                  </w:r>
                  <w:r w:rsidRPr="000237DA">
                    <w:rPr>
                      <w:rFonts w:ascii="Segoe UI" w:hAnsi="Segoe UI" w:cs="Segoe UI"/>
                      <w:sz w:val="16"/>
                      <w:szCs w:val="16"/>
                    </w:rPr>
                    <w:t xml:space="preserve">εγγραφεί σε ψηφιακά δίκτυα από την αρχή του έτους έως σήμερα </w:t>
                  </w:r>
                </w:p>
                <w:p w:rsidR="003B131A" w:rsidRDefault="003B131A" w:rsidP="000347D0">
                  <w:pPr>
                    <w:numPr>
                      <w:ilvl w:val="1"/>
                      <w:numId w:val="6"/>
                    </w:numPr>
                    <w:spacing w:before="80"/>
                    <w:rPr>
                      <w:rFonts w:ascii="Segoe UI" w:hAnsi="Segoe UI" w:cs="Segoe UI"/>
                      <w:sz w:val="16"/>
                      <w:szCs w:val="16"/>
                    </w:rPr>
                  </w:pPr>
                  <w:r>
                    <w:rPr>
                      <w:rFonts w:ascii="Segoe UI" w:hAnsi="Segoe UI" w:cs="Segoe UI"/>
                      <w:sz w:val="16"/>
                      <w:szCs w:val="16"/>
                    </w:rPr>
                    <w:t xml:space="preserve">Η </w:t>
                  </w:r>
                  <w:r w:rsidRPr="00D544BB">
                    <w:rPr>
                      <w:rFonts w:ascii="Segoe UI" w:hAnsi="Segoe UI" w:cs="Segoe UI"/>
                      <w:sz w:val="16"/>
                      <w:szCs w:val="16"/>
                    </w:rPr>
                    <w:t>διασφάλιση της υγείας και της ασφάλειας των υπαλλήλων</w:t>
                  </w:r>
                  <w:r>
                    <w:rPr>
                      <w:rFonts w:ascii="Segoe UI" w:hAnsi="Segoe UI" w:cs="Segoe UI"/>
                      <w:sz w:val="16"/>
                      <w:szCs w:val="16"/>
                    </w:rPr>
                    <w:t xml:space="preserve"> και </w:t>
                  </w:r>
                  <w:r w:rsidRPr="00D544BB">
                    <w:rPr>
                      <w:rFonts w:ascii="Segoe UI" w:hAnsi="Segoe UI" w:cs="Segoe UI"/>
                      <w:sz w:val="16"/>
                      <w:szCs w:val="16"/>
                    </w:rPr>
                    <w:t xml:space="preserve">πελατών </w:t>
                  </w:r>
                  <w:r>
                    <w:rPr>
                      <w:rFonts w:ascii="Segoe UI" w:hAnsi="Segoe UI" w:cs="Segoe UI"/>
                      <w:sz w:val="16"/>
                      <w:szCs w:val="16"/>
                    </w:rPr>
                    <w:t>παραμένει ύψιστη προτε</w:t>
                  </w:r>
                  <w:r w:rsidRPr="00D544BB">
                    <w:rPr>
                      <w:rFonts w:ascii="Segoe UI" w:hAnsi="Segoe UI" w:cs="Segoe UI"/>
                      <w:sz w:val="16"/>
                      <w:szCs w:val="16"/>
                    </w:rPr>
                    <w:t>ραιότητα</w:t>
                  </w:r>
                  <w:r>
                    <w:rPr>
                      <w:rFonts w:ascii="Segoe UI" w:hAnsi="Segoe UI" w:cs="Segoe UI"/>
                      <w:sz w:val="16"/>
                      <w:szCs w:val="16"/>
                    </w:rPr>
                    <w:t xml:space="preserve"> της Τράπεζας</w:t>
                  </w:r>
                  <w:r w:rsidRPr="009F27D9">
                    <w:rPr>
                      <w:rFonts w:ascii="Segoe UI" w:hAnsi="Segoe UI" w:cs="Segoe UI"/>
                      <w:sz w:val="16"/>
                      <w:szCs w:val="16"/>
                    </w:rPr>
                    <w:t>.</w:t>
                  </w:r>
                  <w:r>
                    <w:rPr>
                      <w:rFonts w:ascii="Segoe UI" w:hAnsi="Segoe UI" w:cs="Segoe UI"/>
                      <w:sz w:val="16"/>
                      <w:szCs w:val="16"/>
                    </w:rPr>
                    <w:t xml:space="preserve"> </w:t>
                  </w:r>
                  <w:r>
                    <w:rPr>
                      <w:rFonts w:ascii="Segoe UI" w:hAnsi="Segoe UI" w:cs="Segoe UI"/>
                      <w:sz w:val="16"/>
                      <w:szCs w:val="16"/>
                      <w:lang w:val="en-US"/>
                    </w:rPr>
                    <w:t>T</w:t>
                  </w:r>
                  <w:r>
                    <w:rPr>
                      <w:rFonts w:ascii="Segoe UI" w:hAnsi="Segoe UI" w:cs="Segoe UI"/>
                      <w:sz w:val="16"/>
                      <w:szCs w:val="16"/>
                    </w:rPr>
                    <w:t>ο ποσοστό του</w:t>
                  </w:r>
                  <w:r w:rsidRPr="00E16E67">
                    <w:rPr>
                      <w:rFonts w:ascii="Segoe UI" w:hAnsi="Segoe UI" w:cs="Segoe UI"/>
                      <w:sz w:val="16"/>
                      <w:szCs w:val="16"/>
                    </w:rPr>
                    <w:t xml:space="preserve"> προσωπικού </w:t>
                  </w:r>
                  <w:r>
                    <w:rPr>
                      <w:rFonts w:ascii="Segoe UI" w:hAnsi="Segoe UI" w:cs="Segoe UI"/>
                      <w:sz w:val="16"/>
                      <w:szCs w:val="16"/>
                    </w:rPr>
                    <w:t xml:space="preserve">που </w:t>
                  </w:r>
                  <w:r w:rsidRPr="00E16E67">
                    <w:rPr>
                      <w:rFonts w:ascii="Segoe UI" w:hAnsi="Segoe UI" w:cs="Segoe UI"/>
                      <w:sz w:val="16"/>
                      <w:szCs w:val="16"/>
                    </w:rPr>
                    <w:t xml:space="preserve">εργάζεται εξ αποστάσεως, </w:t>
                  </w:r>
                  <w:r>
                    <w:rPr>
                      <w:rFonts w:ascii="Segoe UI" w:hAnsi="Segoe UI" w:cs="Segoe UI"/>
                      <w:sz w:val="16"/>
                      <w:szCs w:val="16"/>
                    </w:rPr>
                    <w:t>αλλά με ασφάλεια στον κυβερνοχώρο και αποδοτικότητα, ανέρχεται σε περίπου 50% έναντι 7</w:t>
                  </w:r>
                  <w:r w:rsidRPr="00E16E67">
                    <w:rPr>
                      <w:rFonts w:ascii="Segoe UI" w:hAnsi="Segoe UI" w:cs="Segoe UI"/>
                      <w:sz w:val="16"/>
                      <w:szCs w:val="16"/>
                    </w:rPr>
                    <w:t xml:space="preserve">0% </w:t>
                  </w:r>
                  <w:r w:rsidRPr="00500E72">
                    <w:rPr>
                      <w:rFonts w:ascii="Segoe UI" w:hAnsi="Segoe UI" w:cs="Segoe UI"/>
                      <w:sz w:val="16"/>
                      <w:szCs w:val="16"/>
                    </w:rPr>
                    <w:t>κατά το μέγιστο</w:t>
                  </w:r>
                  <w:r>
                    <w:rPr>
                      <w:rFonts w:ascii="Segoe UI" w:hAnsi="Segoe UI" w:cs="Segoe UI"/>
                      <w:sz w:val="16"/>
                      <w:szCs w:val="16"/>
                    </w:rPr>
                    <w:t xml:space="preserve"> στη διάρκεια της απαγόρευσης κυκλοφορίας</w:t>
                  </w:r>
                </w:p>
                <w:p w:rsidR="00050585" w:rsidRPr="00050585" w:rsidRDefault="00050585" w:rsidP="00050585">
                  <w:pPr>
                    <w:spacing w:before="80"/>
                    <w:ind w:left="644"/>
                    <w:rPr>
                      <w:rFonts w:ascii="Segoe UI" w:hAnsi="Segoe UI" w:cs="Segoe UI"/>
                      <w:sz w:val="2"/>
                      <w:szCs w:val="2"/>
                    </w:rPr>
                  </w:pPr>
                </w:p>
                <w:p w:rsidR="003B131A" w:rsidRPr="00192FCD" w:rsidRDefault="005C55AD" w:rsidP="005C55AD">
                  <w:pPr>
                    <w:pStyle w:val="a7"/>
                    <w:numPr>
                      <w:ilvl w:val="0"/>
                      <w:numId w:val="6"/>
                    </w:numPr>
                    <w:spacing w:before="120" w:after="0" w:line="276" w:lineRule="auto"/>
                    <w:jc w:val="left"/>
                    <w:rPr>
                      <w:rFonts w:ascii="Segoe UI" w:hAnsi="Segoe UI" w:cs="Segoe UI"/>
                      <w:b/>
                      <w:sz w:val="16"/>
                      <w:szCs w:val="16"/>
                    </w:rPr>
                  </w:pPr>
                  <w:r>
                    <w:rPr>
                      <w:rFonts w:ascii="Segoe UI" w:hAnsi="Segoe UI" w:cs="Segoe UI"/>
                      <w:b/>
                      <w:sz w:val="16"/>
                      <w:szCs w:val="16"/>
                    </w:rPr>
                    <w:t>Τα κέρδη μετά από φόρους ανήλθαν σε €465 εκατ.</w:t>
                  </w:r>
                  <w:r w:rsidR="00555746" w:rsidRPr="00555746">
                    <w:rPr>
                      <w:rFonts w:ascii="Segoe UI" w:hAnsi="Segoe UI" w:cs="Segoe UI"/>
                      <w:b/>
                      <w:sz w:val="16"/>
                      <w:szCs w:val="16"/>
                      <w:vertAlign w:val="superscript"/>
                    </w:rPr>
                    <w:t>1</w:t>
                  </w:r>
                  <w:r w:rsidR="005F72E4" w:rsidRPr="005F72E4">
                    <w:rPr>
                      <w:rFonts w:ascii="Segoe UI" w:hAnsi="Segoe UI" w:cs="Segoe UI"/>
                      <w:b/>
                      <w:sz w:val="16"/>
                      <w:szCs w:val="16"/>
                    </w:rPr>
                    <w:t xml:space="preserve"> </w:t>
                  </w:r>
                  <w:r w:rsidR="005F72E4">
                    <w:rPr>
                      <w:rFonts w:ascii="Segoe UI" w:hAnsi="Segoe UI" w:cs="Segoe UI"/>
                      <w:b/>
                      <w:sz w:val="16"/>
                      <w:szCs w:val="16"/>
                    </w:rPr>
                    <w:t xml:space="preserve">το </w:t>
                  </w:r>
                  <w:r w:rsidR="005F72E4" w:rsidRPr="005C55AD">
                    <w:rPr>
                      <w:rFonts w:ascii="Segoe UI" w:hAnsi="Segoe UI" w:cs="Segoe UI"/>
                      <w:b/>
                      <w:sz w:val="16"/>
                      <w:szCs w:val="16"/>
                    </w:rPr>
                    <w:t>Α’ εξάμηνο 2020</w:t>
                  </w:r>
                  <w:r>
                    <w:rPr>
                      <w:rFonts w:ascii="Segoe UI" w:hAnsi="Segoe UI" w:cs="Segoe UI"/>
                      <w:b/>
                      <w:sz w:val="16"/>
                      <w:szCs w:val="16"/>
                    </w:rPr>
                    <w:t xml:space="preserve">, ενισχυμένα κατά 90% σε ετήσια βάση. </w:t>
                  </w:r>
                  <w:r w:rsidR="003B131A">
                    <w:rPr>
                      <w:rFonts w:ascii="Segoe UI" w:hAnsi="Segoe UI" w:cs="Segoe UI"/>
                      <w:b/>
                      <w:sz w:val="16"/>
                      <w:szCs w:val="16"/>
                    </w:rPr>
                    <w:t>Τα οργανικά κέρδη Α’ εξαμήνου 2020 αυξήθηκαν κατά 21% σε ετήσια βάση σε €1</w:t>
                  </w:r>
                  <w:r w:rsidR="003B131A" w:rsidRPr="00E81C54">
                    <w:rPr>
                      <w:rFonts w:ascii="Segoe UI" w:hAnsi="Segoe UI" w:cs="Segoe UI"/>
                      <w:b/>
                      <w:sz w:val="16"/>
                      <w:szCs w:val="16"/>
                    </w:rPr>
                    <w:t>3</w:t>
                  </w:r>
                  <w:r w:rsidR="003B131A">
                    <w:rPr>
                      <w:rFonts w:ascii="Segoe UI" w:hAnsi="Segoe UI" w:cs="Segoe UI"/>
                      <w:b/>
                      <w:sz w:val="16"/>
                      <w:szCs w:val="16"/>
                    </w:rPr>
                    <w:t>2 εκατ.</w:t>
                  </w:r>
                  <w:r w:rsidR="003C41DD">
                    <w:rPr>
                      <w:rFonts w:ascii="Segoe UI" w:hAnsi="Segoe UI" w:cs="Segoe UI"/>
                      <w:b/>
                      <w:sz w:val="16"/>
                      <w:szCs w:val="16"/>
                      <w:vertAlign w:val="superscript"/>
                    </w:rPr>
                    <w:t>2</w:t>
                  </w:r>
                  <w:r w:rsidR="003B131A">
                    <w:rPr>
                      <w:rFonts w:ascii="Segoe UI" w:hAnsi="Segoe UI" w:cs="Segoe UI"/>
                      <w:b/>
                      <w:sz w:val="16"/>
                      <w:szCs w:val="16"/>
                    </w:rPr>
                    <w:t xml:space="preserve">, αντανακλώντας </w:t>
                  </w:r>
                  <w:r w:rsidR="00971744">
                    <w:rPr>
                      <w:rFonts w:ascii="Segoe UI" w:hAnsi="Segoe UI" w:cs="Segoe UI"/>
                      <w:b/>
                      <w:sz w:val="16"/>
                      <w:szCs w:val="16"/>
                    </w:rPr>
                    <w:t xml:space="preserve">τη σημαντική περιστολή των δαπανών προσωπικού και </w:t>
                  </w:r>
                  <w:r w:rsidR="00971744" w:rsidRPr="008C0003">
                    <w:rPr>
                      <w:rFonts w:ascii="Segoe UI" w:hAnsi="Segoe UI" w:cs="Segoe UI"/>
                      <w:b/>
                      <w:sz w:val="16"/>
                      <w:szCs w:val="16"/>
                    </w:rPr>
                    <w:t>των γενικών διοικητικών και λοιπών λειτουργικών εξόδων</w:t>
                  </w:r>
                  <w:r w:rsidR="00971744" w:rsidRPr="00971744">
                    <w:rPr>
                      <w:rFonts w:ascii="Segoe UI" w:hAnsi="Segoe UI" w:cs="Segoe UI"/>
                      <w:b/>
                      <w:sz w:val="16"/>
                      <w:szCs w:val="16"/>
                    </w:rPr>
                    <w:t>,</w:t>
                  </w:r>
                  <w:r w:rsidR="00971744">
                    <w:rPr>
                      <w:rFonts w:ascii="Segoe UI" w:hAnsi="Segoe UI" w:cs="Segoe UI"/>
                      <w:b/>
                      <w:sz w:val="16"/>
                      <w:szCs w:val="16"/>
                    </w:rPr>
                    <w:t xml:space="preserve"> </w:t>
                  </w:r>
                  <w:r w:rsidR="003B131A">
                    <w:rPr>
                      <w:rFonts w:ascii="Segoe UI" w:hAnsi="Segoe UI" w:cs="Segoe UI"/>
                      <w:b/>
                      <w:sz w:val="16"/>
                      <w:szCs w:val="16"/>
                    </w:rPr>
                    <w:t xml:space="preserve">την ομαλοποίηση του υποκείμενου κόστους πιστωτικού κινδύνου, καθώς και τη μείωση της πίεσης στα οργανικά έσοδα. Τα </w:t>
                  </w:r>
                  <w:r w:rsidR="003B131A" w:rsidRPr="00950C03">
                    <w:rPr>
                      <w:rFonts w:ascii="Segoe UI" w:hAnsi="Segoe UI" w:cs="Segoe UI"/>
                      <w:b/>
                      <w:sz w:val="16"/>
                      <w:szCs w:val="16"/>
                    </w:rPr>
                    <w:t xml:space="preserve">οργανικά κέρδη </w:t>
                  </w:r>
                  <w:r w:rsidR="003B131A">
                    <w:rPr>
                      <w:rFonts w:ascii="Segoe UI" w:hAnsi="Segoe UI" w:cs="Segoe UI"/>
                      <w:b/>
                      <w:sz w:val="16"/>
                      <w:szCs w:val="16"/>
                    </w:rPr>
                    <w:t>Β</w:t>
                  </w:r>
                  <w:r w:rsidR="003B131A" w:rsidRPr="00950C03">
                    <w:rPr>
                      <w:rFonts w:ascii="Segoe UI" w:hAnsi="Segoe UI" w:cs="Segoe UI"/>
                      <w:b/>
                      <w:sz w:val="16"/>
                      <w:szCs w:val="16"/>
                    </w:rPr>
                    <w:t xml:space="preserve">’ </w:t>
                  </w:r>
                  <w:r w:rsidR="003B131A">
                    <w:rPr>
                      <w:rFonts w:ascii="Segoe UI" w:hAnsi="Segoe UI" w:cs="Segoe UI"/>
                      <w:b/>
                      <w:sz w:val="16"/>
                      <w:szCs w:val="16"/>
                    </w:rPr>
                    <w:t>τριμήνου</w:t>
                  </w:r>
                  <w:r w:rsidR="003B131A" w:rsidRPr="00950C03">
                    <w:rPr>
                      <w:rFonts w:ascii="Segoe UI" w:hAnsi="Segoe UI" w:cs="Segoe UI"/>
                      <w:b/>
                      <w:sz w:val="16"/>
                      <w:szCs w:val="16"/>
                    </w:rPr>
                    <w:t xml:space="preserve"> 2020</w:t>
                  </w:r>
                  <w:r w:rsidR="003B131A">
                    <w:rPr>
                      <w:rFonts w:ascii="Segoe UI" w:hAnsi="Segoe UI" w:cs="Segoe UI"/>
                      <w:b/>
                      <w:sz w:val="16"/>
                      <w:szCs w:val="16"/>
                    </w:rPr>
                    <w:t xml:space="preserve"> διαμορφώθηκαν σε €</w:t>
                  </w:r>
                  <w:r w:rsidR="003B131A" w:rsidRPr="00971744">
                    <w:rPr>
                      <w:rFonts w:ascii="Segoe UI" w:hAnsi="Segoe UI" w:cs="Segoe UI"/>
                      <w:b/>
                      <w:sz w:val="16"/>
                      <w:szCs w:val="16"/>
                    </w:rPr>
                    <w:t>6</w:t>
                  </w:r>
                  <w:r w:rsidR="003B131A">
                    <w:rPr>
                      <w:rFonts w:ascii="Segoe UI" w:hAnsi="Segoe UI" w:cs="Segoe UI"/>
                      <w:b/>
                      <w:sz w:val="16"/>
                      <w:szCs w:val="16"/>
                    </w:rPr>
                    <w:t>5 εκατ.</w:t>
                  </w:r>
                  <w:r w:rsidR="003C41DD">
                    <w:rPr>
                      <w:rFonts w:ascii="Segoe UI" w:hAnsi="Segoe UI" w:cs="Segoe UI"/>
                      <w:b/>
                      <w:sz w:val="16"/>
                      <w:szCs w:val="16"/>
                      <w:vertAlign w:val="superscript"/>
                    </w:rPr>
                    <w:t>2</w:t>
                  </w:r>
                </w:p>
                <w:p w:rsidR="003B131A" w:rsidRPr="00CE5D55" w:rsidRDefault="003B131A" w:rsidP="000347D0">
                  <w:pPr>
                    <w:numPr>
                      <w:ilvl w:val="1"/>
                      <w:numId w:val="6"/>
                    </w:numPr>
                    <w:spacing w:before="80"/>
                    <w:ind w:left="641" w:hanging="357"/>
                    <w:rPr>
                      <w:rFonts w:ascii="Segoe UI" w:hAnsi="Segoe UI" w:cs="Segoe UI"/>
                      <w:sz w:val="16"/>
                      <w:szCs w:val="16"/>
                    </w:rPr>
                  </w:pPr>
                  <w:r>
                    <w:rPr>
                      <w:rFonts w:ascii="Segoe UI" w:hAnsi="Segoe UI" w:cs="Segoe UI"/>
                      <w:sz w:val="16"/>
                      <w:szCs w:val="16"/>
                    </w:rPr>
                    <w:t>Στην Ελλάδα, τα κ</w:t>
                  </w:r>
                  <w:r w:rsidRPr="00CE5D55">
                    <w:rPr>
                      <w:rFonts w:ascii="Segoe UI" w:hAnsi="Segoe UI" w:cs="Segoe UI"/>
                      <w:sz w:val="16"/>
                      <w:szCs w:val="16"/>
                    </w:rPr>
                    <w:t xml:space="preserve">αθαρά έσοδα από τόκους </w:t>
                  </w:r>
                  <w:r>
                    <w:rPr>
                      <w:rFonts w:ascii="Segoe UI" w:hAnsi="Segoe UI" w:cs="Segoe UI"/>
                      <w:sz w:val="16"/>
                      <w:szCs w:val="16"/>
                    </w:rPr>
                    <w:t xml:space="preserve">σταθεροποιήθηκαν σε €259 εκατ. </w:t>
                  </w:r>
                  <w:r w:rsidRPr="00CE5D55">
                    <w:rPr>
                      <w:rFonts w:ascii="Segoe UI" w:hAnsi="Segoe UI" w:cs="Segoe UI"/>
                      <w:sz w:val="16"/>
                      <w:szCs w:val="16"/>
                    </w:rPr>
                    <w:t xml:space="preserve">το </w:t>
                  </w:r>
                  <w:r>
                    <w:rPr>
                      <w:rFonts w:ascii="Segoe UI" w:hAnsi="Segoe UI" w:cs="Segoe UI"/>
                      <w:sz w:val="16"/>
                      <w:szCs w:val="16"/>
                    </w:rPr>
                    <w:t>Β</w:t>
                  </w:r>
                  <w:r w:rsidRPr="00CE5D55">
                    <w:rPr>
                      <w:rFonts w:ascii="Segoe UI" w:hAnsi="Segoe UI" w:cs="Segoe UI"/>
                      <w:sz w:val="16"/>
                      <w:szCs w:val="16"/>
                    </w:rPr>
                    <w:t>’ τρίμηνο 2020</w:t>
                  </w:r>
                  <w:r>
                    <w:rPr>
                      <w:rFonts w:ascii="Segoe UI" w:hAnsi="Segoe UI" w:cs="Segoe UI"/>
                      <w:sz w:val="16"/>
                      <w:szCs w:val="16"/>
                    </w:rPr>
                    <w:t xml:space="preserve"> (-1% σε τριμηνιαία βάση)</w:t>
                  </w:r>
                  <w:r w:rsidRPr="00CE5D55">
                    <w:rPr>
                      <w:rFonts w:ascii="Segoe UI" w:hAnsi="Segoe UI" w:cs="Segoe UI"/>
                      <w:sz w:val="16"/>
                      <w:szCs w:val="16"/>
                    </w:rPr>
                    <w:t xml:space="preserve">, </w:t>
                  </w:r>
                  <w:r>
                    <w:rPr>
                      <w:rFonts w:ascii="Segoe UI" w:hAnsi="Segoe UI" w:cs="Segoe UI"/>
                      <w:sz w:val="16"/>
                      <w:szCs w:val="16"/>
                    </w:rPr>
                    <w:t>καθώς το όφελος από το χαμηλότερο κόστος χρηματοδότησης αντιστάθμισε την μείωση των επιτοκίων</w:t>
                  </w:r>
                  <w:r w:rsidRPr="00E569E6">
                    <w:rPr>
                      <w:rFonts w:ascii="Segoe UI" w:hAnsi="Segoe UI" w:cs="Segoe UI"/>
                      <w:sz w:val="16"/>
                      <w:szCs w:val="16"/>
                    </w:rPr>
                    <w:t xml:space="preserve"> </w:t>
                  </w:r>
                  <w:r>
                    <w:rPr>
                      <w:rFonts w:ascii="Segoe UI" w:hAnsi="Segoe UI" w:cs="Segoe UI"/>
                      <w:sz w:val="16"/>
                      <w:szCs w:val="16"/>
                    </w:rPr>
                    <w:t>στα δάνεια</w:t>
                  </w:r>
                </w:p>
                <w:p w:rsidR="003B131A" w:rsidRPr="00192FCD" w:rsidRDefault="003B131A" w:rsidP="000347D0">
                  <w:pPr>
                    <w:numPr>
                      <w:ilvl w:val="1"/>
                      <w:numId w:val="6"/>
                    </w:numPr>
                    <w:spacing w:before="80"/>
                    <w:rPr>
                      <w:rFonts w:ascii="Segoe UI" w:hAnsi="Segoe UI" w:cs="Segoe UI"/>
                      <w:sz w:val="16"/>
                      <w:szCs w:val="16"/>
                    </w:rPr>
                  </w:pPr>
                  <w:r w:rsidRPr="007B41A8">
                    <w:rPr>
                      <w:rFonts w:ascii="Segoe UI" w:hAnsi="Segoe UI" w:cs="Segoe UI"/>
                      <w:sz w:val="16"/>
                      <w:szCs w:val="16"/>
                    </w:rPr>
                    <w:t xml:space="preserve">Αντικατοπτρίζοντας τη μέγιστη </w:t>
                  </w:r>
                  <w:r>
                    <w:rPr>
                      <w:rFonts w:ascii="Segoe UI" w:hAnsi="Segoe UI" w:cs="Segoe UI"/>
                      <w:sz w:val="16"/>
                      <w:szCs w:val="16"/>
                    </w:rPr>
                    <w:t>αρνητική</w:t>
                  </w:r>
                  <w:r w:rsidRPr="007B41A8">
                    <w:rPr>
                      <w:rFonts w:ascii="Segoe UI" w:hAnsi="Segoe UI" w:cs="Segoe UI"/>
                      <w:sz w:val="16"/>
                      <w:szCs w:val="16"/>
                    </w:rPr>
                    <w:t xml:space="preserve"> επίδραση της πανδημίας του κορωνοϊού</w:t>
                  </w:r>
                  <w:r w:rsidRPr="008330F2">
                    <w:rPr>
                      <w:rFonts w:ascii="Segoe UI" w:hAnsi="Segoe UI" w:cs="Segoe UI"/>
                      <w:sz w:val="16"/>
                      <w:szCs w:val="16"/>
                    </w:rPr>
                    <w:t xml:space="preserve"> </w:t>
                  </w:r>
                  <w:r>
                    <w:rPr>
                      <w:rFonts w:ascii="Segoe UI" w:hAnsi="Segoe UI" w:cs="Segoe UI"/>
                      <w:sz w:val="16"/>
                      <w:szCs w:val="16"/>
                    </w:rPr>
                    <w:t xml:space="preserve">τον Απρίλιο και </w:t>
                  </w:r>
                  <w:r w:rsidR="007156C4">
                    <w:rPr>
                      <w:rFonts w:ascii="Segoe UI" w:hAnsi="Segoe UI" w:cs="Segoe UI"/>
                      <w:sz w:val="16"/>
                      <w:szCs w:val="16"/>
                    </w:rPr>
                    <w:t xml:space="preserve">τον </w:t>
                  </w:r>
                  <w:r>
                    <w:rPr>
                      <w:rFonts w:ascii="Segoe UI" w:hAnsi="Segoe UI" w:cs="Segoe UI"/>
                      <w:sz w:val="16"/>
                      <w:szCs w:val="16"/>
                    </w:rPr>
                    <w:t>Μάιο, τ</w:t>
                  </w:r>
                  <w:r w:rsidRPr="007B41A8">
                    <w:rPr>
                      <w:rFonts w:ascii="Segoe UI" w:hAnsi="Segoe UI" w:cs="Segoe UI"/>
                      <w:sz w:val="16"/>
                      <w:szCs w:val="16"/>
                    </w:rPr>
                    <w:t xml:space="preserve">α καθαρά έσοδα από προμήθειες </w:t>
                  </w:r>
                  <w:r>
                    <w:rPr>
                      <w:rFonts w:ascii="Segoe UI" w:hAnsi="Segoe UI" w:cs="Segoe UI"/>
                      <w:sz w:val="16"/>
                      <w:szCs w:val="16"/>
                    </w:rPr>
                    <w:t xml:space="preserve">σημείωσαν πτώση ύψους </w:t>
                  </w:r>
                  <w:r w:rsidRPr="007B41A8">
                    <w:rPr>
                      <w:rFonts w:ascii="Segoe UI" w:hAnsi="Segoe UI" w:cs="Segoe UI"/>
                      <w:sz w:val="16"/>
                      <w:szCs w:val="16"/>
                    </w:rPr>
                    <w:t>1</w:t>
                  </w:r>
                  <w:r>
                    <w:rPr>
                      <w:rFonts w:ascii="Segoe UI" w:hAnsi="Segoe UI" w:cs="Segoe UI"/>
                      <w:sz w:val="16"/>
                      <w:szCs w:val="16"/>
                    </w:rPr>
                    <w:t>4</w:t>
                  </w:r>
                  <w:r w:rsidRPr="007B41A8">
                    <w:rPr>
                      <w:rFonts w:ascii="Segoe UI" w:hAnsi="Segoe UI" w:cs="Segoe UI"/>
                      <w:sz w:val="16"/>
                      <w:szCs w:val="16"/>
                    </w:rPr>
                    <w:t xml:space="preserve">% σε </w:t>
                  </w:r>
                  <w:r>
                    <w:rPr>
                      <w:rFonts w:ascii="Segoe UI" w:hAnsi="Segoe UI" w:cs="Segoe UI"/>
                      <w:sz w:val="16"/>
                      <w:szCs w:val="16"/>
                    </w:rPr>
                    <w:t>τριμηνιαία βάση.</w:t>
                  </w:r>
                  <w:r w:rsidRPr="007B41A8">
                    <w:rPr>
                      <w:rFonts w:ascii="Segoe UI" w:hAnsi="Segoe UI" w:cs="Segoe UI"/>
                      <w:sz w:val="16"/>
                      <w:szCs w:val="16"/>
                    </w:rPr>
                    <w:t xml:space="preserve"> </w:t>
                  </w:r>
                  <w:r>
                    <w:rPr>
                      <w:rFonts w:ascii="Segoe UI" w:hAnsi="Segoe UI" w:cs="Segoe UI"/>
                      <w:sz w:val="16"/>
                      <w:szCs w:val="16"/>
                    </w:rPr>
                    <w:t xml:space="preserve">Παρόλα αυτά, τον Ιούνιο </w:t>
                  </w:r>
                  <w:r w:rsidRPr="008330F2">
                    <w:rPr>
                      <w:rFonts w:ascii="Segoe UI" w:hAnsi="Segoe UI" w:cs="Segoe UI"/>
                      <w:sz w:val="16"/>
                      <w:szCs w:val="16"/>
                    </w:rPr>
                    <w:t xml:space="preserve">τα καθαρά έσοδα από προμήθειες </w:t>
                  </w:r>
                  <w:r w:rsidR="00F4651E">
                    <w:rPr>
                      <w:rFonts w:ascii="Segoe UI" w:hAnsi="Segoe UI" w:cs="Segoe UI"/>
                      <w:sz w:val="16"/>
                      <w:szCs w:val="16"/>
                    </w:rPr>
                    <w:t>ανέκαμψαν σημαντικά</w:t>
                  </w:r>
                  <w:r>
                    <w:rPr>
                      <w:rFonts w:ascii="Segoe UI" w:hAnsi="Segoe UI" w:cs="Segoe UI"/>
                      <w:sz w:val="16"/>
                      <w:szCs w:val="16"/>
                    </w:rPr>
                    <w:t xml:space="preserve"> κατά 30% σε μηνιαία βάση, ενώ σε επίπεδο εξαμήνου</w:t>
                  </w:r>
                  <w:r w:rsidRPr="007B41A8">
                    <w:rPr>
                      <w:rFonts w:ascii="Segoe UI" w:hAnsi="Segoe UI" w:cs="Segoe UI"/>
                      <w:sz w:val="16"/>
                      <w:szCs w:val="16"/>
                    </w:rPr>
                    <w:t xml:space="preserve"> τα καθαρά έσοδα από προμήθειες ενισχύθηκαν κατά 4% σε </w:t>
                  </w:r>
                  <w:r>
                    <w:rPr>
                      <w:rFonts w:ascii="Segoe UI" w:hAnsi="Segoe UI" w:cs="Segoe UI"/>
                      <w:sz w:val="16"/>
                      <w:szCs w:val="16"/>
                    </w:rPr>
                    <w:t xml:space="preserve">σχέση με το Α’ εξάμηνο 2019, ανερχόμενα </w:t>
                  </w:r>
                  <w:r w:rsidRPr="007B41A8">
                    <w:rPr>
                      <w:rFonts w:ascii="Segoe UI" w:hAnsi="Segoe UI" w:cs="Segoe UI"/>
                      <w:sz w:val="16"/>
                      <w:szCs w:val="16"/>
                    </w:rPr>
                    <w:t>σ</w:t>
                  </w:r>
                  <w:r>
                    <w:rPr>
                      <w:rFonts w:ascii="Segoe UI" w:hAnsi="Segoe UI" w:cs="Segoe UI"/>
                      <w:sz w:val="16"/>
                      <w:szCs w:val="16"/>
                    </w:rPr>
                    <w:t>ε €</w:t>
                  </w:r>
                  <w:r w:rsidRPr="007B41A8">
                    <w:rPr>
                      <w:rFonts w:ascii="Segoe UI" w:hAnsi="Segoe UI" w:cs="Segoe UI"/>
                      <w:sz w:val="16"/>
                      <w:szCs w:val="16"/>
                    </w:rPr>
                    <w:t>118 εκατ. ευρώ</w:t>
                  </w:r>
                  <w:r>
                    <w:rPr>
                      <w:rFonts w:ascii="Segoe UI" w:hAnsi="Segoe UI" w:cs="Segoe UI"/>
                      <w:sz w:val="16"/>
                      <w:szCs w:val="16"/>
                    </w:rPr>
                    <w:t>,</w:t>
                  </w:r>
                  <w:r w:rsidRPr="007B41A8">
                    <w:rPr>
                      <w:rFonts w:ascii="Segoe UI" w:hAnsi="Segoe UI" w:cs="Segoe UI"/>
                      <w:sz w:val="16"/>
                      <w:szCs w:val="16"/>
                    </w:rPr>
                    <w:t xml:space="preserve"> </w:t>
                  </w:r>
                  <w:r>
                    <w:rPr>
                      <w:rFonts w:ascii="Segoe UI" w:hAnsi="Segoe UI" w:cs="Segoe UI"/>
                      <w:sz w:val="16"/>
                      <w:szCs w:val="16"/>
                    </w:rPr>
                    <w:t xml:space="preserve">ως αποτέλεσμα της </w:t>
                  </w:r>
                  <w:r w:rsidRPr="00192FCD">
                    <w:rPr>
                      <w:rFonts w:ascii="Segoe UI" w:hAnsi="Segoe UI" w:cs="Segoe UI"/>
                      <w:sz w:val="16"/>
                      <w:szCs w:val="16"/>
                    </w:rPr>
                    <w:t>ανάκαμψη</w:t>
                  </w:r>
                  <w:r>
                    <w:rPr>
                      <w:rFonts w:ascii="Segoe UI" w:hAnsi="Segoe UI" w:cs="Segoe UI"/>
                      <w:sz w:val="16"/>
                      <w:szCs w:val="16"/>
                    </w:rPr>
                    <w:t>ς</w:t>
                  </w:r>
                  <w:r w:rsidRPr="00192FCD">
                    <w:rPr>
                      <w:rFonts w:ascii="Segoe UI" w:hAnsi="Segoe UI" w:cs="Segoe UI"/>
                      <w:sz w:val="16"/>
                      <w:szCs w:val="16"/>
                    </w:rPr>
                    <w:t xml:space="preserve"> των εσόδων από προμήθειες Λιανικής Τραπεζικής (+</w:t>
                  </w:r>
                  <w:r>
                    <w:rPr>
                      <w:rFonts w:ascii="Segoe UI" w:hAnsi="Segoe UI" w:cs="Segoe UI"/>
                      <w:sz w:val="16"/>
                      <w:szCs w:val="16"/>
                    </w:rPr>
                    <w:t>15% σε ετήσια βάση)</w:t>
                  </w:r>
                  <w:r w:rsidRPr="00192FCD">
                    <w:rPr>
                      <w:rFonts w:ascii="Segoe UI" w:hAnsi="Segoe UI" w:cs="Segoe UI"/>
                      <w:sz w:val="16"/>
                      <w:szCs w:val="16"/>
                    </w:rPr>
                    <w:t xml:space="preserve">, αντανακλώντας την ενίσχυση των προμηθειών από </w:t>
                  </w:r>
                  <w:r>
                    <w:rPr>
                      <w:rFonts w:ascii="Segoe UI" w:hAnsi="Segoe UI" w:cs="Segoe UI"/>
                      <w:sz w:val="16"/>
                      <w:szCs w:val="16"/>
                    </w:rPr>
                    <w:t xml:space="preserve">κάρτες, </w:t>
                  </w:r>
                  <w:r w:rsidRPr="00AF6134">
                    <w:rPr>
                      <w:rFonts w:ascii="Segoe UI" w:hAnsi="Segoe UI" w:cs="Segoe UI"/>
                      <w:sz w:val="16"/>
                      <w:szCs w:val="16"/>
                    </w:rPr>
                    <w:t>υπηρεσίες διαμεσολάβησης</w:t>
                  </w:r>
                  <w:r>
                    <w:rPr>
                      <w:rFonts w:ascii="Segoe UI" w:hAnsi="Segoe UI" w:cs="Segoe UI"/>
                      <w:sz w:val="16"/>
                      <w:szCs w:val="16"/>
                    </w:rPr>
                    <w:t xml:space="preserve"> και δάνεια</w:t>
                  </w:r>
                </w:p>
                <w:p w:rsidR="003B131A" w:rsidRDefault="003B131A" w:rsidP="000347D0">
                  <w:pPr>
                    <w:numPr>
                      <w:ilvl w:val="1"/>
                      <w:numId w:val="6"/>
                    </w:numPr>
                    <w:spacing w:before="80"/>
                    <w:rPr>
                      <w:rFonts w:ascii="Segoe UI" w:hAnsi="Segoe UI" w:cs="Segoe UI"/>
                      <w:sz w:val="16"/>
                      <w:szCs w:val="16"/>
                    </w:rPr>
                  </w:pPr>
                  <w:r w:rsidRPr="00AE56A7">
                    <w:rPr>
                      <w:rFonts w:ascii="Segoe UI" w:hAnsi="Segoe UI" w:cs="Segoe UI"/>
                      <w:sz w:val="16"/>
                      <w:szCs w:val="16"/>
                    </w:rPr>
                    <w:t>Τα κέρδη από χρηματοοικονομικές πράξεις και λοιπά έσοδα διαμορφώθηκαν σε €7</w:t>
                  </w:r>
                  <w:r>
                    <w:rPr>
                      <w:rFonts w:ascii="Segoe UI" w:hAnsi="Segoe UI" w:cs="Segoe UI"/>
                      <w:sz w:val="16"/>
                      <w:szCs w:val="16"/>
                    </w:rPr>
                    <w:t>86</w:t>
                  </w:r>
                  <w:r w:rsidRPr="00AE56A7">
                    <w:rPr>
                      <w:rFonts w:ascii="Segoe UI" w:hAnsi="Segoe UI" w:cs="Segoe UI"/>
                      <w:sz w:val="16"/>
                      <w:szCs w:val="16"/>
                    </w:rPr>
                    <w:t xml:space="preserve"> εκατ. </w:t>
                  </w:r>
                  <w:r>
                    <w:rPr>
                      <w:rFonts w:ascii="Segoe UI" w:hAnsi="Segoe UI" w:cs="Segoe UI"/>
                      <w:sz w:val="16"/>
                      <w:szCs w:val="16"/>
                    </w:rPr>
                    <w:t xml:space="preserve">το </w:t>
                  </w:r>
                  <w:r w:rsidRPr="00AE56A7">
                    <w:rPr>
                      <w:rFonts w:ascii="Segoe UI" w:hAnsi="Segoe UI" w:cs="Segoe UI"/>
                      <w:sz w:val="16"/>
                      <w:szCs w:val="16"/>
                    </w:rPr>
                    <w:t xml:space="preserve">Α’ </w:t>
                  </w:r>
                  <w:r>
                    <w:rPr>
                      <w:rFonts w:ascii="Segoe UI" w:hAnsi="Segoe UI" w:cs="Segoe UI"/>
                      <w:sz w:val="16"/>
                      <w:szCs w:val="16"/>
                    </w:rPr>
                    <w:t>εξάμηνο</w:t>
                  </w:r>
                  <w:r w:rsidRPr="00AE56A7">
                    <w:rPr>
                      <w:rFonts w:ascii="Segoe UI" w:hAnsi="Segoe UI" w:cs="Segoe UI"/>
                      <w:sz w:val="16"/>
                      <w:szCs w:val="16"/>
                    </w:rPr>
                    <w:t xml:space="preserve"> 2020, ενσωματώνοντας υψηλά μη επαναλαμβανόμενα κέρδη σχετιζόμενα με την ανταλλαγή τριών υφιστάμενων Ομολόγων Ελληνικού Δημοσίου (ΟΕΔ) που κατείχε η ΕΤΕ με ένα νέο ΟΕΔ </w:t>
                  </w:r>
                  <w:r>
                    <w:rPr>
                      <w:rFonts w:ascii="Segoe UI" w:hAnsi="Segoe UI" w:cs="Segoe UI"/>
                      <w:sz w:val="16"/>
                      <w:szCs w:val="16"/>
                    </w:rPr>
                    <w:t xml:space="preserve">ύψους </w:t>
                  </w:r>
                  <w:r w:rsidRPr="00AE56A7">
                    <w:rPr>
                      <w:rFonts w:ascii="Segoe UI" w:hAnsi="Segoe UI" w:cs="Segoe UI"/>
                      <w:sz w:val="16"/>
                      <w:szCs w:val="16"/>
                    </w:rPr>
                    <w:t>€515 εκατ.</w:t>
                  </w:r>
                  <w:r>
                    <w:rPr>
                      <w:rFonts w:ascii="Segoe UI" w:hAnsi="Segoe UI" w:cs="Segoe UI"/>
                      <w:sz w:val="16"/>
                      <w:szCs w:val="16"/>
                    </w:rPr>
                    <w:t xml:space="preserve">, καθώς </w:t>
                  </w:r>
                  <w:r w:rsidRPr="00AE56A7">
                    <w:rPr>
                      <w:rFonts w:ascii="Segoe UI" w:hAnsi="Segoe UI" w:cs="Segoe UI"/>
                      <w:sz w:val="16"/>
                      <w:szCs w:val="16"/>
                    </w:rPr>
                    <w:t xml:space="preserve">και την πώληση ΟΕΔ στο χαρτοφυλάκιο «διακρατούμενων για την είσπραξη συμβατικών ταμειακών ροών και για ενδεχόμενη πώληση» (HTCS) </w:t>
                  </w:r>
                  <w:r>
                    <w:rPr>
                      <w:rFonts w:ascii="Segoe UI" w:hAnsi="Segoe UI" w:cs="Segoe UI"/>
                      <w:sz w:val="16"/>
                      <w:szCs w:val="16"/>
                    </w:rPr>
                    <w:t xml:space="preserve">ύψους </w:t>
                  </w:r>
                  <w:r w:rsidRPr="00AE56A7">
                    <w:rPr>
                      <w:rFonts w:ascii="Segoe UI" w:hAnsi="Segoe UI" w:cs="Segoe UI"/>
                      <w:sz w:val="16"/>
                      <w:szCs w:val="16"/>
                    </w:rPr>
                    <w:t>€264 εκατ</w:t>
                  </w:r>
                  <w:r>
                    <w:rPr>
                      <w:rFonts w:ascii="Segoe UI" w:hAnsi="Segoe UI" w:cs="Segoe UI"/>
                      <w:sz w:val="16"/>
                      <w:szCs w:val="16"/>
                    </w:rPr>
                    <w:t>. κατά τη διάρκεια του Α’ τριμήνου 2020. Το Β’ τρίμηνο 2020, τ</w:t>
                  </w:r>
                  <w:r w:rsidRPr="00865610">
                    <w:rPr>
                      <w:rFonts w:ascii="Segoe UI" w:hAnsi="Segoe UI" w:cs="Segoe UI"/>
                      <w:sz w:val="16"/>
                      <w:szCs w:val="16"/>
                    </w:rPr>
                    <w:t>α κέρδη από χρηματοοικονομικές πράξεις και λοιπά έσοδα</w:t>
                  </w:r>
                  <w:r>
                    <w:rPr>
                      <w:rFonts w:ascii="Segoe UI" w:hAnsi="Segoe UI" w:cs="Segoe UI"/>
                      <w:sz w:val="16"/>
                      <w:szCs w:val="16"/>
                    </w:rPr>
                    <w:t xml:space="preserve"> ομαλοποιήθηκαν σε €12 εκατ. </w:t>
                  </w:r>
                </w:p>
                <w:p w:rsidR="003B131A" w:rsidRDefault="003B131A" w:rsidP="00214C08">
                  <w:pPr>
                    <w:numPr>
                      <w:ilvl w:val="1"/>
                      <w:numId w:val="6"/>
                    </w:numPr>
                    <w:spacing w:before="80"/>
                    <w:rPr>
                      <w:rFonts w:ascii="Segoe UI" w:hAnsi="Segoe UI" w:cs="Segoe UI"/>
                      <w:sz w:val="16"/>
                      <w:szCs w:val="16"/>
                    </w:rPr>
                  </w:pPr>
                  <w:r w:rsidRPr="00821D60">
                    <w:rPr>
                      <w:rFonts w:ascii="Segoe UI" w:hAnsi="Segoe UI" w:cs="Segoe UI"/>
                      <w:sz w:val="16"/>
                      <w:szCs w:val="16"/>
                    </w:rPr>
                    <w:t>Η περαιτέρω περιστολή των δαπανών προσωπικού και των γενικών διοικητικών και λοιπών λειτουργικών εξόδων</w:t>
                  </w:r>
                  <w:r>
                    <w:rPr>
                      <w:rFonts w:ascii="Segoe UI" w:hAnsi="Segoe UI" w:cs="Segoe UI"/>
                      <w:sz w:val="16"/>
                      <w:szCs w:val="16"/>
                    </w:rPr>
                    <w:t xml:space="preserve"> στην Ελλάδα </w:t>
                  </w:r>
                  <w:r w:rsidRPr="00821D60">
                    <w:rPr>
                      <w:rFonts w:ascii="Segoe UI" w:hAnsi="Segoe UI" w:cs="Segoe UI"/>
                      <w:sz w:val="16"/>
                      <w:szCs w:val="16"/>
                    </w:rPr>
                    <w:t xml:space="preserve">το Β’ τρίμηνο 2020 είχε ως αποτέλεσμα τη σημαντική αποκλιμάκωσή τους σε επίπεδο εξαμήνου κατά 9% και </w:t>
                  </w:r>
                  <w:r>
                    <w:rPr>
                      <w:rFonts w:ascii="Segoe UI" w:hAnsi="Segoe UI" w:cs="Segoe UI"/>
                      <w:sz w:val="16"/>
                      <w:szCs w:val="16"/>
                    </w:rPr>
                    <w:t>6</w:t>
                  </w:r>
                  <w:r w:rsidR="00214C08">
                    <w:rPr>
                      <w:rFonts w:ascii="Segoe UI" w:hAnsi="Segoe UI" w:cs="Segoe UI"/>
                      <w:sz w:val="16"/>
                      <w:szCs w:val="16"/>
                    </w:rPr>
                    <w:t xml:space="preserve">% σε ετήσια βάση </w:t>
                  </w:r>
                  <w:r w:rsidR="00214C08" w:rsidRPr="00214C08">
                    <w:rPr>
                      <w:rFonts w:ascii="Segoe UI" w:hAnsi="Segoe UI" w:cs="Segoe UI"/>
                      <w:sz w:val="16"/>
                      <w:szCs w:val="16"/>
                    </w:rPr>
                    <w:t xml:space="preserve">το </w:t>
                  </w:r>
                  <w:r w:rsidR="00214C08">
                    <w:rPr>
                      <w:rFonts w:ascii="Segoe UI" w:hAnsi="Segoe UI" w:cs="Segoe UI"/>
                      <w:sz w:val="16"/>
                      <w:szCs w:val="16"/>
                      <w:lang w:val="en-US"/>
                    </w:rPr>
                    <w:t>A</w:t>
                  </w:r>
                  <w:r w:rsidR="00214C08" w:rsidRPr="00214C08">
                    <w:rPr>
                      <w:rFonts w:ascii="Segoe UI" w:hAnsi="Segoe UI" w:cs="Segoe UI"/>
                      <w:sz w:val="16"/>
                      <w:szCs w:val="16"/>
                    </w:rPr>
                    <w:t xml:space="preserve">’ </w:t>
                  </w:r>
                  <w:r w:rsidR="00214C08">
                    <w:rPr>
                      <w:rFonts w:ascii="Segoe UI" w:hAnsi="Segoe UI" w:cs="Segoe UI"/>
                      <w:sz w:val="16"/>
                      <w:szCs w:val="16"/>
                    </w:rPr>
                    <w:t>εξάμηνο</w:t>
                  </w:r>
                  <w:r w:rsidR="00214C08" w:rsidRPr="00214C08">
                    <w:rPr>
                      <w:rFonts w:ascii="Segoe UI" w:hAnsi="Segoe UI" w:cs="Segoe UI"/>
                      <w:sz w:val="16"/>
                      <w:szCs w:val="16"/>
                    </w:rPr>
                    <w:t xml:space="preserve"> 2020</w:t>
                  </w:r>
                  <w:r w:rsidRPr="00821D60">
                    <w:rPr>
                      <w:rFonts w:ascii="Segoe UI" w:hAnsi="Segoe UI" w:cs="Segoe UI"/>
                      <w:sz w:val="16"/>
                      <w:szCs w:val="16"/>
                    </w:rPr>
                    <w:t>. Οι λειτουργικές δαπάνες διαμορφώθηκαν σε €406 εκατ. το Α’ εξάμηνο 2020 (-1% σε ετήσια βάση), απορροφώντας την αύξηση των αποσβέσεων ως αποτέλεσμα της αρνητικής επίπτωσης από τη μετάβαση στο διεθνές λογιστικό πρότυπο 16 (ΔΠΧΑ 16)</w:t>
                  </w:r>
                  <w:r>
                    <w:rPr>
                      <w:rFonts w:ascii="Segoe UI" w:hAnsi="Segoe UI" w:cs="Segoe UI"/>
                      <w:sz w:val="16"/>
                      <w:szCs w:val="16"/>
                    </w:rPr>
                    <w:t>,</w:t>
                  </w:r>
                  <w:r w:rsidRPr="00821D60">
                    <w:rPr>
                      <w:rFonts w:ascii="Segoe UI" w:hAnsi="Segoe UI" w:cs="Segoe UI"/>
                      <w:sz w:val="16"/>
                      <w:szCs w:val="16"/>
                    </w:rPr>
                    <w:t xml:space="preserve"> σε συνδυασμό με την πώληση του μειοψηφικού ποσοστού της ΕΤΕ στην ΠΑΝΓΑΙΑ (νυν «Prodea») στα μέσα του 2019 </w:t>
                  </w:r>
                </w:p>
                <w:p w:rsidR="003B131A" w:rsidRDefault="003B131A" w:rsidP="000347D0">
                  <w:pPr>
                    <w:numPr>
                      <w:ilvl w:val="1"/>
                      <w:numId w:val="6"/>
                    </w:numPr>
                    <w:spacing w:before="80"/>
                    <w:rPr>
                      <w:rFonts w:ascii="Segoe UI" w:hAnsi="Segoe UI" w:cs="Segoe UI"/>
                      <w:sz w:val="16"/>
                      <w:szCs w:val="16"/>
                    </w:rPr>
                  </w:pPr>
                  <w:r w:rsidRPr="004B5344">
                    <w:rPr>
                      <w:rFonts w:ascii="Segoe UI" w:hAnsi="Segoe UI" w:cs="Segoe UI"/>
                      <w:sz w:val="16"/>
                      <w:szCs w:val="16"/>
                    </w:rPr>
                    <w:t xml:space="preserve">Οι προβλέψεις για επισφαλείς απαιτήσεις ύψους €562 εκατ. το Α’ </w:t>
                  </w:r>
                  <w:r>
                    <w:rPr>
                      <w:rFonts w:ascii="Segoe UI" w:hAnsi="Segoe UI" w:cs="Segoe UI"/>
                      <w:sz w:val="16"/>
                      <w:szCs w:val="16"/>
                    </w:rPr>
                    <w:t>εξάμηνο</w:t>
                  </w:r>
                  <w:r w:rsidRPr="004B5344">
                    <w:rPr>
                      <w:rFonts w:ascii="Segoe UI" w:hAnsi="Segoe UI" w:cs="Segoe UI"/>
                      <w:sz w:val="16"/>
                      <w:szCs w:val="16"/>
                    </w:rPr>
                    <w:t xml:space="preserve"> 2020</w:t>
                  </w:r>
                  <w:r w:rsidRPr="009017E5">
                    <w:rPr>
                      <w:rFonts w:ascii="Segoe UI" w:hAnsi="Segoe UI" w:cs="Segoe UI"/>
                      <w:sz w:val="16"/>
                      <w:szCs w:val="16"/>
                    </w:rPr>
                    <w:t xml:space="preserve"> </w:t>
                  </w:r>
                  <w:r w:rsidRPr="004B5344">
                    <w:rPr>
                      <w:rFonts w:ascii="Segoe UI" w:hAnsi="Segoe UI" w:cs="Segoe UI"/>
                      <w:sz w:val="16"/>
                      <w:szCs w:val="16"/>
                    </w:rPr>
                    <w:t>ενσωματώνουν τις προβλέψεις απομείωσης ύψους €4</w:t>
                  </w:r>
                  <w:r w:rsidRPr="00795869">
                    <w:rPr>
                      <w:rFonts w:ascii="Segoe UI" w:hAnsi="Segoe UI" w:cs="Segoe UI"/>
                      <w:sz w:val="16"/>
                      <w:szCs w:val="16"/>
                    </w:rPr>
                    <w:t>2</w:t>
                  </w:r>
                  <w:r w:rsidRPr="004B5344">
                    <w:rPr>
                      <w:rFonts w:ascii="Segoe UI" w:hAnsi="Segoe UI" w:cs="Segoe UI"/>
                      <w:sz w:val="16"/>
                      <w:szCs w:val="16"/>
                    </w:rPr>
                    <w:t xml:space="preserve">6 εκατ. σχετιζόμενες με την πανδημία του κορωνοϊού, με το κόστος πιστωτικού κινδύνου να διαμορφώνεται σε </w:t>
                  </w:r>
                  <w:r>
                    <w:rPr>
                      <w:rFonts w:ascii="Segoe UI" w:hAnsi="Segoe UI" w:cs="Segoe UI"/>
                      <w:sz w:val="16"/>
                      <w:szCs w:val="16"/>
                    </w:rPr>
                    <w:t xml:space="preserve">περίπου </w:t>
                  </w:r>
                  <w:r w:rsidRPr="00E81C54">
                    <w:rPr>
                      <w:rFonts w:ascii="Segoe UI" w:hAnsi="Segoe UI" w:cs="Segoe UI"/>
                      <w:sz w:val="16"/>
                      <w:szCs w:val="16"/>
                    </w:rPr>
                    <w:t>94</w:t>
                  </w:r>
                  <w:r w:rsidRPr="004B5344">
                    <w:rPr>
                      <w:rFonts w:ascii="Segoe UI" w:hAnsi="Segoe UI" w:cs="Segoe UI"/>
                      <w:sz w:val="16"/>
                      <w:szCs w:val="16"/>
                    </w:rPr>
                    <w:t>μ.β</w:t>
                  </w:r>
                  <w:r>
                    <w:rPr>
                      <w:rFonts w:ascii="Segoe UI" w:hAnsi="Segoe UI" w:cs="Segoe UI"/>
                      <w:sz w:val="16"/>
                      <w:szCs w:val="16"/>
                    </w:rPr>
                    <w:t xml:space="preserve">. το </w:t>
                  </w:r>
                  <w:r w:rsidRPr="009017E5">
                    <w:rPr>
                      <w:rFonts w:ascii="Segoe UI" w:hAnsi="Segoe UI" w:cs="Segoe UI"/>
                      <w:sz w:val="16"/>
                      <w:szCs w:val="16"/>
                    </w:rPr>
                    <w:t>Α’ εξάμηνο 2020</w:t>
                  </w:r>
                  <w:r w:rsidRPr="004B5344">
                    <w:rPr>
                      <w:rFonts w:ascii="Segoe UI" w:hAnsi="Segoe UI" w:cs="Segoe UI"/>
                      <w:sz w:val="16"/>
                      <w:szCs w:val="16"/>
                    </w:rPr>
                    <w:t>, εξαι</w:t>
                  </w:r>
                  <w:r>
                    <w:rPr>
                      <w:rFonts w:ascii="Segoe UI" w:hAnsi="Segoe UI" w:cs="Segoe UI"/>
                      <w:sz w:val="16"/>
                      <w:szCs w:val="16"/>
                    </w:rPr>
                    <w:t xml:space="preserve">ρουμένων των εν λόγω προβλέψεων. </w:t>
                  </w:r>
                  <w:r>
                    <w:rPr>
                      <w:rFonts w:ascii="Segoe UI" w:hAnsi="Segoe UI" w:cs="Segoe UI"/>
                      <w:sz w:val="16"/>
                      <w:szCs w:val="16"/>
                      <w:lang w:val="en-US"/>
                    </w:rPr>
                    <w:t>To</w:t>
                  </w:r>
                  <w:r w:rsidRPr="00BD03A8">
                    <w:rPr>
                      <w:rFonts w:ascii="Segoe UI" w:hAnsi="Segoe UI" w:cs="Segoe UI"/>
                      <w:sz w:val="16"/>
                      <w:szCs w:val="16"/>
                    </w:rPr>
                    <w:t xml:space="preserve"> </w:t>
                  </w:r>
                  <w:r>
                    <w:rPr>
                      <w:rFonts w:ascii="Segoe UI" w:hAnsi="Segoe UI" w:cs="Segoe UI"/>
                      <w:sz w:val="16"/>
                      <w:szCs w:val="16"/>
                    </w:rPr>
                    <w:t xml:space="preserve">υποκείμενο </w:t>
                  </w:r>
                  <w:r w:rsidRPr="00BD03A8">
                    <w:rPr>
                      <w:rFonts w:ascii="Segoe UI" w:hAnsi="Segoe UI" w:cs="Segoe UI"/>
                      <w:sz w:val="16"/>
                      <w:szCs w:val="16"/>
                    </w:rPr>
                    <w:t xml:space="preserve">κόστος πιστωτικού κινδύνου </w:t>
                  </w:r>
                  <w:r>
                    <w:rPr>
                      <w:rFonts w:ascii="Segoe UI" w:hAnsi="Segoe UI" w:cs="Segoe UI"/>
                      <w:sz w:val="16"/>
                      <w:szCs w:val="16"/>
                    </w:rPr>
                    <w:t xml:space="preserve">το Β’ τρίμηνο 2020 ανήλθε σε </w:t>
                  </w:r>
                  <w:r w:rsidRPr="00E81C54">
                    <w:rPr>
                      <w:rFonts w:ascii="Segoe UI" w:hAnsi="Segoe UI" w:cs="Segoe UI"/>
                      <w:sz w:val="16"/>
                      <w:szCs w:val="16"/>
                    </w:rPr>
                    <w:t>92</w:t>
                  </w:r>
                  <w:r>
                    <w:rPr>
                      <w:rFonts w:ascii="Segoe UI" w:hAnsi="Segoe UI" w:cs="Segoe UI"/>
                      <w:sz w:val="16"/>
                      <w:szCs w:val="16"/>
                    </w:rPr>
                    <w:t>μ.β.</w:t>
                  </w:r>
                </w:p>
                <w:p w:rsidR="003B131A" w:rsidRPr="003E4A53" w:rsidRDefault="003B131A" w:rsidP="000347D0">
                  <w:pPr>
                    <w:numPr>
                      <w:ilvl w:val="1"/>
                      <w:numId w:val="6"/>
                    </w:numPr>
                    <w:spacing w:before="80"/>
                    <w:rPr>
                      <w:rFonts w:ascii="Segoe UI" w:hAnsi="Segoe UI" w:cs="Segoe UI"/>
                      <w:sz w:val="16"/>
                      <w:szCs w:val="16"/>
                    </w:rPr>
                  </w:pPr>
                  <w:r w:rsidRPr="00924716">
                    <w:rPr>
                      <w:rFonts w:ascii="Segoe UI" w:hAnsi="Segoe UI" w:cs="Segoe UI"/>
                      <w:sz w:val="16"/>
                      <w:szCs w:val="16"/>
                    </w:rPr>
                    <w:t xml:space="preserve">Παρά τις δυσμενείς συνθήκες λόγω της πανδημίας του κορωνοϊού, τα κέρδη μετά από φόρους από συνεχιζόμενες δραστηριότητες ανήλθαν σε </w:t>
                  </w:r>
                  <w:r>
                    <w:rPr>
                      <w:rFonts w:ascii="Segoe UI" w:hAnsi="Segoe UI" w:cs="Segoe UI"/>
                      <w:sz w:val="16"/>
                      <w:szCs w:val="16"/>
                    </w:rPr>
                    <w:t>€58 εκατ. Β’ τρίμηνο 2020</w:t>
                  </w:r>
                </w:p>
              </w:txbxContent>
            </v:textbox>
            <w10:wrap type="none"/>
            <w10:anchorlock/>
          </v:shape>
        </w:pict>
      </w:r>
    </w:p>
    <w:p w:rsidR="0061399D" w:rsidRDefault="00C00739" w:rsidP="00D11BCD">
      <w:pPr>
        <w:pStyle w:val="body"/>
        <w:rPr>
          <w:rFonts w:ascii="Segoe UI" w:hAnsi="Segoe UI" w:cs="Segoe UI"/>
        </w:rPr>
      </w:pPr>
      <w:r w:rsidRPr="00C00739">
        <w:rPr>
          <w:rFonts w:ascii="Segoe UI" w:hAnsi="Segoe UI" w:cs="Segoe UI"/>
          <w:noProof/>
          <w:color w:val="auto"/>
          <w:sz w:val="24"/>
          <w:szCs w:val="24"/>
          <w:lang w:eastAsia="el-GR"/>
        </w:rPr>
      </w:r>
      <w:r w:rsidRPr="00C00739">
        <w:rPr>
          <w:rFonts w:ascii="Segoe UI" w:hAnsi="Segoe UI" w:cs="Segoe UI"/>
          <w:noProof/>
          <w:color w:val="auto"/>
          <w:sz w:val="24"/>
          <w:szCs w:val="24"/>
          <w:lang w:eastAsia="el-GR"/>
        </w:rPr>
        <w:pict>
          <v:shape id="Text Box 42" o:spid="_x0000_s1063" type="#_x0000_t202" style="width:509.6pt;height:727pt;visibility:visible;mso-position-horizontal-relative:char;mso-position-vertical-relative:line" fillcolor="#f1f1f1" stroked="f">
            <v:fill opacity="58853f"/>
            <v:textbox>
              <w:txbxContent>
                <w:p w:rsidR="003B131A" w:rsidRPr="00322F1D" w:rsidRDefault="003B131A" w:rsidP="004B74D4">
                  <w:pPr>
                    <w:numPr>
                      <w:ilvl w:val="0"/>
                      <w:numId w:val="6"/>
                    </w:numPr>
                    <w:spacing w:before="120"/>
                    <w:rPr>
                      <w:rFonts w:ascii="Segoe UI" w:hAnsi="Segoe UI" w:cs="Segoe UI"/>
                      <w:b/>
                      <w:sz w:val="16"/>
                      <w:szCs w:val="16"/>
                    </w:rPr>
                  </w:pPr>
                  <w:r>
                    <w:rPr>
                      <w:rFonts w:ascii="Segoe UI" w:hAnsi="Segoe UI" w:cs="Segoe UI"/>
                      <w:b/>
                      <w:sz w:val="16"/>
                      <w:szCs w:val="16"/>
                    </w:rPr>
                    <w:t>Τ</w:t>
                  </w:r>
                  <w:r w:rsidRPr="004B74D4">
                    <w:rPr>
                      <w:rFonts w:ascii="Segoe UI" w:hAnsi="Segoe UI" w:cs="Segoe UI"/>
                      <w:b/>
                      <w:sz w:val="16"/>
                      <w:szCs w:val="16"/>
                    </w:rPr>
                    <w:t>ο υπόλοιπο Μ</w:t>
                  </w:r>
                  <w:r>
                    <w:rPr>
                      <w:rFonts w:ascii="Segoe UI" w:hAnsi="Segoe UI" w:cs="Segoe UI"/>
                      <w:b/>
                      <w:sz w:val="16"/>
                      <w:szCs w:val="16"/>
                    </w:rPr>
                    <w:t xml:space="preserve">η </w:t>
                  </w:r>
                  <w:r w:rsidRPr="004B74D4">
                    <w:rPr>
                      <w:rFonts w:ascii="Segoe UI" w:hAnsi="Segoe UI" w:cs="Segoe UI"/>
                      <w:b/>
                      <w:sz w:val="16"/>
                      <w:szCs w:val="16"/>
                    </w:rPr>
                    <w:t>Ε</w:t>
                  </w:r>
                  <w:r>
                    <w:rPr>
                      <w:rFonts w:ascii="Segoe UI" w:hAnsi="Segoe UI" w:cs="Segoe UI"/>
                      <w:b/>
                      <w:sz w:val="16"/>
                      <w:szCs w:val="16"/>
                    </w:rPr>
                    <w:t xml:space="preserve">ξυπηρετούμενων </w:t>
                  </w:r>
                  <w:r w:rsidRPr="004B74D4">
                    <w:rPr>
                      <w:rFonts w:ascii="Segoe UI" w:hAnsi="Segoe UI" w:cs="Segoe UI"/>
                      <w:b/>
                      <w:sz w:val="16"/>
                      <w:szCs w:val="16"/>
                    </w:rPr>
                    <w:t>Α</w:t>
                  </w:r>
                  <w:r>
                    <w:rPr>
                      <w:rFonts w:ascii="Segoe UI" w:hAnsi="Segoe UI" w:cs="Segoe UI"/>
                      <w:b/>
                      <w:sz w:val="16"/>
                      <w:szCs w:val="16"/>
                    </w:rPr>
                    <w:t>νοιγμάτων (ΜΕΑ)</w:t>
                  </w:r>
                  <w:r w:rsidRPr="004B74D4">
                    <w:rPr>
                      <w:rFonts w:ascii="Segoe UI" w:hAnsi="Segoe UI" w:cs="Segoe UI"/>
                      <w:b/>
                      <w:sz w:val="16"/>
                      <w:szCs w:val="16"/>
                    </w:rPr>
                    <w:t xml:space="preserve"> σε επίπεδο Τράπεζας </w:t>
                  </w:r>
                  <w:r>
                    <w:rPr>
                      <w:rFonts w:ascii="Segoe UI" w:hAnsi="Segoe UI" w:cs="Segoe UI"/>
                      <w:b/>
                      <w:sz w:val="16"/>
                      <w:szCs w:val="16"/>
                    </w:rPr>
                    <w:t xml:space="preserve">μειώθηκε σε </w:t>
                  </w:r>
                  <w:r w:rsidRPr="004B74D4">
                    <w:rPr>
                      <w:rFonts w:ascii="Segoe UI" w:hAnsi="Segoe UI" w:cs="Segoe UI"/>
                      <w:b/>
                      <w:sz w:val="16"/>
                      <w:szCs w:val="16"/>
                    </w:rPr>
                    <w:t>€10.</w:t>
                  </w:r>
                  <w:r>
                    <w:rPr>
                      <w:rFonts w:ascii="Segoe UI" w:hAnsi="Segoe UI" w:cs="Segoe UI"/>
                      <w:b/>
                      <w:sz w:val="16"/>
                      <w:szCs w:val="16"/>
                    </w:rPr>
                    <w:t>1</w:t>
                  </w:r>
                  <w:r w:rsidRPr="004B74D4">
                    <w:rPr>
                      <w:rFonts w:ascii="Segoe UI" w:hAnsi="Segoe UI" w:cs="Segoe UI"/>
                      <w:b/>
                      <w:sz w:val="16"/>
                      <w:szCs w:val="16"/>
                    </w:rPr>
                    <w:t xml:space="preserve"> δισ. το </w:t>
                  </w:r>
                  <w:r>
                    <w:rPr>
                      <w:rFonts w:ascii="Segoe UI" w:hAnsi="Segoe UI" w:cs="Segoe UI"/>
                      <w:b/>
                      <w:sz w:val="16"/>
                      <w:szCs w:val="16"/>
                    </w:rPr>
                    <w:t>Β</w:t>
                  </w:r>
                  <w:r w:rsidRPr="004B74D4">
                    <w:rPr>
                      <w:rFonts w:ascii="Segoe UI" w:hAnsi="Segoe UI" w:cs="Segoe UI"/>
                      <w:b/>
                      <w:sz w:val="16"/>
                      <w:szCs w:val="16"/>
                    </w:rPr>
                    <w:t>’ τρίμηνο 2020</w:t>
                  </w:r>
                </w:p>
                <w:p w:rsidR="003B131A" w:rsidRDefault="003B131A" w:rsidP="00BD03A8">
                  <w:pPr>
                    <w:pStyle w:val="a7"/>
                    <w:numPr>
                      <w:ilvl w:val="0"/>
                      <w:numId w:val="7"/>
                    </w:numPr>
                    <w:spacing w:before="100" w:after="0" w:line="240" w:lineRule="auto"/>
                    <w:jc w:val="left"/>
                    <w:rPr>
                      <w:rFonts w:ascii="Segoe UI" w:hAnsi="Segoe UI" w:cs="Segoe UI"/>
                      <w:sz w:val="16"/>
                      <w:szCs w:val="16"/>
                    </w:rPr>
                  </w:pPr>
                  <w:r w:rsidRPr="00B451EB">
                    <w:rPr>
                      <w:rFonts w:ascii="Segoe UI" w:hAnsi="Segoe UI" w:cs="Segoe UI"/>
                      <w:sz w:val="16"/>
                      <w:szCs w:val="16"/>
                    </w:rPr>
                    <w:t xml:space="preserve">Η μείωση των ΜΕΑ συνεχίστηκε κατά το </w:t>
                  </w:r>
                  <w:r>
                    <w:rPr>
                      <w:rFonts w:ascii="Segoe UI" w:hAnsi="Segoe UI" w:cs="Segoe UI"/>
                      <w:sz w:val="16"/>
                      <w:szCs w:val="16"/>
                    </w:rPr>
                    <w:t>Β</w:t>
                  </w:r>
                  <w:r w:rsidRPr="00B451EB">
                    <w:rPr>
                      <w:rFonts w:ascii="Segoe UI" w:hAnsi="Segoe UI" w:cs="Segoe UI"/>
                      <w:sz w:val="16"/>
                      <w:szCs w:val="16"/>
                    </w:rPr>
                    <w:t>’ τρίμηνο 2020</w:t>
                  </w:r>
                  <w:r>
                    <w:rPr>
                      <w:rFonts w:ascii="Segoe UI" w:hAnsi="Segoe UI" w:cs="Segoe UI"/>
                      <w:sz w:val="16"/>
                      <w:szCs w:val="16"/>
                    </w:rPr>
                    <w:t xml:space="preserve"> (-€0,3 δισ.</w:t>
                  </w:r>
                  <w:r w:rsidRPr="009C6DC9">
                    <w:rPr>
                      <w:rFonts w:ascii="Segoe UI" w:hAnsi="Segoe UI" w:cs="Segoe UI"/>
                      <w:sz w:val="16"/>
                      <w:szCs w:val="16"/>
                    </w:rPr>
                    <w:t xml:space="preserve"> </w:t>
                  </w:r>
                  <w:r w:rsidRPr="00B451EB">
                    <w:rPr>
                      <w:rFonts w:ascii="Segoe UI" w:hAnsi="Segoe UI" w:cs="Segoe UI"/>
                      <w:sz w:val="16"/>
                      <w:szCs w:val="16"/>
                    </w:rPr>
                    <w:t>σε τριμηνιαία βάση</w:t>
                  </w:r>
                  <w:r>
                    <w:rPr>
                      <w:rFonts w:ascii="Segoe UI" w:hAnsi="Segoe UI" w:cs="Segoe UI"/>
                      <w:sz w:val="16"/>
                      <w:szCs w:val="16"/>
                    </w:rPr>
                    <w:t>)</w:t>
                  </w:r>
                  <w:r w:rsidRPr="00B451EB">
                    <w:rPr>
                      <w:rFonts w:ascii="Segoe UI" w:hAnsi="Segoe UI" w:cs="Segoe UI"/>
                      <w:sz w:val="16"/>
                      <w:szCs w:val="16"/>
                    </w:rPr>
                    <w:t>, αντανακλώντας οργανικές ενέργειες</w:t>
                  </w:r>
                  <w:r>
                    <w:rPr>
                      <w:rFonts w:ascii="Segoe UI" w:hAnsi="Segoe UI" w:cs="Segoe UI"/>
                      <w:sz w:val="16"/>
                      <w:szCs w:val="16"/>
                    </w:rPr>
                    <w:t xml:space="preserve">, παρά την προσωρινή διακοπή των ρευστοποιήσεων ενεχύρων. </w:t>
                  </w:r>
                  <w:r w:rsidRPr="009C6DC9">
                    <w:rPr>
                      <w:rFonts w:ascii="Segoe UI" w:hAnsi="Segoe UI" w:cs="Segoe UI"/>
                      <w:sz w:val="16"/>
                      <w:szCs w:val="16"/>
                    </w:rPr>
                    <w:t xml:space="preserve">Οι καθαρές εισροές ΜΕΑ </w:t>
                  </w:r>
                  <w:r>
                    <w:rPr>
                      <w:rFonts w:ascii="Segoe UI" w:hAnsi="Segoe UI" w:cs="Segoe UI"/>
                      <w:sz w:val="16"/>
                      <w:szCs w:val="16"/>
                    </w:rPr>
                    <w:t xml:space="preserve">μειώθηκαν </w:t>
                  </w:r>
                  <w:r w:rsidRPr="009C6DC9">
                    <w:rPr>
                      <w:rFonts w:ascii="Segoe UI" w:hAnsi="Segoe UI" w:cs="Segoe UI"/>
                      <w:sz w:val="16"/>
                      <w:szCs w:val="16"/>
                    </w:rPr>
                    <w:t xml:space="preserve">σε σχέση με το </w:t>
                  </w:r>
                  <w:r>
                    <w:rPr>
                      <w:rFonts w:ascii="Segoe UI" w:hAnsi="Segoe UI" w:cs="Segoe UI"/>
                      <w:sz w:val="16"/>
                      <w:szCs w:val="16"/>
                    </w:rPr>
                    <w:t>Α</w:t>
                  </w:r>
                  <w:r w:rsidRPr="009C6DC9">
                    <w:rPr>
                      <w:rFonts w:ascii="Segoe UI" w:hAnsi="Segoe UI" w:cs="Segoe UI"/>
                      <w:sz w:val="16"/>
                      <w:szCs w:val="16"/>
                    </w:rPr>
                    <w:t>’ τρίμηνο 20</w:t>
                  </w:r>
                  <w:r>
                    <w:rPr>
                      <w:rFonts w:ascii="Segoe UI" w:hAnsi="Segoe UI" w:cs="Segoe UI"/>
                      <w:sz w:val="16"/>
                      <w:szCs w:val="16"/>
                    </w:rPr>
                    <w:t>20</w:t>
                  </w:r>
                  <w:r w:rsidRPr="009C6DC9">
                    <w:rPr>
                      <w:rFonts w:ascii="Segoe UI" w:hAnsi="Segoe UI" w:cs="Segoe UI"/>
                      <w:sz w:val="16"/>
                      <w:szCs w:val="16"/>
                    </w:rPr>
                    <w:t>, αντ</w:t>
                  </w:r>
                  <w:r>
                    <w:rPr>
                      <w:rFonts w:ascii="Segoe UI" w:hAnsi="Segoe UI" w:cs="Segoe UI"/>
                      <w:sz w:val="16"/>
                      <w:szCs w:val="16"/>
                    </w:rPr>
                    <w:t>ικατοπτρίζοντας την</w:t>
                  </w:r>
                  <w:r w:rsidRPr="009C6DC9">
                    <w:rPr>
                      <w:rFonts w:ascii="Segoe UI" w:hAnsi="Segoe UI" w:cs="Segoe UI"/>
                      <w:sz w:val="16"/>
                      <w:szCs w:val="16"/>
                    </w:rPr>
                    <w:t xml:space="preserve"> εφαρμογή μέτρων διευκόλυνσης καταβολής οφειλών</w:t>
                  </w:r>
                  <w:r>
                    <w:rPr>
                      <w:rFonts w:ascii="Segoe UI" w:hAnsi="Segoe UI" w:cs="Segoe UI"/>
                      <w:sz w:val="16"/>
                      <w:szCs w:val="16"/>
                    </w:rPr>
                    <w:t>, καθώς και τα κυβερνητικά</w:t>
                  </w:r>
                  <w:r w:rsidRPr="003E6906">
                    <w:rPr>
                      <w:rFonts w:ascii="Segoe UI" w:hAnsi="Segoe UI" w:cs="Segoe UI"/>
                      <w:sz w:val="16"/>
                      <w:szCs w:val="16"/>
                    </w:rPr>
                    <w:t xml:space="preserve"> προγρ</w:t>
                  </w:r>
                  <w:r>
                    <w:rPr>
                      <w:rFonts w:ascii="Segoe UI" w:hAnsi="Segoe UI" w:cs="Segoe UI"/>
                      <w:sz w:val="16"/>
                      <w:szCs w:val="16"/>
                    </w:rPr>
                    <w:t xml:space="preserve">άμματα </w:t>
                  </w:r>
                  <w:r w:rsidRPr="003E6906">
                    <w:rPr>
                      <w:rFonts w:ascii="Segoe UI" w:hAnsi="Segoe UI" w:cs="Segoe UI"/>
                      <w:sz w:val="16"/>
                      <w:szCs w:val="16"/>
                    </w:rPr>
                    <w:t>στήριξης</w:t>
                  </w:r>
                  <w:r>
                    <w:rPr>
                      <w:rFonts w:ascii="Segoe UI" w:hAnsi="Segoe UI" w:cs="Segoe UI"/>
                      <w:sz w:val="16"/>
                      <w:szCs w:val="16"/>
                    </w:rPr>
                    <w:t xml:space="preserve"> των δανειοληπτών</w:t>
                  </w:r>
                  <w:r w:rsidRPr="009C6DC9">
                    <w:rPr>
                      <w:rFonts w:ascii="Segoe UI" w:hAnsi="Segoe UI" w:cs="Segoe UI"/>
                      <w:sz w:val="16"/>
                      <w:szCs w:val="16"/>
                    </w:rPr>
                    <w:t>.</w:t>
                  </w:r>
                  <w:r w:rsidRPr="00B451EB">
                    <w:rPr>
                      <w:rFonts w:ascii="Segoe UI" w:hAnsi="Segoe UI" w:cs="Segoe UI"/>
                      <w:sz w:val="16"/>
                      <w:szCs w:val="16"/>
                    </w:rPr>
                    <w:t xml:space="preserve"> </w:t>
                  </w:r>
                  <w:r>
                    <w:rPr>
                      <w:rFonts w:ascii="Segoe UI" w:hAnsi="Segoe UI" w:cs="Segoe UI"/>
                      <w:sz w:val="16"/>
                      <w:szCs w:val="16"/>
                    </w:rPr>
                    <w:t>Η αποκατάσταση της τακτικής εξυπηρέτησης δανείων (</w:t>
                  </w:r>
                  <w:r>
                    <w:rPr>
                      <w:rFonts w:ascii="Segoe UI" w:hAnsi="Segoe UI" w:cs="Segoe UI"/>
                      <w:sz w:val="16"/>
                      <w:szCs w:val="16"/>
                      <w:lang w:val="en-US"/>
                    </w:rPr>
                    <w:t>curings</w:t>
                  </w:r>
                  <w:r w:rsidRPr="009248D8">
                    <w:rPr>
                      <w:rFonts w:ascii="Segoe UI" w:hAnsi="Segoe UI" w:cs="Segoe UI"/>
                      <w:sz w:val="16"/>
                      <w:szCs w:val="16"/>
                    </w:rPr>
                    <w:t xml:space="preserve">) </w:t>
                  </w:r>
                  <w:r>
                    <w:rPr>
                      <w:rFonts w:ascii="Segoe UI" w:hAnsi="Segoe UI" w:cs="Segoe UI"/>
                      <w:sz w:val="16"/>
                      <w:szCs w:val="16"/>
                    </w:rPr>
                    <w:t>σημείωσε βελτίωση το Β’ τρίμηνο 2020 σε σχέση με το προηγούμενο τρίμηνο</w:t>
                  </w:r>
                </w:p>
                <w:p w:rsidR="003B131A" w:rsidRDefault="003B131A" w:rsidP="00BD03A8">
                  <w:pPr>
                    <w:pStyle w:val="a7"/>
                    <w:numPr>
                      <w:ilvl w:val="0"/>
                      <w:numId w:val="7"/>
                    </w:numPr>
                    <w:spacing w:before="100" w:after="0" w:line="240" w:lineRule="auto"/>
                    <w:jc w:val="left"/>
                    <w:rPr>
                      <w:rFonts w:ascii="Segoe UI" w:hAnsi="Segoe UI" w:cs="Segoe UI"/>
                      <w:sz w:val="16"/>
                      <w:szCs w:val="16"/>
                    </w:rPr>
                  </w:pPr>
                  <w:r>
                    <w:rPr>
                      <w:rFonts w:ascii="Segoe UI" w:hAnsi="Segoe UI" w:cs="Segoe UI"/>
                      <w:sz w:val="16"/>
                      <w:szCs w:val="16"/>
                    </w:rPr>
                    <w:t>Ο</w:t>
                  </w:r>
                  <w:r w:rsidRPr="00951019">
                    <w:rPr>
                      <w:rFonts w:ascii="Segoe UI" w:hAnsi="Segoe UI" w:cs="Segoe UI"/>
                      <w:sz w:val="16"/>
                      <w:szCs w:val="16"/>
                    </w:rPr>
                    <w:t xml:space="preserve"> δείκτη</w:t>
                  </w:r>
                  <w:r>
                    <w:rPr>
                      <w:rFonts w:ascii="Segoe UI" w:hAnsi="Segoe UI" w:cs="Segoe UI"/>
                      <w:sz w:val="16"/>
                      <w:szCs w:val="16"/>
                    </w:rPr>
                    <w:t>ς</w:t>
                  </w:r>
                  <w:r w:rsidRPr="00951019">
                    <w:rPr>
                      <w:rFonts w:ascii="Segoe UI" w:hAnsi="Segoe UI" w:cs="Segoe UI"/>
                      <w:sz w:val="16"/>
                      <w:szCs w:val="16"/>
                    </w:rPr>
                    <w:t xml:space="preserve"> κάλυψης ΜΕΑ από σωρευμένες προβλέψεις διαμορφώθηκε σε </w:t>
                  </w:r>
                  <w:r>
                    <w:rPr>
                      <w:rFonts w:ascii="Segoe UI" w:hAnsi="Segoe UI" w:cs="Segoe UI"/>
                      <w:sz w:val="16"/>
                      <w:szCs w:val="16"/>
                    </w:rPr>
                    <w:t xml:space="preserve">επίπεδα άνω του </w:t>
                  </w:r>
                  <w:r w:rsidRPr="00951019">
                    <w:rPr>
                      <w:rFonts w:ascii="Segoe UI" w:hAnsi="Segoe UI" w:cs="Segoe UI"/>
                      <w:sz w:val="16"/>
                      <w:szCs w:val="16"/>
                    </w:rPr>
                    <w:t>5</w:t>
                  </w:r>
                  <w:r>
                    <w:rPr>
                      <w:rFonts w:ascii="Segoe UI" w:hAnsi="Segoe UI" w:cs="Segoe UI"/>
                      <w:sz w:val="16"/>
                      <w:szCs w:val="16"/>
                    </w:rPr>
                    <w:t>7</w:t>
                  </w:r>
                  <w:r w:rsidRPr="00951019">
                    <w:rPr>
                      <w:rFonts w:ascii="Segoe UI" w:hAnsi="Segoe UI" w:cs="Segoe UI"/>
                      <w:sz w:val="16"/>
                      <w:szCs w:val="16"/>
                    </w:rPr>
                    <w:t xml:space="preserve">%, παρέχοντας στην ΕΤΕ ευελιξία αναφορικά με τη στρατηγική </w:t>
                  </w:r>
                  <w:r>
                    <w:rPr>
                      <w:rFonts w:ascii="Segoe UI" w:hAnsi="Segoe UI" w:cs="Segoe UI"/>
                      <w:sz w:val="16"/>
                      <w:szCs w:val="16"/>
                    </w:rPr>
                    <w:t xml:space="preserve">περαιτέρω </w:t>
                  </w:r>
                  <w:r w:rsidRPr="00951019">
                    <w:rPr>
                      <w:rFonts w:ascii="Segoe UI" w:hAnsi="Segoe UI" w:cs="Segoe UI"/>
                      <w:sz w:val="16"/>
                      <w:szCs w:val="16"/>
                    </w:rPr>
                    <w:t>μείωσης ΜΕΑ της Τράπεζας</w:t>
                  </w:r>
                </w:p>
                <w:p w:rsidR="003B131A" w:rsidRDefault="003B131A" w:rsidP="00BD03A8">
                  <w:pPr>
                    <w:pStyle w:val="a7"/>
                    <w:numPr>
                      <w:ilvl w:val="0"/>
                      <w:numId w:val="7"/>
                    </w:numPr>
                    <w:spacing w:before="100" w:after="0" w:line="240" w:lineRule="auto"/>
                    <w:jc w:val="left"/>
                    <w:rPr>
                      <w:rFonts w:ascii="Segoe UI" w:hAnsi="Segoe UI" w:cs="Segoe UI"/>
                      <w:sz w:val="16"/>
                      <w:szCs w:val="16"/>
                    </w:rPr>
                  </w:pPr>
                  <w:r w:rsidRPr="005036E6">
                    <w:rPr>
                      <w:rFonts w:ascii="Segoe UI" w:hAnsi="Segoe UI" w:cs="Segoe UI"/>
                      <w:sz w:val="16"/>
                      <w:szCs w:val="16"/>
                    </w:rPr>
                    <w:t xml:space="preserve">Η συμφωνία της ΕΤΕ τον Ιούνιο για την πώληση χαρτοφυλακίου μη εξυπηρετούμενων επιχειρηματικών δανείων με εμπράγματες εξασφαλίσεις ύψους €1,6 δισ. (Project </w:t>
                  </w:r>
                  <w:proofErr w:type="spellStart"/>
                  <w:r w:rsidRPr="005036E6">
                    <w:rPr>
                      <w:rFonts w:ascii="Segoe UI" w:hAnsi="Segoe UI" w:cs="Segoe UI"/>
                      <w:sz w:val="16"/>
                      <w:szCs w:val="16"/>
                    </w:rPr>
                    <w:t>Icon</w:t>
                  </w:r>
                  <w:proofErr w:type="spellEnd"/>
                  <w:r w:rsidRPr="005036E6">
                    <w:rPr>
                      <w:rFonts w:ascii="Segoe UI" w:hAnsi="Segoe UI" w:cs="Segoe UI"/>
                      <w:sz w:val="16"/>
                      <w:szCs w:val="16"/>
                    </w:rPr>
                    <w:t xml:space="preserve">) ολοκληρώνει μια σειρά </w:t>
                  </w:r>
                  <w:r>
                    <w:rPr>
                      <w:rFonts w:ascii="Segoe UI" w:hAnsi="Segoe UI" w:cs="Segoe UI"/>
                      <w:sz w:val="16"/>
                      <w:szCs w:val="16"/>
                    </w:rPr>
                    <w:t xml:space="preserve">επιτυχημένων </w:t>
                  </w:r>
                  <w:r w:rsidRPr="005036E6">
                    <w:rPr>
                      <w:rFonts w:ascii="Segoe UI" w:hAnsi="Segoe UI" w:cs="Segoe UI"/>
                      <w:sz w:val="16"/>
                      <w:szCs w:val="16"/>
                    </w:rPr>
                    <w:t xml:space="preserve">πωλήσεων ΜΕΑ </w:t>
                  </w:r>
                  <w:r>
                    <w:rPr>
                      <w:rFonts w:ascii="Segoe UI" w:hAnsi="Segoe UI" w:cs="Segoe UI"/>
                      <w:sz w:val="16"/>
                      <w:szCs w:val="16"/>
                    </w:rPr>
                    <w:t xml:space="preserve">στην Ελλάδα </w:t>
                  </w:r>
                  <w:r w:rsidRPr="005036E6">
                    <w:rPr>
                      <w:rFonts w:ascii="Segoe UI" w:hAnsi="Segoe UI" w:cs="Segoe UI"/>
                      <w:sz w:val="16"/>
                      <w:szCs w:val="16"/>
                    </w:rPr>
                    <w:t xml:space="preserve">συνολικού ύψους περίπου €6 δισ., οδηγώντας το απόθεμα ΜΕΑ σε </w:t>
                  </w:r>
                  <w:r w:rsidR="00D23C45">
                    <w:rPr>
                      <w:rFonts w:ascii="Segoe UI" w:hAnsi="Segoe UI" w:cs="Segoe UI"/>
                      <w:sz w:val="16"/>
                      <w:szCs w:val="16"/>
                    </w:rPr>
                    <w:t xml:space="preserve">επίπεδο Τράπεζας σε </w:t>
                  </w:r>
                  <w:r w:rsidRPr="005036E6">
                    <w:rPr>
                      <w:rFonts w:ascii="Segoe UI" w:hAnsi="Segoe UI" w:cs="Segoe UI"/>
                      <w:sz w:val="16"/>
                      <w:szCs w:val="16"/>
                    </w:rPr>
                    <w:t xml:space="preserve">€10,1 δισ. </w:t>
                  </w:r>
                </w:p>
                <w:p w:rsidR="003B131A" w:rsidRDefault="003B131A" w:rsidP="00BD03A8">
                  <w:pPr>
                    <w:pStyle w:val="a7"/>
                    <w:numPr>
                      <w:ilvl w:val="0"/>
                      <w:numId w:val="7"/>
                    </w:numPr>
                    <w:spacing w:before="100" w:after="0" w:line="240" w:lineRule="auto"/>
                    <w:jc w:val="left"/>
                    <w:rPr>
                      <w:rFonts w:ascii="Segoe UI" w:hAnsi="Segoe UI" w:cs="Segoe UI"/>
                      <w:sz w:val="16"/>
                      <w:szCs w:val="16"/>
                    </w:rPr>
                  </w:pPr>
                  <w:r w:rsidRPr="005036E6">
                    <w:rPr>
                      <w:rFonts w:ascii="Segoe UI" w:hAnsi="Segoe UI" w:cs="Segoe UI"/>
                      <w:sz w:val="16"/>
                      <w:szCs w:val="16"/>
                    </w:rPr>
                    <w:t xml:space="preserve">Η Τράπεζα έχει ήδη ολοκληρώσει τα βασικά προπαρασκευαστικά βήματα για τη μεγάλη τιτλοποίηση </w:t>
                  </w:r>
                  <w:r>
                    <w:rPr>
                      <w:rFonts w:ascii="Segoe UI" w:hAnsi="Segoe UI" w:cs="Segoe UI"/>
                      <w:sz w:val="16"/>
                      <w:szCs w:val="16"/>
                    </w:rPr>
                    <w:t>πλέον των</w:t>
                  </w:r>
                  <w:r w:rsidRPr="005036E6">
                    <w:rPr>
                      <w:rFonts w:ascii="Segoe UI" w:hAnsi="Segoe UI" w:cs="Segoe UI"/>
                      <w:sz w:val="16"/>
                      <w:szCs w:val="16"/>
                    </w:rPr>
                    <w:t xml:space="preserve"> €6</w:t>
                  </w:r>
                  <w:r>
                    <w:rPr>
                      <w:rFonts w:ascii="Segoe UI" w:hAnsi="Segoe UI" w:cs="Segoe UI"/>
                      <w:sz w:val="16"/>
                      <w:szCs w:val="16"/>
                    </w:rPr>
                    <w:t xml:space="preserve"> </w:t>
                  </w:r>
                  <w:r w:rsidRPr="005036E6">
                    <w:rPr>
                      <w:rFonts w:ascii="Segoe UI" w:hAnsi="Segoe UI" w:cs="Segoe UI"/>
                      <w:sz w:val="16"/>
                      <w:szCs w:val="16"/>
                    </w:rPr>
                    <w:t xml:space="preserve">δισ. (Project Frontier), με την εν λόγω συναλλαγή να αναμένεται να </w:t>
                  </w:r>
                  <w:r w:rsidR="00F4651E">
                    <w:rPr>
                      <w:rFonts w:ascii="Segoe UI" w:hAnsi="Segoe UI" w:cs="Segoe UI"/>
                      <w:sz w:val="16"/>
                      <w:szCs w:val="16"/>
                    </w:rPr>
                    <w:t>ολοκληρωθεί το Α’ εξάμηνο 2021</w:t>
                  </w:r>
                </w:p>
                <w:p w:rsidR="00E24A18" w:rsidRPr="00E24A18" w:rsidRDefault="00E24A18" w:rsidP="00E24A18">
                  <w:pPr>
                    <w:pStyle w:val="a7"/>
                    <w:spacing w:before="100" w:after="0" w:line="240" w:lineRule="auto"/>
                    <w:ind w:left="644"/>
                    <w:jc w:val="left"/>
                    <w:rPr>
                      <w:rFonts w:ascii="Segoe UI" w:hAnsi="Segoe UI" w:cs="Segoe UI"/>
                      <w:sz w:val="2"/>
                      <w:szCs w:val="2"/>
                    </w:rPr>
                  </w:pPr>
                </w:p>
                <w:p w:rsidR="003B131A" w:rsidRPr="00322F1D" w:rsidRDefault="003B131A" w:rsidP="0061399D">
                  <w:pPr>
                    <w:numPr>
                      <w:ilvl w:val="0"/>
                      <w:numId w:val="6"/>
                    </w:numPr>
                    <w:spacing w:before="120"/>
                    <w:ind w:left="351" w:hanging="357"/>
                    <w:rPr>
                      <w:rFonts w:ascii="Segoe UI" w:hAnsi="Segoe UI" w:cs="Segoe UI"/>
                      <w:b/>
                      <w:sz w:val="16"/>
                      <w:szCs w:val="16"/>
                    </w:rPr>
                  </w:pPr>
                  <w:r w:rsidRPr="00322F1D">
                    <w:rPr>
                      <w:rFonts w:ascii="Segoe UI" w:hAnsi="Segoe UI" w:cs="Segoe UI"/>
                      <w:b/>
                      <w:sz w:val="16"/>
                      <w:szCs w:val="16"/>
                    </w:rPr>
                    <w:t xml:space="preserve">Οι </w:t>
                  </w:r>
                  <w:r>
                    <w:rPr>
                      <w:rFonts w:ascii="Segoe UI" w:hAnsi="Segoe UI" w:cs="Segoe UI"/>
                      <w:b/>
                      <w:sz w:val="16"/>
                      <w:szCs w:val="16"/>
                    </w:rPr>
                    <w:t>εκταμιεύσεις δανείων</w:t>
                  </w:r>
                  <w:r w:rsidRPr="00322F1D">
                    <w:rPr>
                      <w:rFonts w:ascii="Segoe UI" w:hAnsi="Segoe UI" w:cs="Segoe UI"/>
                      <w:b/>
                      <w:sz w:val="16"/>
                      <w:szCs w:val="16"/>
                    </w:rPr>
                    <w:t xml:space="preserve"> στην Ελλάδα ανήλθαν σε €</w:t>
                  </w:r>
                  <w:r>
                    <w:rPr>
                      <w:rFonts w:ascii="Segoe UI" w:hAnsi="Segoe UI" w:cs="Segoe UI"/>
                      <w:b/>
                      <w:sz w:val="16"/>
                      <w:szCs w:val="16"/>
                    </w:rPr>
                    <w:t>1,8</w:t>
                  </w:r>
                  <w:r w:rsidRPr="00322F1D">
                    <w:rPr>
                      <w:rFonts w:ascii="Segoe UI" w:hAnsi="Segoe UI" w:cs="Segoe UI"/>
                      <w:b/>
                      <w:sz w:val="16"/>
                      <w:szCs w:val="16"/>
                    </w:rPr>
                    <w:t xml:space="preserve"> δισ. </w:t>
                  </w:r>
                  <w:r>
                    <w:rPr>
                      <w:rFonts w:ascii="Segoe UI" w:hAnsi="Segoe UI" w:cs="Segoe UI"/>
                      <w:b/>
                      <w:sz w:val="16"/>
                      <w:szCs w:val="16"/>
                    </w:rPr>
                    <w:t>το Α’ εξάμηνο 2020, ενισχυμένες κατά 14% σε ετήσια βάση, αντανακλώντας τις εκταμιεύσεις δανείων προς επιχειρήσεις</w:t>
                  </w:r>
                </w:p>
                <w:p w:rsidR="003B131A" w:rsidRDefault="003B131A" w:rsidP="00BD03A8">
                  <w:pPr>
                    <w:pStyle w:val="a7"/>
                    <w:numPr>
                      <w:ilvl w:val="0"/>
                      <w:numId w:val="7"/>
                    </w:numPr>
                    <w:spacing w:before="100" w:after="0" w:line="240" w:lineRule="auto"/>
                    <w:jc w:val="left"/>
                    <w:rPr>
                      <w:rFonts w:ascii="Segoe UI" w:hAnsi="Segoe UI" w:cs="Segoe UI"/>
                      <w:sz w:val="16"/>
                      <w:szCs w:val="16"/>
                    </w:rPr>
                  </w:pPr>
                  <w:r w:rsidRPr="00BE1D4B">
                    <w:rPr>
                      <w:rFonts w:ascii="Segoe UI" w:hAnsi="Segoe UI" w:cs="Segoe UI"/>
                      <w:sz w:val="16"/>
                      <w:szCs w:val="16"/>
                    </w:rPr>
                    <w:t xml:space="preserve">Συμπεριλαμβανομένου του Ιουλίου, η νέα παραγωγή </w:t>
                  </w:r>
                  <w:r>
                    <w:rPr>
                      <w:rFonts w:ascii="Segoe UI" w:hAnsi="Segoe UI" w:cs="Segoe UI"/>
                      <w:sz w:val="16"/>
                      <w:szCs w:val="16"/>
                    </w:rPr>
                    <w:t>δανείων αν</w:t>
                  </w:r>
                  <w:r w:rsidR="008533DD">
                    <w:rPr>
                      <w:rFonts w:ascii="Segoe UI" w:hAnsi="Segoe UI" w:cs="Segoe UI"/>
                      <w:sz w:val="16"/>
                      <w:szCs w:val="16"/>
                    </w:rPr>
                    <w:t xml:space="preserve">ήλθε </w:t>
                  </w:r>
                  <w:r w:rsidRPr="00BE1D4B">
                    <w:rPr>
                      <w:rFonts w:ascii="Segoe UI" w:hAnsi="Segoe UI" w:cs="Segoe UI"/>
                      <w:sz w:val="16"/>
                      <w:szCs w:val="16"/>
                    </w:rPr>
                    <w:t>σ</w:t>
                  </w:r>
                  <w:r>
                    <w:rPr>
                      <w:rFonts w:ascii="Segoe UI" w:hAnsi="Segoe UI" w:cs="Segoe UI"/>
                      <w:sz w:val="16"/>
                      <w:szCs w:val="16"/>
                    </w:rPr>
                    <w:t>ε</w:t>
                  </w:r>
                  <w:r w:rsidRPr="00BE1D4B">
                    <w:rPr>
                      <w:rFonts w:ascii="Segoe UI" w:hAnsi="Segoe UI" w:cs="Segoe UI"/>
                      <w:sz w:val="16"/>
                      <w:szCs w:val="16"/>
                    </w:rPr>
                    <w:t xml:space="preserve"> </w:t>
                  </w:r>
                  <w:r>
                    <w:rPr>
                      <w:rFonts w:ascii="Segoe UI" w:hAnsi="Segoe UI" w:cs="Segoe UI"/>
                      <w:sz w:val="16"/>
                      <w:szCs w:val="16"/>
                    </w:rPr>
                    <w:t>€</w:t>
                  </w:r>
                  <w:r w:rsidRPr="00BE1D4B">
                    <w:rPr>
                      <w:rFonts w:ascii="Segoe UI" w:hAnsi="Segoe UI" w:cs="Segoe UI"/>
                      <w:sz w:val="16"/>
                      <w:szCs w:val="16"/>
                    </w:rPr>
                    <w:t>2</w:t>
                  </w:r>
                  <w:r w:rsidRPr="003F0FD6">
                    <w:rPr>
                      <w:rFonts w:ascii="Segoe UI" w:hAnsi="Segoe UI" w:cs="Segoe UI"/>
                      <w:sz w:val="16"/>
                      <w:szCs w:val="16"/>
                    </w:rPr>
                    <w:t>,</w:t>
                  </w:r>
                  <w:r w:rsidRPr="000A07AF">
                    <w:rPr>
                      <w:rFonts w:ascii="Segoe UI" w:hAnsi="Segoe UI" w:cs="Segoe UI"/>
                      <w:sz w:val="16"/>
                      <w:szCs w:val="16"/>
                    </w:rPr>
                    <w:t>8</w:t>
                  </w:r>
                  <w:r w:rsidRPr="00BE1D4B">
                    <w:rPr>
                      <w:rFonts w:ascii="Segoe UI" w:hAnsi="Segoe UI" w:cs="Segoe UI"/>
                      <w:sz w:val="16"/>
                      <w:szCs w:val="16"/>
                    </w:rPr>
                    <w:t xml:space="preserve"> δι</w:t>
                  </w:r>
                  <w:r w:rsidR="008533DD">
                    <w:rPr>
                      <w:rFonts w:ascii="Segoe UI" w:hAnsi="Segoe UI" w:cs="Segoe UI"/>
                      <w:sz w:val="16"/>
                      <w:szCs w:val="16"/>
                    </w:rPr>
                    <w:t>σ</w:t>
                  </w:r>
                  <w:r>
                    <w:rPr>
                      <w:rFonts w:ascii="Segoe UI" w:hAnsi="Segoe UI" w:cs="Segoe UI"/>
                      <w:sz w:val="16"/>
                      <w:szCs w:val="16"/>
                    </w:rPr>
                    <w:t xml:space="preserve">. Οι προγραμματισμένες εκταμιεύσεις </w:t>
                  </w:r>
                  <w:r w:rsidRPr="00BE1D4B">
                    <w:rPr>
                      <w:rFonts w:ascii="Segoe UI" w:hAnsi="Segoe UI" w:cs="Segoe UI"/>
                      <w:sz w:val="16"/>
                      <w:szCs w:val="16"/>
                    </w:rPr>
                    <w:t xml:space="preserve">για το </w:t>
                  </w:r>
                  <w:r>
                    <w:rPr>
                      <w:rFonts w:ascii="Segoe UI" w:hAnsi="Segoe UI" w:cs="Segoe UI"/>
                      <w:sz w:val="16"/>
                      <w:szCs w:val="16"/>
                    </w:rPr>
                    <w:t>Β’ εξάμηνο 20</w:t>
                  </w:r>
                  <w:r w:rsidRPr="00BE1D4B">
                    <w:rPr>
                      <w:rFonts w:ascii="Segoe UI" w:hAnsi="Segoe UI" w:cs="Segoe UI"/>
                      <w:sz w:val="16"/>
                      <w:szCs w:val="16"/>
                    </w:rPr>
                    <w:t>20</w:t>
                  </w:r>
                  <w:r>
                    <w:rPr>
                      <w:rFonts w:ascii="Segoe UI" w:hAnsi="Segoe UI" w:cs="Segoe UI"/>
                      <w:sz w:val="16"/>
                      <w:szCs w:val="16"/>
                    </w:rPr>
                    <w:t xml:space="preserve"> υπερβαίνουν τα €</w:t>
                  </w:r>
                  <w:r w:rsidRPr="00BE1D4B">
                    <w:rPr>
                      <w:rFonts w:ascii="Segoe UI" w:hAnsi="Segoe UI" w:cs="Segoe UI"/>
                      <w:sz w:val="16"/>
                      <w:szCs w:val="16"/>
                    </w:rPr>
                    <w:t>2 δι</w:t>
                  </w:r>
                  <w:r>
                    <w:rPr>
                      <w:rFonts w:ascii="Segoe UI" w:hAnsi="Segoe UI" w:cs="Segoe UI"/>
                      <w:sz w:val="16"/>
                      <w:szCs w:val="16"/>
                    </w:rPr>
                    <w:t>ς., επωφελούμενες από τα κ</w:t>
                  </w:r>
                  <w:r w:rsidRPr="004B00A2">
                    <w:rPr>
                      <w:rFonts w:ascii="Segoe UI" w:hAnsi="Segoe UI" w:cs="Segoe UI"/>
                      <w:sz w:val="16"/>
                      <w:szCs w:val="16"/>
                    </w:rPr>
                    <w:t>υβ</w:t>
                  </w:r>
                  <w:r>
                    <w:rPr>
                      <w:rFonts w:ascii="Segoe UI" w:hAnsi="Segoe UI" w:cs="Segoe UI"/>
                      <w:sz w:val="16"/>
                      <w:szCs w:val="16"/>
                    </w:rPr>
                    <w:t xml:space="preserve">ερνητικά </w:t>
                  </w:r>
                  <w:r w:rsidRPr="004B00A2">
                    <w:rPr>
                      <w:rFonts w:ascii="Segoe UI" w:hAnsi="Segoe UI" w:cs="Segoe UI"/>
                      <w:sz w:val="16"/>
                      <w:szCs w:val="16"/>
                    </w:rPr>
                    <w:t>προγράμματ</w:t>
                  </w:r>
                  <w:r>
                    <w:rPr>
                      <w:rFonts w:ascii="Segoe UI" w:hAnsi="Segoe UI" w:cs="Segoe UI"/>
                      <w:sz w:val="16"/>
                      <w:szCs w:val="16"/>
                    </w:rPr>
                    <w:t>α</w:t>
                  </w:r>
                  <w:r w:rsidRPr="004B00A2">
                    <w:rPr>
                      <w:rFonts w:ascii="Segoe UI" w:hAnsi="Segoe UI" w:cs="Segoe UI"/>
                      <w:sz w:val="16"/>
                      <w:szCs w:val="16"/>
                    </w:rPr>
                    <w:t xml:space="preserve"> στήριξης </w:t>
                  </w:r>
                  <w:r>
                    <w:rPr>
                      <w:rFonts w:ascii="Segoe UI" w:hAnsi="Segoe UI" w:cs="Segoe UI"/>
                      <w:sz w:val="16"/>
                      <w:szCs w:val="16"/>
                    </w:rPr>
                    <w:t>των επιχειρήσεων για την αντιμετώπιση των επιπτώσεων της πανδημίας του κορωνοϊού</w:t>
                  </w:r>
                </w:p>
                <w:p w:rsidR="003B131A" w:rsidRPr="00A70C0D" w:rsidRDefault="003B131A" w:rsidP="00BD03A8">
                  <w:pPr>
                    <w:pStyle w:val="a7"/>
                    <w:numPr>
                      <w:ilvl w:val="0"/>
                      <w:numId w:val="7"/>
                    </w:numPr>
                    <w:spacing w:before="100" w:after="0" w:line="240" w:lineRule="auto"/>
                    <w:jc w:val="left"/>
                    <w:rPr>
                      <w:rFonts w:ascii="Segoe UI" w:hAnsi="Segoe UI" w:cs="Segoe UI"/>
                      <w:sz w:val="16"/>
                      <w:szCs w:val="16"/>
                    </w:rPr>
                  </w:pPr>
                  <w:r w:rsidRPr="00A70C0D">
                    <w:rPr>
                      <w:rFonts w:ascii="Segoe UI" w:hAnsi="Segoe UI" w:cs="Segoe UI"/>
                      <w:sz w:val="16"/>
                      <w:szCs w:val="16"/>
                    </w:rPr>
                    <w:t>Οι εγχώρι</w:t>
                  </w:r>
                  <w:r>
                    <w:rPr>
                      <w:rFonts w:ascii="Segoe UI" w:hAnsi="Segoe UI" w:cs="Segoe UI"/>
                      <w:sz w:val="16"/>
                      <w:szCs w:val="16"/>
                    </w:rPr>
                    <w:t>ες καταθέσεις αυξήθηκαν κατά €1 δισ. ή 2</w:t>
                  </w:r>
                  <w:r w:rsidRPr="00A70C0D">
                    <w:rPr>
                      <w:rFonts w:ascii="Segoe UI" w:hAnsi="Segoe UI" w:cs="Segoe UI"/>
                      <w:sz w:val="16"/>
                      <w:szCs w:val="16"/>
                    </w:rPr>
                    <w:t xml:space="preserve">% </w:t>
                  </w:r>
                  <w:r>
                    <w:rPr>
                      <w:rFonts w:ascii="Segoe UI" w:hAnsi="Segoe UI" w:cs="Segoe UI"/>
                      <w:sz w:val="16"/>
                      <w:szCs w:val="16"/>
                    </w:rPr>
                    <w:t>από την αρχή του έτους</w:t>
                  </w:r>
                  <w:r w:rsidRPr="00A70C0D">
                    <w:rPr>
                      <w:rFonts w:ascii="Segoe UI" w:hAnsi="Segoe UI" w:cs="Segoe UI"/>
                      <w:sz w:val="16"/>
                      <w:szCs w:val="16"/>
                    </w:rPr>
                    <w:t>, αντανακλώντας εισροές καταθέσεων ιδιωτών. Οι δείκτες Κάλυψης Ρευστότητας (</w:t>
                  </w:r>
                  <w:r w:rsidRPr="00A70C0D">
                    <w:rPr>
                      <w:rFonts w:ascii="Segoe UI" w:hAnsi="Segoe UI" w:cs="Segoe UI"/>
                      <w:sz w:val="16"/>
                      <w:szCs w:val="16"/>
                      <w:lang w:val="en-US"/>
                    </w:rPr>
                    <w:t>Liquidity</w:t>
                  </w:r>
                  <w:r w:rsidRPr="00A70C0D">
                    <w:rPr>
                      <w:rFonts w:ascii="Segoe UI" w:hAnsi="Segoe UI" w:cs="Segoe UI"/>
                      <w:sz w:val="16"/>
                      <w:szCs w:val="16"/>
                    </w:rPr>
                    <w:t xml:space="preserve"> </w:t>
                  </w:r>
                  <w:r w:rsidRPr="00A70C0D">
                    <w:rPr>
                      <w:rFonts w:ascii="Segoe UI" w:hAnsi="Segoe UI" w:cs="Segoe UI"/>
                      <w:sz w:val="16"/>
                      <w:szCs w:val="16"/>
                      <w:lang w:val="en-US"/>
                    </w:rPr>
                    <w:t>Coverage</w:t>
                  </w:r>
                  <w:r w:rsidRPr="00A70C0D">
                    <w:rPr>
                      <w:rFonts w:ascii="Segoe UI" w:hAnsi="Segoe UI" w:cs="Segoe UI"/>
                      <w:sz w:val="16"/>
                      <w:szCs w:val="16"/>
                    </w:rPr>
                    <w:t xml:space="preserve"> </w:t>
                  </w:r>
                  <w:r w:rsidRPr="00A70C0D">
                    <w:rPr>
                      <w:rFonts w:ascii="Segoe UI" w:hAnsi="Segoe UI" w:cs="Segoe UI"/>
                      <w:sz w:val="16"/>
                      <w:szCs w:val="16"/>
                      <w:lang w:val="en-US"/>
                    </w:rPr>
                    <w:t>Ratio</w:t>
                  </w:r>
                  <w:r w:rsidRPr="00A70C0D">
                    <w:rPr>
                      <w:rFonts w:ascii="Segoe UI" w:hAnsi="Segoe UI" w:cs="Segoe UI"/>
                      <w:sz w:val="16"/>
                      <w:szCs w:val="16"/>
                    </w:rPr>
                    <w:t xml:space="preserve"> - </w:t>
                  </w:r>
                  <w:r w:rsidRPr="00A70C0D">
                    <w:rPr>
                      <w:rFonts w:ascii="Segoe UI" w:hAnsi="Segoe UI" w:cs="Segoe UI"/>
                      <w:sz w:val="16"/>
                      <w:szCs w:val="16"/>
                      <w:lang w:val="en-US"/>
                    </w:rPr>
                    <w:t>LCR</w:t>
                  </w:r>
                  <w:r w:rsidRPr="00A70C0D">
                    <w:rPr>
                      <w:rFonts w:ascii="Segoe UI" w:hAnsi="Segoe UI" w:cs="Segoe UI"/>
                      <w:sz w:val="16"/>
                      <w:szCs w:val="16"/>
                    </w:rPr>
                    <w:t>) και Καθαρής Σταθερής Χρηματοδότησης (</w:t>
                  </w:r>
                  <w:r w:rsidRPr="00A70C0D">
                    <w:rPr>
                      <w:rFonts w:ascii="Segoe UI" w:hAnsi="Segoe UI" w:cs="Segoe UI"/>
                      <w:sz w:val="16"/>
                      <w:szCs w:val="16"/>
                      <w:lang w:val="en-US"/>
                    </w:rPr>
                    <w:t>Net</w:t>
                  </w:r>
                  <w:r w:rsidRPr="00A70C0D">
                    <w:rPr>
                      <w:rFonts w:ascii="Segoe UI" w:hAnsi="Segoe UI" w:cs="Segoe UI"/>
                      <w:sz w:val="16"/>
                      <w:szCs w:val="16"/>
                    </w:rPr>
                    <w:t xml:space="preserve"> </w:t>
                  </w:r>
                  <w:r w:rsidRPr="00A70C0D">
                    <w:rPr>
                      <w:rFonts w:ascii="Segoe UI" w:hAnsi="Segoe UI" w:cs="Segoe UI"/>
                      <w:sz w:val="16"/>
                      <w:szCs w:val="16"/>
                      <w:lang w:val="en-US"/>
                    </w:rPr>
                    <w:t>Stable</w:t>
                  </w:r>
                  <w:r w:rsidRPr="00A70C0D">
                    <w:rPr>
                      <w:rFonts w:ascii="Segoe UI" w:hAnsi="Segoe UI" w:cs="Segoe UI"/>
                      <w:sz w:val="16"/>
                      <w:szCs w:val="16"/>
                    </w:rPr>
                    <w:t xml:space="preserve"> </w:t>
                  </w:r>
                  <w:r w:rsidRPr="00A70C0D">
                    <w:rPr>
                      <w:rFonts w:ascii="Segoe UI" w:hAnsi="Segoe UI" w:cs="Segoe UI"/>
                      <w:sz w:val="16"/>
                      <w:szCs w:val="16"/>
                      <w:lang w:val="en-US"/>
                    </w:rPr>
                    <w:t>Funding</w:t>
                  </w:r>
                  <w:r w:rsidRPr="00A70C0D">
                    <w:rPr>
                      <w:rFonts w:ascii="Segoe UI" w:hAnsi="Segoe UI" w:cs="Segoe UI"/>
                      <w:sz w:val="16"/>
                      <w:szCs w:val="16"/>
                    </w:rPr>
                    <w:t xml:space="preserve"> </w:t>
                  </w:r>
                  <w:r w:rsidRPr="00A70C0D">
                    <w:rPr>
                      <w:rFonts w:ascii="Segoe UI" w:hAnsi="Segoe UI" w:cs="Segoe UI"/>
                      <w:sz w:val="16"/>
                      <w:szCs w:val="16"/>
                      <w:lang w:val="en-US"/>
                    </w:rPr>
                    <w:t>Ratio</w:t>
                  </w:r>
                  <w:r w:rsidRPr="00A70C0D">
                    <w:rPr>
                      <w:rFonts w:ascii="Segoe UI" w:hAnsi="Segoe UI" w:cs="Segoe UI"/>
                      <w:sz w:val="16"/>
                      <w:szCs w:val="16"/>
                    </w:rPr>
                    <w:t xml:space="preserve"> – </w:t>
                  </w:r>
                  <w:r w:rsidRPr="00A70C0D">
                    <w:rPr>
                      <w:rFonts w:ascii="Segoe UI" w:hAnsi="Segoe UI" w:cs="Segoe UI"/>
                      <w:sz w:val="16"/>
                      <w:szCs w:val="16"/>
                      <w:lang w:val="en-US"/>
                    </w:rPr>
                    <w:t>NSFR</w:t>
                  </w:r>
                  <w:r w:rsidRPr="00A70C0D">
                    <w:rPr>
                      <w:rFonts w:ascii="Segoe UI" w:hAnsi="Segoe UI" w:cs="Segoe UI"/>
                      <w:sz w:val="16"/>
                      <w:szCs w:val="16"/>
                    </w:rPr>
                    <w:t>) διατηρ</w:t>
                  </w:r>
                  <w:r>
                    <w:rPr>
                      <w:rFonts w:ascii="Segoe UI" w:hAnsi="Segoe UI" w:cs="Segoe UI"/>
                      <w:sz w:val="16"/>
                      <w:szCs w:val="16"/>
                    </w:rPr>
                    <w:t xml:space="preserve">ήθηκαν </w:t>
                  </w:r>
                  <w:r w:rsidRPr="00A70C0D">
                    <w:rPr>
                      <w:rFonts w:ascii="Segoe UI" w:hAnsi="Segoe UI" w:cs="Segoe UI"/>
                      <w:sz w:val="16"/>
                      <w:szCs w:val="16"/>
                    </w:rPr>
                    <w:t>σε επίπεδα πλέον του 100</w:t>
                  </w:r>
                  <w:r>
                    <w:rPr>
                      <w:rFonts w:ascii="Segoe UI" w:hAnsi="Segoe UI" w:cs="Segoe UI"/>
                      <w:sz w:val="16"/>
                      <w:szCs w:val="16"/>
                    </w:rPr>
                    <w:t>%, υπερβαίνοντας κατά πολύ τα ελάχιστα εποπτικά όρια</w:t>
                  </w:r>
                  <w:r w:rsidRPr="00A70C0D">
                    <w:rPr>
                      <w:rFonts w:ascii="Segoe UI" w:hAnsi="Segoe UI" w:cs="Segoe UI"/>
                      <w:sz w:val="16"/>
                      <w:szCs w:val="16"/>
                    </w:rPr>
                    <w:t xml:space="preserve"> </w:t>
                  </w:r>
                </w:p>
                <w:p w:rsidR="003B131A" w:rsidRDefault="003B131A" w:rsidP="00BD03A8">
                  <w:pPr>
                    <w:pStyle w:val="a7"/>
                    <w:numPr>
                      <w:ilvl w:val="0"/>
                      <w:numId w:val="7"/>
                    </w:numPr>
                    <w:spacing w:before="100" w:after="0" w:line="240" w:lineRule="auto"/>
                    <w:jc w:val="left"/>
                    <w:rPr>
                      <w:rFonts w:ascii="Segoe UI" w:hAnsi="Segoe UI" w:cs="Segoe UI"/>
                      <w:sz w:val="16"/>
                      <w:szCs w:val="16"/>
                    </w:rPr>
                  </w:pPr>
                  <w:r w:rsidRPr="00057482">
                    <w:rPr>
                      <w:rFonts w:ascii="Segoe UI" w:hAnsi="Segoe UI" w:cs="Segoe UI"/>
                      <w:sz w:val="16"/>
                      <w:szCs w:val="16"/>
                    </w:rPr>
                    <w:t>Η χρηματοδότηση από το Ευρωσύστημα διαμορφώθηκε σε €</w:t>
                  </w:r>
                  <w:r>
                    <w:rPr>
                      <w:rFonts w:ascii="Segoe UI" w:hAnsi="Segoe UI" w:cs="Segoe UI"/>
                      <w:sz w:val="16"/>
                      <w:szCs w:val="16"/>
                    </w:rPr>
                    <w:t>10,5</w:t>
                  </w:r>
                  <w:r w:rsidRPr="00057482">
                    <w:rPr>
                      <w:rFonts w:ascii="Segoe UI" w:hAnsi="Segoe UI" w:cs="Segoe UI"/>
                      <w:sz w:val="16"/>
                      <w:szCs w:val="16"/>
                    </w:rPr>
                    <w:t xml:space="preserve"> δισ. το </w:t>
                  </w:r>
                  <w:r>
                    <w:rPr>
                      <w:rFonts w:ascii="Segoe UI" w:hAnsi="Segoe UI" w:cs="Segoe UI"/>
                      <w:sz w:val="16"/>
                      <w:szCs w:val="16"/>
                    </w:rPr>
                    <w:t>Β’ τρίμηνο 2020 από €5,0</w:t>
                  </w:r>
                  <w:r w:rsidRPr="00057482">
                    <w:rPr>
                      <w:rFonts w:ascii="Segoe UI" w:hAnsi="Segoe UI" w:cs="Segoe UI"/>
                      <w:sz w:val="16"/>
                      <w:szCs w:val="16"/>
                    </w:rPr>
                    <w:t xml:space="preserve"> δισ. </w:t>
                  </w:r>
                  <w:r>
                    <w:rPr>
                      <w:rFonts w:ascii="Segoe UI" w:hAnsi="Segoe UI" w:cs="Segoe UI"/>
                      <w:sz w:val="16"/>
                      <w:szCs w:val="16"/>
                    </w:rPr>
                    <w:t>το Μάιο του 2020, μέσω της εκμετάλλευσης της δυνατότητας άντλησης ρευστότητας από το Πρόγραμμα</w:t>
                  </w:r>
                  <w:r w:rsidRPr="00057482">
                    <w:rPr>
                      <w:rFonts w:ascii="Segoe UI" w:hAnsi="Segoe UI" w:cs="Segoe UI"/>
                      <w:sz w:val="16"/>
                      <w:szCs w:val="16"/>
                    </w:rPr>
                    <w:t xml:space="preserve"> Συναλλαγών Μακροχρόνιας Αναχρηματοδότησης (</w:t>
                  </w:r>
                  <w:r w:rsidRPr="00057482">
                    <w:rPr>
                      <w:rFonts w:ascii="Segoe UI" w:hAnsi="Segoe UI" w:cs="Segoe UI"/>
                      <w:sz w:val="16"/>
                      <w:szCs w:val="16"/>
                      <w:lang w:val="en-GB"/>
                    </w:rPr>
                    <w:t>LTRO</w:t>
                  </w:r>
                  <w:r w:rsidRPr="00057482">
                    <w:rPr>
                      <w:rFonts w:ascii="Segoe UI" w:hAnsi="Segoe UI" w:cs="Segoe UI"/>
                      <w:sz w:val="16"/>
                      <w:szCs w:val="16"/>
                    </w:rPr>
                    <w:t>/TLTRO) της Ευρωπαϊκής Κεντρικής Τράπεζας (ΕΚΤ)</w:t>
                  </w:r>
                  <w:r>
                    <w:rPr>
                      <w:rFonts w:ascii="Segoe UI" w:hAnsi="Segoe UI" w:cs="Segoe UI"/>
                      <w:sz w:val="16"/>
                      <w:szCs w:val="16"/>
                    </w:rPr>
                    <w:t xml:space="preserve">, ενώ το </w:t>
                  </w:r>
                  <w:r w:rsidRPr="005150BD">
                    <w:rPr>
                      <w:rFonts w:ascii="Segoe UI" w:hAnsi="Segoe UI" w:cs="Segoe UI"/>
                      <w:sz w:val="16"/>
                      <w:szCs w:val="16"/>
                    </w:rPr>
                    <w:t>κόστος χρηματοδότησης διαμορφώ</w:t>
                  </w:r>
                  <w:r>
                    <w:rPr>
                      <w:rFonts w:ascii="Segoe UI" w:hAnsi="Segoe UI" w:cs="Segoe UI"/>
                      <w:sz w:val="16"/>
                      <w:szCs w:val="16"/>
                    </w:rPr>
                    <w:t>θηκε</w:t>
                  </w:r>
                  <w:r w:rsidRPr="005150BD">
                    <w:rPr>
                      <w:rFonts w:ascii="Segoe UI" w:hAnsi="Segoe UI" w:cs="Segoe UI"/>
                      <w:sz w:val="16"/>
                      <w:szCs w:val="16"/>
                    </w:rPr>
                    <w:t xml:space="preserve"> σε επίπεδα </w:t>
                  </w:r>
                  <w:r>
                    <w:rPr>
                      <w:rFonts w:ascii="Segoe UI" w:hAnsi="Segoe UI" w:cs="Segoe UI"/>
                      <w:sz w:val="16"/>
                      <w:szCs w:val="16"/>
                    </w:rPr>
                    <w:t>της τάξεως των 14</w:t>
                  </w:r>
                  <w:r w:rsidRPr="005150BD">
                    <w:rPr>
                      <w:rFonts w:ascii="Segoe UI" w:hAnsi="Segoe UI" w:cs="Segoe UI"/>
                      <w:sz w:val="16"/>
                      <w:szCs w:val="16"/>
                    </w:rPr>
                    <w:t>μ.β</w:t>
                  </w:r>
                  <w:r w:rsidR="00E24A18">
                    <w:rPr>
                      <w:rFonts w:ascii="Segoe UI" w:hAnsi="Segoe UI" w:cs="Segoe UI"/>
                      <w:sz w:val="16"/>
                      <w:szCs w:val="16"/>
                    </w:rPr>
                    <w:t>.</w:t>
                  </w:r>
                </w:p>
                <w:p w:rsidR="00E24A18" w:rsidRPr="00E24A18" w:rsidRDefault="00E24A18" w:rsidP="00E24A18">
                  <w:pPr>
                    <w:pStyle w:val="a7"/>
                    <w:spacing w:before="100" w:after="0" w:line="240" w:lineRule="auto"/>
                    <w:ind w:left="644"/>
                    <w:jc w:val="left"/>
                    <w:rPr>
                      <w:rFonts w:ascii="Segoe UI" w:hAnsi="Segoe UI" w:cs="Segoe UI"/>
                      <w:sz w:val="2"/>
                      <w:szCs w:val="2"/>
                    </w:rPr>
                  </w:pPr>
                </w:p>
                <w:p w:rsidR="003B131A" w:rsidRPr="00322F1D" w:rsidRDefault="003B131A" w:rsidP="00F11B77">
                  <w:pPr>
                    <w:numPr>
                      <w:ilvl w:val="0"/>
                      <w:numId w:val="6"/>
                    </w:numPr>
                    <w:spacing w:before="120"/>
                    <w:rPr>
                      <w:rFonts w:ascii="Segoe UI" w:hAnsi="Segoe UI" w:cs="Segoe UI"/>
                      <w:b/>
                      <w:sz w:val="16"/>
                      <w:szCs w:val="16"/>
                    </w:rPr>
                  </w:pPr>
                  <w:r w:rsidRPr="00322F1D">
                    <w:rPr>
                      <w:rFonts w:ascii="Segoe UI" w:hAnsi="Segoe UI" w:cs="Segoe UI"/>
                      <w:b/>
                      <w:sz w:val="16"/>
                      <w:szCs w:val="16"/>
                    </w:rPr>
                    <w:t xml:space="preserve">Δείκτης </w:t>
                  </w:r>
                  <w:r w:rsidRPr="00322F1D">
                    <w:rPr>
                      <w:rFonts w:ascii="Segoe UI" w:hAnsi="Segoe UI" w:cs="Segoe UI"/>
                      <w:b/>
                      <w:sz w:val="16"/>
                      <w:szCs w:val="16"/>
                      <w:lang w:val="en-US"/>
                    </w:rPr>
                    <w:t>CET</w:t>
                  </w:r>
                  <w:r w:rsidRPr="00322F1D">
                    <w:rPr>
                      <w:rFonts w:ascii="Segoe UI" w:hAnsi="Segoe UI" w:cs="Segoe UI"/>
                      <w:b/>
                      <w:sz w:val="16"/>
                      <w:szCs w:val="16"/>
                    </w:rPr>
                    <w:t xml:space="preserve">1 στο </w:t>
                  </w:r>
                  <w:r>
                    <w:rPr>
                      <w:rFonts w:ascii="Segoe UI" w:hAnsi="Segoe UI" w:cs="Segoe UI"/>
                      <w:b/>
                      <w:sz w:val="16"/>
                      <w:szCs w:val="16"/>
                    </w:rPr>
                    <w:t>15,</w:t>
                  </w:r>
                  <w:r w:rsidRPr="00283FBA">
                    <w:rPr>
                      <w:rFonts w:ascii="Segoe UI" w:hAnsi="Segoe UI" w:cs="Segoe UI"/>
                      <w:b/>
                      <w:sz w:val="16"/>
                      <w:szCs w:val="16"/>
                    </w:rPr>
                    <w:t>9</w:t>
                  </w:r>
                  <w:r w:rsidRPr="00322F1D">
                    <w:rPr>
                      <w:rFonts w:ascii="Segoe UI" w:hAnsi="Segoe UI" w:cs="Segoe UI"/>
                      <w:b/>
                      <w:sz w:val="16"/>
                      <w:szCs w:val="16"/>
                    </w:rPr>
                    <w:t>%</w:t>
                  </w:r>
                  <w:r w:rsidR="006A0F43">
                    <w:rPr>
                      <w:rFonts w:ascii="Segoe UI" w:hAnsi="Segoe UI" w:cs="Segoe UI"/>
                      <w:b/>
                      <w:sz w:val="16"/>
                      <w:szCs w:val="16"/>
                      <w:vertAlign w:val="superscript"/>
                    </w:rPr>
                    <w:t>3</w:t>
                  </w:r>
                  <w:r w:rsidRPr="00322F1D">
                    <w:rPr>
                      <w:rFonts w:ascii="Segoe UI" w:hAnsi="Segoe UI" w:cs="Segoe UI"/>
                      <w:b/>
                      <w:sz w:val="16"/>
                      <w:szCs w:val="16"/>
                    </w:rPr>
                    <w:t xml:space="preserve">, </w:t>
                  </w:r>
                  <w:r>
                    <w:rPr>
                      <w:rFonts w:ascii="Segoe UI" w:hAnsi="Segoe UI" w:cs="Segoe UI"/>
                      <w:b/>
                      <w:sz w:val="16"/>
                      <w:szCs w:val="16"/>
                    </w:rPr>
                    <w:t>13,0</w:t>
                  </w:r>
                  <w:r w:rsidRPr="00322F1D">
                    <w:rPr>
                      <w:rFonts w:ascii="Segoe UI" w:hAnsi="Segoe UI" w:cs="Segoe UI"/>
                      <w:b/>
                      <w:sz w:val="16"/>
                      <w:szCs w:val="16"/>
                    </w:rPr>
                    <w:t>%</w:t>
                  </w:r>
                  <w:r w:rsidR="006A0F43">
                    <w:rPr>
                      <w:rFonts w:ascii="Segoe UI" w:hAnsi="Segoe UI" w:cs="Segoe UI"/>
                      <w:b/>
                      <w:sz w:val="16"/>
                      <w:szCs w:val="16"/>
                      <w:vertAlign w:val="superscript"/>
                    </w:rPr>
                    <w:t>3</w:t>
                  </w:r>
                  <w:r w:rsidRPr="00322F1D">
                    <w:rPr>
                      <w:rFonts w:ascii="Segoe UI" w:hAnsi="Segoe UI" w:cs="Segoe UI"/>
                      <w:b/>
                      <w:sz w:val="16"/>
                      <w:szCs w:val="16"/>
                    </w:rPr>
                    <w:t xml:space="preserve"> ενσωματώνοντας την πλήρη επίδραση του ΔΠΧΑ 9</w:t>
                  </w:r>
                </w:p>
                <w:p w:rsidR="003B131A" w:rsidRPr="00465AAF" w:rsidRDefault="003B131A" w:rsidP="00BD03A8">
                  <w:pPr>
                    <w:pStyle w:val="a7"/>
                    <w:numPr>
                      <w:ilvl w:val="0"/>
                      <w:numId w:val="8"/>
                    </w:numPr>
                    <w:spacing w:before="100" w:after="0" w:line="240" w:lineRule="auto"/>
                    <w:jc w:val="left"/>
                    <w:rPr>
                      <w:rFonts w:ascii="Segoe UI" w:hAnsi="Segoe UI" w:cs="Segoe UI"/>
                      <w:sz w:val="16"/>
                      <w:szCs w:val="16"/>
                    </w:rPr>
                  </w:pPr>
                  <w:r w:rsidRPr="001565D8">
                    <w:rPr>
                      <w:rFonts w:ascii="Segoe UI" w:hAnsi="Segoe UI" w:cs="Segoe UI"/>
                      <w:sz w:val="16"/>
                      <w:szCs w:val="16"/>
                    </w:rPr>
                    <w:t xml:space="preserve">Ο δείκτης </w:t>
                  </w:r>
                  <w:r w:rsidRPr="001565D8">
                    <w:rPr>
                      <w:rFonts w:ascii="Segoe UI" w:hAnsi="Segoe UI" w:cs="Segoe UI"/>
                      <w:sz w:val="16"/>
                      <w:szCs w:val="16"/>
                      <w:lang w:val="en-US"/>
                    </w:rPr>
                    <w:t>CET</w:t>
                  </w:r>
                  <w:r w:rsidRPr="001565D8">
                    <w:rPr>
                      <w:rFonts w:ascii="Segoe UI" w:hAnsi="Segoe UI" w:cs="Segoe UI"/>
                      <w:sz w:val="16"/>
                      <w:szCs w:val="16"/>
                    </w:rPr>
                    <w:t xml:space="preserve">1 </w:t>
                  </w:r>
                  <w:r>
                    <w:rPr>
                      <w:rFonts w:ascii="Segoe UI" w:hAnsi="Segoe UI" w:cs="Segoe UI"/>
                      <w:sz w:val="16"/>
                      <w:szCs w:val="16"/>
                    </w:rPr>
                    <w:t>αυξήθηκε κατά 40μ.β. σε τριμηνιαία βάση σε 15,9</w:t>
                  </w:r>
                  <w:r w:rsidRPr="001565D8">
                    <w:rPr>
                      <w:rFonts w:ascii="Segoe UI" w:hAnsi="Segoe UI" w:cs="Segoe UI"/>
                      <w:sz w:val="16"/>
                      <w:szCs w:val="16"/>
                    </w:rPr>
                    <w:t>%</w:t>
                  </w:r>
                  <w:r w:rsidR="006A0F43">
                    <w:rPr>
                      <w:rFonts w:ascii="Segoe UI" w:hAnsi="Segoe UI" w:cs="Segoe UI"/>
                      <w:sz w:val="16"/>
                      <w:szCs w:val="16"/>
                      <w:vertAlign w:val="superscript"/>
                    </w:rPr>
                    <w:t>3</w:t>
                  </w:r>
                  <w:r w:rsidRPr="001565D8">
                    <w:rPr>
                      <w:rFonts w:ascii="Segoe UI" w:hAnsi="Segoe UI" w:cs="Segoe UI"/>
                      <w:sz w:val="16"/>
                      <w:szCs w:val="16"/>
                    </w:rPr>
                    <w:t xml:space="preserve"> </w:t>
                  </w:r>
                  <w:r>
                    <w:rPr>
                      <w:rFonts w:ascii="Segoe UI" w:hAnsi="Segoe UI" w:cs="Segoe UI"/>
                      <w:sz w:val="16"/>
                      <w:szCs w:val="16"/>
                    </w:rPr>
                    <w:t>το Β’ τρίμηνο 2020 και ενσωματώνει την αρνητική επίπτωση των</w:t>
                  </w:r>
                  <w:r w:rsidRPr="00465AAF">
                    <w:rPr>
                      <w:rFonts w:ascii="Segoe UI" w:hAnsi="Segoe UI" w:cs="Segoe UI"/>
                      <w:sz w:val="16"/>
                      <w:szCs w:val="16"/>
                    </w:rPr>
                    <w:t xml:space="preserve"> προβλέψε</w:t>
                  </w:r>
                  <w:r>
                    <w:rPr>
                      <w:rFonts w:ascii="Segoe UI" w:hAnsi="Segoe UI" w:cs="Segoe UI"/>
                      <w:sz w:val="16"/>
                      <w:szCs w:val="16"/>
                    </w:rPr>
                    <w:t>ων</w:t>
                  </w:r>
                  <w:r w:rsidRPr="00465AAF">
                    <w:rPr>
                      <w:rFonts w:ascii="Segoe UI" w:hAnsi="Segoe UI" w:cs="Segoe UI"/>
                      <w:sz w:val="16"/>
                      <w:szCs w:val="16"/>
                    </w:rPr>
                    <w:t xml:space="preserve"> απομείωσης σχετιζόμενες με την πανδημία του κορωνοϊού</w:t>
                  </w:r>
                  <w:r>
                    <w:rPr>
                      <w:rFonts w:ascii="Segoe UI" w:hAnsi="Segoe UI" w:cs="Segoe UI"/>
                      <w:sz w:val="16"/>
                      <w:szCs w:val="16"/>
                    </w:rPr>
                    <w:t xml:space="preserve"> ύψους €426 εκατ.</w:t>
                  </w:r>
                  <w:r w:rsidRPr="00465AAF">
                    <w:rPr>
                      <w:rFonts w:ascii="Segoe UI" w:hAnsi="Segoe UI" w:cs="Segoe UI"/>
                      <w:sz w:val="16"/>
                      <w:szCs w:val="16"/>
                    </w:rPr>
                    <w:t xml:space="preserve"> το Α’ </w:t>
                  </w:r>
                  <w:r>
                    <w:rPr>
                      <w:rFonts w:ascii="Segoe UI" w:hAnsi="Segoe UI" w:cs="Segoe UI"/>
                      <w:sz w:val="16"/>
                      <w:szCs w:val="16"/>
                    </w:rPr>
                    <w:t>εξάμηνο</w:t>
                  </w:r>
                  <w:r w:rsidRPr="00465AAF">
                    <w:rPr>
                      <w:rFonts w:ascii="Segoe UI" w:hAnsi="Segoe UI" w:cs="Segoe UI"/>
                      <w:sz w:val="16"/>
                      <w:szCs w:val="16"/>
                    </w:rPr>
                    <w:t xml:space="preserve"> 2020</w:t>
                  </w:r>
                  <w:r>
                    <w:rPr>
                      <w:rFonts w:ascii="Segoe UI" w:hAnsi="Segoe UI" w:cs="Segoe UI"/>
                      <w:sz w:val="16"/>
                      <w:szCs w:val="16"/>
                    </w:rPr>
                    <w:t xml:space="preserve">. </w:t>
                  </w:r>
                  <w:r w:rsidRPr="00465AAF">
                    <w:rPr>
                      <w:rFonts w:ascii="Segoe UI" w:hAnsi="Segoe UI" w:cs="Segoe UI"/>
                      <w:sz w:val="16"/>
                      <w:szCs w:val="16"/>
                    </w:rPr>
                    <w:t>Ενσωματώνοντας την πλήρη επίδραση του ΔΠΧΑ 9, ο δείκτης CET1 διαμορφώνεται σε 1</w:t>
                  </w:r>
                  <w:r>
                    <w:rPr>
                      <w:rFonts w:ascii="Segoe UI" w:hAnsi="Segoe UI" w:cs="Segoe UI"/>
                      <w:sz w:val="16"/>
                      <w:szCs w:val="16"/>
                    </w:rPr>
                    <w:t>3,0</w:t>
                  </w:r>
                  <w:r w:rsidRPr="00465AAF">
                    <w:rPr>
                      <w:rFonts w:ascii="Segoe UI" w:hAnsi="Segoe UI" w:cs="Segoe UI"/>
                      <w:sz w:val="16"/>
                      <w:szCs w:val="16"/>
                    </w:rPr>
                    <w:t>%</w:t>
                  </w:r>
                  <w:r w:rsidR="006A0F43">
                    <w:rPr>
                      <w:rFonts w:ascii="Segoe UI" w:hAnsi="Segoe UI" w:cs="Segoe UI"/>
                      <w:sz w:val="16"/>
                      <w:szCs w:val="16"/>
                      <w:vertAlign w:val="superscript"/>
                    </w:rPr>
                    <w:t>3</w:t>
                  </w:r>
                  <w:r w:rsidRPr="00465AAF">
                    <w:rPr>
                      <w:rFonts w:ascii="Segoe UI" w:hAnsi="Segoe UI" w:cs="Segoe UI"/>
                      <w:sz w:val="16"/>
                      <w:szCs w:val="16"/>
                    </w:rPr>
                    <w:t xml:space="preserve">, </w:t>
                  </w:r>
                  <w:r>
                    <w:rPr>
                      <w:rFonts w:ascii="Segoe UI" w:hAnsi="Segoe UI" w:cs="Segoe UI"/>
                      <w:sz w:val="16"/>
                      <w:szCs w:val="16"/>
                    </w:rPr>
                    <w:t>ενισχυμένος</w:t>
                  </w:r>
                  <w:r w:rsidRPr="00465AAF">
                    <w:rPr>
                      <w:rFonts w:ascii="Segoe UI" w:hAnsi="Segoe UI" w:cs="Segoe UI"/>
                      <w:sz w:val="16"/>
                      <w:szCs w:val="16"/>
                    </w:rPr>
                    <w:t xml:space="preserve"> κατά </w:t>
                  </w:r>
                  <w:r>
                    <w:rPr>
                      <w:rFonts w:ascii="Segoe UI" w:hAnsi="Segoe UI" w:cs="Segoe UI"/>
                      <w:sz w:val="16"/>
                      <w:szCs w:val="16"/>
                    </w:rPr>
                    <w:t>40</w:t>
                  </w:r>
                  <w:r w:rsidRPr="00465AAF">
                    <w:rPr>
                      <w:rFonts w:ascii="Segoe UI" w:hAnsi="Segoe UI" w:cs="Segoe UI"/>
                      <w:sz w:val="16"/>
                      <w:szCs w:val="16"/>
                    </w:rPr>
                    <w:t xml:space="preserve">μ.β. σε σχέση με το </w:t>
                  </w:r>
                  <w:r>
                    <w:rPr>
                      <w:rFonts w:ascii="Segoe UI" w:hAnsi="Segoe UI" w:cs="Segoe UI"/>
                      <w:sz w:val="16"/>
                      <w:szCs w:val="16"/>
                    </w:rPr>
                    <w:t>Α’ τρίμηνο 2020</w:t>
                  </w:r>
                </w:p>
                <w:p w:rsidR="003B131A" w:rsidRPr="001565D8" w:rsidRDefault="003B131A" w:rsidP="007C000F">
                  <w:pPr>
                    <w:pStyle w:val="a7"/>
                    <w:numPr>
                      <w:ilvl w:val="0"/>
                      <w:numId w:val="8"/>
                    </w:numPr>
                    <w:spacing w:before="100" w:after="0" w:line="240" w:lineRule="auto"/>
                    <w:jc w:val="left"/>
                    <w:rPr>
                      <w:rFonts w:ascii="Segoe UI" w:hAnsi="Segoe UI" w:cs="Segoe UI"/>
                      <w:sz w:val="16"/>
                      <w:szCs w:val="16"/>
                    </w:rPr>
                  </w:pPr>
                  <w:r>
                    <w:rPr>
                      <w:rFonts w:ascii="Segoe UI" w:hAnsi="Segoe UI" w:cs="Segoe UI"/>
                      <w:sz w:val="16"/>
                      <w:szCs w:val="16"/>
                    </w:rPr>
                    <w:t xml:space="preserve">Ο </w:t>
                  </w:r>
                  <w:r w:rsidRPr="001565D8">
                    <w:rPr>
                      <w:rFonts w:ascii="Segoe UI" w:hAnsi="Segoe UI" w:cs="Segoe UI"/>
                      <w:sz w:val="16"/>
                      <w:szCs w:val="16"/>
                    </w:rPr>
                    <w:t xml:space="preserve">Συνολικός Δείκτης Κεφαλαιακής Επάρκειας </w:t>
                  </w:r>
                  <w:r>
                    <w:rPr>
                      <w:rFonts w:ascii="Segoe UI" w:hAnsi="Segoe UI" w:cs="Segoe UI"/>
                      <w:sz w:val="16"/>
                      <w:szCs w:val="16"/>
                    </w:rPr>
                    <w:t xml:space="preserve">ανήλθε </w:t>
                  </w:r>
                  <w:r w:rsidRPr="001565D8">
                    <w:rPr>
                      <w:rFonts w:ascii="Segoe UI" w:hAnsi="Segoe UI" w:cs="Segoe UI"/>
                      <w:sz w:val="16"/>
                      <w:szCs w:val="16"/>
                    </w:rPr>
                    <w:t>σε 1</w:t>
                  </w:r>
                  <w:r>
                    <w:rPr>
                      <w:rFonts w:ascii="Segoe UI" w:hAnsi="Segoe UI" w:cs="Segoe UI"/>
                      <w:sz w:val="16"/>
                      <w:szCs w:val="16"/>
                    </w:rPr>
                    <w:t>6,9</w:t>
                  </w:r>
                  <w:r w:rsidRPr="001565D8">
                    <w:rPr>
                      <w:rFonts w:ascii="Segoe UI" w:hAnsi="Segoe UI" w:cs="Segoe UI"/>
                      <w:sz w:val="16"/>
                      <w:szCs w:val="16"/>
                    </w:rPr>
                    <w:t>%</w:t>
                  </w:r>
                  <w:r w:rsidR="006A0F43">
                    <w:rPr>
                      <w:rFonts w:ascii="Segoe UI" w:hAnsi="Segoe UI" w:cs="Segoe UI"/>
                      <w:sz w:val="16"/>
                      <w:szCs w:val="16"/>
                      <w:vertAlign w:val="superscript"/>
                    </w:rPr>
                    <w:t>3</w:t>
                  </w:r>
                  <w:r>
                    <w:rPr>
                      <w:rFonts w:ascii="Segoe UI" w:hAnsi="Segoe UI" w:cs="Segoe UI"/>
                      <w:sz w:val="16"/>
                      <w:szCs w:val="16"/>
                    </w:rPr>
                    <w:t xml:space="preserve"> και </w:t>
                  </w:r>
                  <w:r w:rsidRPr="001565D8">
                    <w:rPr>
                      <w:rFonts w:ascii="Segoe UI" w:hAnsi="Segoe UI" w:cs="Segoe UI"/>
                      <w:sz w:val="16"/>
                      <w:szCs w:val="16"/>
                    </w:rPr>
                    <w:t>υπερβαίν</w:t>
                  </w:r>
                  <w:r>
                    <w:rPr>
                      <w:rFonts w:ascii="Segoe UI" w:hAnsi="Segoe UI" w:cs="Segoe UI"/>
                      <w:sz w:val="16"/>
                      <w:szCs w:val="16"/>
                    </w:rPr>
                    <w:t>ει κατά περίπου 540μ.β.</w:t>
                  </w:r>
                  <w:r w:rsidRPr="001565D8">
                    <w:rPr>
                      <w:rFonts w:ascii="Segoe UI" w:hAnsi="Segoe UI" w:cs="Segoe UI"/>
                      <w:sz w:val="16"/>
                      <w:szCs w:val="16"/>
                    </w:rPr>
                    <w:t xml:space="preserve"> τις </w:t>
                  </w:r>
                  <w:r>
                    <w:rPr>
                      <w:rFonts w:ascii="Segoe UI" w:hAnsi="Segoe UI" w:cs="Segoe UI"/>
                      <w:sz w:val="16"/>
                      <w:szCs w:val="16"/>
                    </w:rPr>
                    <w:t xml:space="preserve">προσαρμοσμένες για την πανδημία του κορωνοϊού </w:t>
                  </w:r>
                  <w:r w:rsidRPr="001565D8">
                    <w:rPr>
                      <w:rFonts w:ascii="Segoe UI" w:hAnsi="Segoe UI" w:cs="Segoe UI"/>
                      <w:sz w:val="16"/>
                      <w:szCs w:val="16"/>
                    </w:rPr>
                    <w:t xml:space="preserve">κεφαλαιακές απαιτήσεις </w:t>
                  </w:r>
                  <w:r w:rsidRPr="00E51D86">
                    <w:rPr>
                      <w:rFonts w:ascii="Segoe UI" w:hAnsi="Segoe UI" w:cs="Segoe UI"/>
                      <w:sz w:val="16"/>
                      <w:szCs w:val="16"/>
                    </w:rPr>
                    <w:t xml:space="preserve">ύψους 11,5% </w:t>
                  </w:r>
                  <w:r w:rsidRPr="001565D8">
                    <w:rPr>
                      <w:rFonts w:ascii="Segoe UI" w:hAnsi="Segoe UI" w:cs="Segoe UI"/>
                      <w:sz w:val="16"/>
                      <w:szCs w:val="16"/>
                    </w:rPr>
                    <w:t>για το 2020</w:t>
                  </w:r>
                  <w:r w:rsidR="007C000F">
                    <w:rPr>
                      <w:rFonts w:ascii="Segoe UI" w:hAnsi="Segoe UI" w:cs="Segoe UI"/>
                      <w:sz w:val="16"/>
                      <w:szCs w:val="16"/>
                    </w:rPr>
                    <w:t xml:space="preserve">, μη λαμβάνοντας υπόψη την επιπλέον μείωση κατά </w:t>
                  </w:r>
                  <w:r w:rsidR="006571AC">
                    <w:rPr>
                      <w:rFonts w:ascii="Segoe UI" w:hAnsi="Segoe UI" w:cs="Segoe UI"/>
                      <w:sz w:val="16"/>
                      <w:szCs w:val="16"/>
                    </w:rPr>
                    <w:t>50</w:t>
                  </w:r>
                  <w:r w:rsidR="007C000F">
                    <w:rPr>
                      <w:rFonts w:ascii="Segoe UI" w:hAnsi="Segoe UI" w:cs="Segoe UI"/>
                      <w:sz w:val="16"/>
                      <w:szCs w:val="16"/>
                    </w:rPr>
                    <w:t xml:space="preserve">μ.β. από το </w:t>
                  </w:r>
                  <w:r w:rsidR="007C000F" w:rsidRPr="007C000F">
                    <w:rPr>
                      <w:rFonts w:ascii="Segoe UI" w:hAnsi="Segoe UI" w:cs="Segoe UI"/>
                      <w:sz w:val="16"/>
                      <w:szCs w:val="16"/>
                    </w:rPr>
                    <w:t>Απόθεμα Ασφαλείας των Λοιπών Συστημικά Σημαντι</w:t>
                  </w:r>
                  <w:r w:rsidR="00D1547A">
                    <w:rPr>
                      <w:rFonts w:ascii="Segoe UI" w:hAnsi="Segoe UI" w:cs="Segoe UI"/>
                      <w:sz w:val="16"/>
                      <w:szCs w:val="16"/>
                    </w:rPr>
                    <w:t>κών Πιστωτικών Ιδρυμάτων (O-SII) ως απάντηση στην κρίση της πανδημίας του κορωνοϊού</w:t>
                  </w:r>
                  <w:r w:rsidR="007C000F">
                    <w:rPr>
                      <w:rFonts w:ascii="Segoe UI" w:hAnsi="Segoe UI" w:cs="Segoe UI"/>
                      <w:sz w:val="16"/>
                      <w:szCs w:val="16"/>
                    </w:rPr>
                    <w:t xml:space="preserve">, μετά από </w:t>
                  </w:r>
                  <w:r w:rsidR="00623F86">
                    <w:rPr>
                      <w:rFonts w:ascii="Segoe UI" w:hAnsi="Segoe UI" w:cs="Segoe UI"/>
                      <w:sz w:val="16"/>
                      <w:szCs w:val="16"/>
                    </w:rPr>
                    <w:t xml:space="preserve">πρόσφατη </w:t>
                  </w:r>
                  <w:r w:rsidR="007C000F" w:rsidRPr="007C000F">
                    <w:rPr>
                      <w:rFonts w:ascii="Segoe UI" w:hAnsi="Segoe UI" w:cs="Segoe UI"/>
                      <w:sz w:val="16"/>
                      <w:szCs w:val="16"/>
                    </w:rPr>
                    <w:t xml:space="preserve">επικοινωνία με την ΕΚΤ </w:t>
                  </w:r>
                </w:p>
                <w:p w:rsidR="003B131A" w:rsidRDefault="003B131A" w:rsidP="0064401F">
                  <w:pPr>
                    <w:spacing w:before="120"/>
                    <w:ind w:left="1440"/>
                    <w:jc w:val="right"/>
                    <w:rPr>
                      <w:rFonts w:ascii="Segoe UI" w:hAnsi="Segoe UI" w:cs="Segoe UI"/>
                      <w:sz w:val="14"/>
                      <w:szCs w:val="14"/>
                    </w:rPr>
                  </w:pPr>
                </w:p>
                <w:p w:rsidR="003B131A" w:rsidRPr="006462D9" w:rsidRDefault="003B131A" w:rsidP="0064401F">
                  <w:pPr>
                    <w:spacing w:before="120"/>
                    <w:ind w:left="1440"/>
                    <w:jc w:val="right"/>
                    <w:rPr>
                      <w:rFonts w:ascii="Segoe UI" w:hAnsi="Segoe UI" w:cs="Segoe UI"/>
                      <w:sz w:val="14"/>
                      <w:szCs w:val="14"/>
                    </w:rPr>
                  </w:pPr>
                  <w:r>
                    <w:rPr>
                      <w:rFonts w:ascii="Segoe UI" w:hAnsi="Segoe UI" w:cs="Segoe UI"/>
                      <w:sz w:val="14"/>
                      <w:szCs w:val="14"/>
                    </w:rPr>
                    <w:t>Αθήνα, 6 Αυγούστου 2020</w:t>
                  </w:r>
                </w:p>
                <w:p w:rsidR="003B131A" w:rsidRPr="006462D9" w:rsidRDefault="003B131A" w:rsidP="0064401F">
                  <w:pPr>
                    <w:spacing w:before="120"/>
                    <w:ind w:left="1440"/>
                    <w:jc w:val="right"/>
                    <w:rPr>
                      <w:rFonts w:ascii="Segoe UI" w:hAnsi="Segoe UI" w:cs="Segoe UI"/>
                      <w:sz w:val="14"/>
                      <w:szCs w:val="14"/>
                    </w:rPr>
                  </w:pPr>
                </w:p>
                <w:p w:rsidR="003B131A" w:rsidRPr="005156B8" w:rsidRDefault="003B131A" w:rsidP="00CB4A2F">
                  <w:pPr>
                    <w:pStyle w:val="a7"/>
                    <w:spacing w:before="120" w:after="0" w:line="240" w:lineRule="auto"/>
                    <w:ind w:left="644"/>
                    <w:jc w:val="left"/>
                    <w:rPr>
                      <w:rFonts w:ascii="Segoe UI" w:hAnsi="Segoe UI" w:cs="Segoe UI"/>
                      <w:sz w:val="10"/>
                      <w:szCs w:val="16"/>
                    </w:rPr>
                  </w:pPr>
                </w:p>
                <w:p w:rsidR="006A0F43" w:rsidRPr="006A0F43" w:rsidRDefault="003B131A" w:rsidP="00D45A05">
                  <w:pPr>
                    <w:jc w:val="both"/>
                    <w:rPr>
                      <w:rFonts w:ascii="Segoe UI" w:hAnsi="Segoe UI" w:cs="Segoe UI"/>
                      <w:sz w:val="12"/>
                      <w:szCs w:val="16"/>
                    </w:rPr>
                  </w:pPr>
                  <w:r w:rsidRPr="003E514D">
                    <w:rPr>
                      <w:rFonts w:ascii="Segoe UI" w:hAnsi="Segoe UI" w:cs="Segoe UI"/>
                      <w:sz w:val="12"/>
                      <w:szCs w:val="16"/>
                      <w:vertAlign w:val="superscript"/>
                    </w:rPr>
                    <w:t>1</w:t>
                  </w:r>
                  <w:r w:rsidR="006A0F43">
                    <w:rPr>
                      <w:rFonts w:ascii="Segoe UI" w:hAnsi="Segoe UI" w:cs="Segoe UI"/>
                      <w:sz w:val="12"/>
                      <w:szCs w:val="16"/>
                      <w:vertAlign w:val="superscript"/>
                    </w:rPr>
                    <w:t xml:space="preserve"> </w:t>
                  </w:r>
                  <w:r w:rsidR="009F6F6A">
                    <w:rPr>
                      <w:rFonts w:ascii="Segoe UI" w:hAnsi="Segoe UI" w:cs="Segoe UI"/>
                      <w:sz w:val="12"/>
                      <w:szCs w:val="16"/>
                    </w:rPr>
                    <w:t>Κ</w:t>
                  </w:r>
                  <w:r w:rsidR="009F6F6A" w:rsidRPr="009F6F6A">
                    <w:rPr>
                      <w:rFonts w:ascii="Segoe UI" w:hAnsi="Segoe UI" w:cs="Segoe UI"/>
                      <w:sz w:val="12"/>
                      <w:szCs w:val="16"/>
                    </w:rPr>
                    <w:t>έρδη μετά από φόρους α</w:t>
                  </w:r>
                  <w:r w:rsidR="006A0F43" w:rsidRPr="009F6F6A">
                    <w:rPr>
                      <w:rFonts w:ascii="Segoe UI" w:hAnsi="Segoe UI" w:cs="Segoe UI"/>
                      <w:sz w:val="12"/>
                      <w:szCs w:val="16"/>
                    </w:rPr>
                    <w:t>πό συνεχιζόμενες</w:t>
                  </w:r>
                  <w:r w:rsidR="006A0F43" w:rsidRPr="006A0F43">
                    <w:rPr>
                      <w:rFonts w:ascii="Segoe UI" w:hAnsi="Segoe UI" w:cs="Segoe UI"/>
                      <w:sz w:val="12"/>
                      <w:szCs w:val="16"/>
                    </w:rPr>
                    <w:t xml:space="preserve"> δραστ</w:t>
                  </w:r>
                  <w:r w:rsidR="006A0F43">
                    <w:rPr>
                      <w:rFonts w:ascii="Segoe UI" w:hAnsi="Segoe UI" w:cs="Segoe UI"/>
                      <w:sz w:val="12"/>
                      <w:szCs w:val="16"/>
                    </w:rPr>
                    <w:t>ηριό</w:t>
                  </w:r>
                  <w:r w:rsidR="006A0F43" w:rsidRPr="006A0F43">
                    <w:rPr>
                      <w:rFonts w:ascii="Segoe UI" w:hAnsi="Segoe UI" w:cs="Segoe UI"/>
                      <w:sz w:val="12"/>
                      <w:szCs w:val="16"/>
                    </w:rPr>
                    <w:t>τητες</w:t>
                  </w:r>
                </w:p>
                <w:p w:rsidR="003B131A" w:rsidRPr="00574A1A" w:rsidRDefault="006A0F43" w:rsidP="00D45A05">
                  <w:pPr>
                    <w:jc w:val="both"/>
                    <w:rPr>
                      <w:rFonts w:ascii="Segoe UI" w:hAnsi="Segoe UI" w:cs="Segoe UI"/>
                      <w:sz w:val="12"/>
                      <w:szCs w:val="16"/>
                    </w:rPr>
                  </w:pPr>
                  <w:r w:rsidRPr="006A0F43">
                    <w:rPr>
                      <w:rFonts w:ascii="Segoe UI" w:hAnsi="Segoe UI" w:cs="Segoe UI"/>
                      <w:sz w:val="12"/>
                      <w:szCs w:val="16"/>
                      <w:vertAlign w:val="superscript"/>
                    </w:rPr>
                    <w:t>2</w:t>
                  </w:r>
                  <w:r>
                    <w:rPr>
                      <w:rFonts w:ascii="Segoe UI" w:hAnsi="Segoe UI" w:cs="Segoe UI"/>
                      <w:sz w:val="12"/>
                      <w:szCs w:val="16"/>
                    </w:rPr>
                    <w:t xml:space="preserve"> </w:t>
                  </w:r>
                  <w:r w:rsidR="003B131A">
                    <w:rPr>
                      <w:rFonts w:ascii="Segoe UI" w:hAnsi="Segoe UI" w:cs="Segoe UI"/>
                      <w:sz w:val="12"/>
                      <w:szCs w:val="16"/>
                    </w:rPr>
                    <w:t xml:space="preserve">Εξαιρώντας </w:t>
                  </w:r>
                  <w:r w:rsidR="003B131A" w:rsidRPr="00A54F0A">
                    <w:rPr>
                      <w:rFonts w:ascii="Segoe UI" w:hAnsi="Segoe UI" w:cs="Segoe UI"/>
                      <w:sz w:val="12"/>
                      <w:szCs w:val="16"/>
                    </w:rPr>
                    <w:t>τις προβλέψεις απομείωσης ύψους €4</w:t>
                  </w:r>
                  <w:r w:rsidR="003B131A" w:rsidRPr="00E81C54">
                    <w:rPr>
                      <w:rFonts w:ascii="Segoe UI" w:hAnsi="Segoe UI" w:cs="Segoe UI"/>
                      <w:sz w:val="12"/>
                      <w:szCs w:val="16"/>
                    </w:rPr>
                    <w:t>2</w:t>
                  </w:r>
                  <w:r w:rsidR="003B131A" w:rsidRPr="00A54F0A">
                    <w:rPr>
                      <w:rFonts w:ascii="Segoe UI" w:hAnsi="Segoe UI" w:cs="Segoe UI"/>
                      <w:sz w:val="12"/>
                      <w:szCs w:val="16"/>
                    </w:rPr>
                    <w:t xml:space="preserve">6 εκατ. σχετιζόμενες με την πανδημία του κορωνοϊού το Α’ </w:t>
                  </w:r>
                  <w:r w:rsidR="003B131A">
                    <w:rPr>
                      <w:rFonts w:ascii="Segoe UI" w:hAnsi="Segoe UI" w:cs="Segoe UI"/>
                      <w:sz w:val="12"/>
                      <w:szCs w:val="16"/>
                    </w:rPr>
                    <w:t>εξάμηνο</w:t>
                  </w:r>
                  <w:r w:rsidR="003B131A" w:rsidRPr="00A54F0A">
                    <w:rPr>
                      <w:rFonts w:ascii="Segoe UI" w:hAnsi="Segoe UI" w:cs="Segoe UI"/>
                      <w:sz w:val="12"/>
                      <w:szCs w:val="16"/>
                    </w:rPr>
                    <w:t xml:space="preserve"> 2020</w:t>
                  </w:r>
                  <w:r w:rsidR="003B131A">
                    <w:rPr>
                      <w:rFonts w:ascii="Segoe UI" w:hAnsi="Segoe UI" w:cs="Segoe UI"/>
                      <w:sz w:val="12"/>
                      <w:szCs w:val="16"/>
                    </w:rPr>
                    <w:t xml:space="preserve"> </w:t>
                  </w:r>
                  <w:r w:rsidR="003B131A" w:rsidRPr="00574A1A">
                    <w:rPr>
                      <w:rFonts w:ascii="Segoe UI" w:hAnsi="Segoe UI" w:cs="Segoe UI"/>
                      <w:sz w:val="12"/>
                      <w:szCs w:val="16"/>
                    </w:rPr>
                    <w:t>(</w:t>
                  </w:r>
                  <w:r w:rsidR="00EF3DC3">
                    <w:rPr>
                      <w:rFonts w:ascii="Segoe UI" w:hAnsi="Segoe UI" w:cs="Segoe UI"/>
                      <w:sz w:val="12"/>
                      <w:szCs w:val="16"/>
                    </w:rPr>
                    <w:t xml:space="preserve">εκ των οποίων </w:t>
                  </w:r>
                  <w:r w:rsidR="003B131A" w:rsidRPr="00574A1A">
                    <w:rPr>
                      <w:rFonts w:ascii="Segoe UI" w:hAnsi="Segoe UI" w:cs="Segoe UI"/>
                      <w:sz w:val="12"/>
                      <w:szCs w:val="16"/>
                    </w:rPr>
                    <w:t xml:space="preserve">€10 </w:t>
                  </w:r>
                  <w:r w:rsidR="003B131A">
                    <w:rPr>
                      <w:rFonts w:ascii="Segoe UI" w:hAnsi="Segoe UI" w:cs="Segoe UI"/>
                      <w:sz w:val="12"/>
                      <w:szCs w:val="16"/>
                    </w:rPr>
                    <w:t>εκατ. το Β’ τρίμηνο 2020)</w:t>
                  </w:r>
                </w:p>
                <w:p w:rsidR="003B131A" w:rsidRPr="004E6CF7" w:rsidRDefault="006A0F43" w:rsidP="004E6CF7">
                  <w:pPr>
                    <w:jc w:val="both"/>
                    <w:rPr>
                      <w:rFonts w:ascii="Segoe UI" w:hAnsi="Segoe UI" w:cs="Segoe UI"/>
                      <w:sz w:val="12"/>
                      <w:szCs w:val="10"/>
                    </w:rPr>
                  </w:pPr>
                  <w:r>
                    <w:rPr>
                      <w:rFonts w:ascii="Segoe UI" w:hAnsi="Segoe UI" w:cs="Segoe UI"/>
                      <w:sz w:val="12"/>
                      <w:szCs w:val="16"/>
                      <w:vertAlign w:val="superscript"/>
                    </w:rPr>
                    <w:t>3</w:t>
                  </w:r>
                  <w:r w:rsidR="003B131A">
                    <w:rPr>
                      <w:rFonts w:ascii="Segoe UI" w:hAnsi="Segoe UI" w:cs="Segoe UI"/>
                      <w:sz w:val="12"/>
                      <w:szCs w:val="16"/>
                      <w:vertAlign w:val="superscript"/>
                    </w:rPr>
                    <w:t xml:space="preserve"> </w:t>
                  </w:r>
                  <w:r w:rsidR="003B131A" w:rsidRPr="003E514D">
                    <w:rPr>
                      <w:rFonts w:ascii="Segoe UI" w:hAnsi="Segoe UI" w:cs="Segoe UI"/>
                      <w:sz w:val="12"/>
                      <w:szCs w:val="10"/>
                    </w:rPr>
                    <w:t xml:space="preserve">Οι δείκτες κεφαλαιακής επάρκειας </w:t>
                  </w:r>
                  <w:r w:rsidR="003B131A" w:rsidRPr="004E6CF7">
                    <w:rPr>
                      <w:rFonts w:ascii="Segoe UI" w:hAnsi="Segoe UI" w:cs="Segoe UI"/>
                      <w:sz w:val="12"/>
                      <w:szCs w:val="10"/>
                    </w:rPr>
                    <w:t xml:space="preserve">περιλαμβάνουν τα κέρδη μετά </w:t>
                  </w:r>
                  <w:r w:rsidR="009E3668" w:rsidRPr="009E3668">
                    <w:rPr>
                      <w:rFonts w:ascii="Segoe UI" w:hAnsi="Segoe UI" w:cs="Segoe UI"/>
                      <w:sz w:val="12"/>
                      <w:szCs w:val="10"/>
                    </w:rPr>
                    <w:t xml:space="preserve">από φόρους </w:t>
                  </w:r>
                  <w:r w:rsidR="003B131A" w:rsidRPr="004E6CF7">
                    <w:rPr>
                      <w:rFonts w:ascii="Segoe UI" w:hAnsi="Segoe UI" w:cs="Segoe UI"/>
                      <w:sz w:val="12"/>
                      <w:szCs w:val="10"/>
                    </w:rPr>
                    <w:t xml:space="preserve">του Α’ </w:t>
                  </w:r>
                  <w:r w:rsidR="003B131A">
                    <w:rPr>
                      <w:rFonts w:ascii="Segoe UI" w:hAnsi="Segoe UI" w:cs="Segoe UI"/>
                      <w:sz w:val="12"/>
                      <w:szCs w:val="10"/>
                    </w:rPr>
                    <w:t>εξαμήνου</w:t>
                  </w:r>
                  <w:r w:rsidR="003B131A" w:rsidRPr="004E6CF7">
                    <w:rPr>
                      <w:rFonts w:ascii="Segoe UI" w:hAnsi="Segoe UI" w:cs="Segoe UI"/>
                      <w:sz w:val="12"/>
                      <w:szCs w:val="10"/>
                    </w:rPr>
                    <w:t xml:space="preserve"> 2020. </w:t>
                  </w:r>
                  <w:r w:rsidR="003B131A" w:rsidRPr="004E6CF7">
                    <w:rPr>
                      <w:rFonts w:ascii="Segoe UI" w:hAnsi="Segoe UI" w:cs="Segoe UI"/>
                      <w:sz w:val="12"/>
                      <w:szCs w:val="12"/>
                    </w:rPr>
                    <w:t xml:space="preserve">Σε δημοσιευμένη βάση, ο δείκτης CET1 και ο Συνολικός Δείκτης Κεφαλαιακής </w:t>
                  </w:r>
                  <w:r w:rsidR="00921045" w:rsidRPr="00921045">
                    <w:rPr>
                      <w:rFonts w:ascii="Segoe UI" w:hAnsi="Segoe UI" w:cs="Segoe UI"/>
                      <w:sz w:val="12"/>
                      <w:szCs w:val="12"/>
                    </w:rPr>
                    <w:t xml:space="preserve"> </w:t>
                  </w:r>
                  <w:r w:rsidR="003B131A" w:rsidRPr="004E6CF7">
                    <w:rPr>
                      <w:rFonts w:ascii="Segoe UI" w:hAnsi="Segoe UI" w:cs="Segoe UI"/>
                      <w:sz w:val="12"/>
                      <w:szCs w:val="12"/>
                    </w:rPr>
                    <w:t>Επάρκειας ανέρχονται σε 14,</w:t>
                  </w:r>
                  <w:r w:rsidR="003B131A">
                    <w:rPr>
                      <w:rFonts w:ascii="Segoe UI" w:hAnsi="Segoe UI" w:cs="Segoe UI"/>
                      <w:sz w:val="12"/>
                      <w:szCs w:val="12"/>
                    </w:rPr>
                    <w:t>8</w:t>
                  </w:r>
                  <w:r w:rsidR="003B131A" w:rsidRPr="004E6CF7">
                    <w:rPr>
                      <w:rFonts w:ascii="Segoe UI" w:hAnsi="Segoe UI" w:cs="Segoe UI"/>
                      <w:sz w:val="12"/>
                      <w:szCs w:val="12"/>
                    </w:rPr>
                    <w:t>% και 15,</w:t>
                  </w:r>
                  <w:r w:rsidR="003B131A">
                    <w:rPr>
                      <w:rFonts w:ascii="Segoe UI" w:hAnsi="Segoe UI" w:cs="Segoe UI"/>
                      <w:sz w:val="12"/>
                      <w:szCs w:val="12"/>
                    </w:rPr>
                    <w:t>8</w:t>
                  </w:r>
                  <w:r w:rsidR="003B131A" w:rsidRPr="004E6CF7">
                    <w:rPr>
                      <w:rFonts w:ascii="Segoe UI" w:hAnsi="Segoe UI" w:cs="Segoe UI"/>
                      <w:sz w:val="12"/>
                      <w:szCs w:val="12"/>
                    </w:rPr>
                    <w:t>%, αντίστοιχα</w:t>
                  </w:r>
                </w:p>
                <w:p w:rsidR="003B131A" w:rsidRPr="004E6CF7" w:rsidRDefault="003B131A" w:rsidP="00D45A05">
                  <w:pPr>
                    <w:jc w:val="both"/>
                    <w:rPr>
                      <w:rFonts w:ascii="Segoe UI" w:hAnsi="Segoe UI" w:cs="Segoe UI"/>
                      <w:sz w:val="12"/>
                      <w:szCs w:val="10"/>
                    </w:rPr>
                  </w:pPr>
                </w:p>
              </w:txbxContent>
            </v:textbox>
            <w10:wrap type="none"/>
            <w10:anchorlock/>
          </v:shape>
        </w:pict>
      </w:r>
    </w:p>
    <w:p w:rsidR="000A0DA1" w:rsidRDefault="000A0DA1" w:rsidP="000A0DA1">
      <w:pPr>
        <w:pStyle w:val="body"/>
        <w:rPr>
          <w:rFonts w:ascii="Segoe UI" w:hAnsi="Segoe UI" w:cs="Segoe UI"/>
          <w:i/>
          <w:szCs w:val="20"/>
        </w:rPr>
      </w:pPr>
    </w:p>
    <w:p w:rsidR="000B23DD" w:rsidRPr="000B23DD" w:rsidRDefault="000A0DA1" w:rsidP="000B23DD">
      <w:pPr>
        <w:pStyle w:val="body"/>
        <w:rPr>
          <w:rFonts w:ascii="Segoe UI" w:hAnsi="Segoe UI" w:cs="Segoe UI"/>
          <w:i/>
          <w:szCs w:val="20"/>
        </w:rPr>
      </w:pPr>
      <w:r w:rsidRPr="000B23DD">
        <w:rPr>
          <w:rFonts w:ascii="Segoe UI" w:hAnsi="Segoe UI" w:cs="Segoe UI"/>
          <w:i/>
          <w:szCs w:val="20"/>
        </w:rPr>
        <w:t>«</w:t>
      </w:r>
      <w:r w:rsidR="000B23DD" w:rsidRPr="000B23DD">
        <w:rPr>
          <w:rFonts w:ascii="Segoe UI" w:hAnsi="Segoe UI" w:cs="Segoe UI"/>
          <w:i/>
          <w:szCs w:val="20"/>
        </w:rPr>
        <w:t>Η πανδημία του κορωνοϊού</w:t>
      </w:r>
      <w:r w:rsidR="009D2280" w:rsidRPr="009D2280">
        <w:rPr>
          <w:rFonts w:ascii="Segoe UI" w:hAnsi="Segoe UI" w:cs="Segoe UI"/>
          <w:i/>
          <w:szCs w:val="20"/>
        </w:rPr>
        <w:t xml:space="preserve"> </w:t>
      </w:r>
      <w:r w:rsidR="009D2280">
        <w:rPr>
          <w:rFonts w:ascii="Segoe UI" w:hAnsi="Segoe UI" w:cs="Segoe UI"/>
          <w:i/>
          <w:szCs w:val="20"/>
        </w:rPr>
        <w:t>συνεχίζει να παίζει καθοριστικό ρόλο στις εξελίξεις στην οικονομία</w:t>
      </w:r>
      <w:r w:rsidR="000B23DD" w:rsidRPr="000B23DD">
        <w:rPr>
          <w:rFonts w:ascii="Segoe UI" w:hAnsi="Segoe UI" w:cs="Segoe UI"/>
          <w:i/>
          <w:szCs w:val="20"/>
        </w:rPr>
        <w:t xml:space="preserve">. Η επιβολή περιοριστικών μέτρων και η αυξημένη αβεβαιότητα οδήγησαν σε μία άνευ προηγουμένου πτώση της οικονομικής δραστηριότητας το Β’ τρίμηνο 2020. </w:t>
      </w:r>
      <w:r w:rsidR="008A1450">
        <w:rPr>
          <w:rFonts w:ascii="Segoe UI" w:hAnsi="Segoe UI" w:cs="Segoe UI"/>
          <w:i/>
          <w:szCs w:val="20"/>
        </w:rPr>
        <w:t>Παρόλα αυτά</w:t>
      </w:r>
      <w:r w:rsidR="000B23DD" w:rsidRPr="000B23DD">
        <w:rPr>
          <w:rFonts w:ascii="Segoe UI" w:hAnsi="Segoe UI" w:cs="Segoe UI"/>
          <w:i/>
          <w:szCs w:val="20"/>
        </w:rPr>
        <w:t xml:space="preserve">, </w:t>
      </w:r>
      <w:r w:rsidR="003C1158">
        <w:rPr>
          <w:rFonts w:ascii="Segoe UI" w:hAnsi="Segoe UI" w:cs="Segoe UI"/>
          <w:i/>
          <w:szCs w:val="20"/>
        </w:rPr>
        <w:t xml:space="preserve">με το </w:t>
      </w:r>
      <w:r w:rsidR="006A4BEC">
        <w:rPr>
          <w:rFonts w:ascii="Segoe UI" w:hAnsi="Segoe UI" w:cs="Segoe UI"/>
          <w:i/>
          <w:szCs w:val="20"/>
        </w:rPr>
        <w:t>σταδιακό άνοιγμα της οικονομίας και</w:t>
      </w:r>
      <w:r w:rsidR="006A4BEC" w:rsidRPr="006A4BEC">
        <w:rPr>
          <w:rFonts w:ascii="Segoe UI" w:hAnsi="Segoe UI" w:cs="Segoe UI"/>
          <w:i/>
          <w:szCs w:val="20"/>
        </w:rPr>
        <w:t xml:space="preserve"> </w:t>
      </w:r>
      <w:r w:rsidR="00D341A1">
        <w:rPr>
          <w:rFonts w:ascii="Segoe UI" w:hAnsi="Segoe UI" w:cs="Segoe UI"/>
          <w:i/>
          <w:szCs w:val="20"/>
        </w:rPr>
        <w:t xml:space="preserve">με καθυστέρηση </w:t>
      </w:r>
      <w:r w:rsidR="006A4BEC">
        <w:rPr>
          <w:rFonts w:ascii="Segoe UI" w:hAnsi="Segoe UI" w:cs="Segoe UI"/>
          <w:i/>
          <w:szCs w:val="20"/>
        </w:rPr>
        <w:t>του</w:t>
      </w:r>
      <w:r w:rsidR="00D341A1">
        <w:rPr>
          <w:rFonts w:ascii="Segoe UI" w:hAnsi="Segoe UI" w:cs="Segoe UI"/>
          <w:i/>
          <w:szCs w:val="20"/>
        </w:rPr>
        <w:t xml:space="preserve"> </w:t>
      </w:r>
      <w:r w:rsidR="00771E5F">
        <w:rPr>
          <w:rFonts w:ascii="Segoe UI" w:hAnsi="Segoe UI" w:cs="Segoe UI"/>
          <w:i/>
          <w:szCs w:val="20"/>
        </w:rPr>
        <w:t xml:space="preserve">υψίστης σημασίας </w:t>
      </w:r>
      <w:r w:rsidR="003C1158">
        <w:rPr>
          <w:rFonts w:ascii="Segoe UI" w:hAnsi="Segoe UI" w:cs="Segoe UI"/>
          <w:i/>
          <w:szCs w:val="20"/>
        </w:rPr>
        <w:t>τουριστικ</w:t>
      </w:r>
      <w:r w:rsidR="006A4BEC">
        <w:rPr>
          <w:rFonts w:ascii="Segoe UI" w:hAnsi="Segoe UI" w:cs="Segoe UI"/>
          <w:i/>
          <w:szCs w:val="20"/>
        </w:rPr>
        <w:t>ού</w:t>
      </w:r>
      <w:r w:rsidR="00D341A1">
        <w:rPr>
          <w:rFonts w:ascii="Segoe UI" w:hAnsi="Segoe UI" w:cs="Segoe UI"/>
          <w:i/>
          <w:szCs w:val="20"/>
        </w:rPr>
        <w:t xml:space="preserve"> κλάδο</w:t>
      </w:r>
      <w:r w:rsidR="006A4BEC">
        <w:rPr>
          <w:rFonts w:ascii="Segoe UI" w:hAnsi="Segoe UI" w:cs="Segoe UI"/>
          <w:i/>
          <w:szCs w:val="20"/>
        </w:rPr>
        <w:t>υ</w:t>
      </w:r>
      <w:r w:rsidR="003C1158">
        <w:rPr>
          <w:rFonts w:ascii="Segoe UI" w:hAnsi="Segoe UI" w:cs="Segoe UI"/>
          <w:i/>
          <w:szCs w:val="20"/>
        </w:rPr>
        <w:t xml:space="preserve">, καθώς και με </w:t>
      </w:r>
      <w:r w:rsidR="000B23DD" w:rsidRPr="000B23DD">
        <w:rPr>
          <w:rFonts w:ascii="Segoe UI" w:hAnsi="Segoe UI" w:cs="Segoe UI"/>
          <w:i/>
          <w:szCs w:val="20"/>
        </w:rPr>
        <w:t>τη</w:t>
      </w:r>
      <w:r w:rsidR="003C1158">
        <w:rPr>
          <w:rFonts w:ascii="Segoe UI" w:hAnsi="Segoe UI" w:cs="Segoe UI"/>
          <w:i/>
          <w:szCs w:val="20"/>
        </w:rPr>
        <w:t>ν</w:t>
      </w:r>
      <w:r w:rsidR="000B23DD" w:rsidRPr="000B23DD">
        <w:rPr>
          <w:rFonts w:ascii="Segoe UI" w:hAnsi="Segoe UI" w:cs="Segoe UI"/>
          <w:i/>
          <w:szCs w:val="20"/>
        </w:rPr>
        <w:t xml:space="preserve"> ευρεία εφαρμογή δημοσιονομικών μέτρων στήριξης και παροχής ρευστότητας, η δραστηριότητα σε συγκεκριμένους τομείς της οικονομίας </w:t>
      </w:r>
      <w:r w:rsidR="003C1158">
        <w:rPr>
          <w:rFonts w:ascii="Segoe UI" w:hAnsi="Segoe UI" w:cs="Segoe UI"/>
          <w:i/>
          <w:szCs w:val="20"/>
        </w:rPr>
        <w:t xml:space="preserve">δείχνει σαφή σημάδια ανάκαμψης </w:t>
      </w:r>
      <w:r w:rsidR="008A1450">
        <w:rPr>
          <w:rFonts w:ascii="Segoe UI" w:hAnsi="Segoe UI" w:cs="Segoe UI"/>
          <w:i/>
          <w:szCs w:val="20"/>
        </w:rPr>
        <w:t xml:space="preserve">ήδη </w:t>
      </w:r>
      <w:r w:rsidR="003C1158">
        <w:rPr>
          <w:rFonts w:ascii="Segoe UI" w:hAnsi="Segoe UI" w:cs="Segoe UI"/>
          <w:i/>
          <w:szCs w:val="20"/>
        </w:rPr>
        <w:t>τ</w:t>
      </w:r>
      <w:r w:rsidR="000B23DD" w:rsidRPr="000B23DD">
        <w:rPr>
          <w:rFonts w:ascii="Segoe UI" w:hAnsi="Segoe UI" w:cs="Segoe UI"/>
          <w:i/>
          <w:szCs w:val="20"/>
        </w:rPr>
        <w:t>ον Ιούνιο και τον Ιούλιο.</w:t>
      </w:r>
    </w:p>
    <w:p w:rsidR="000B23DD" w:rsidRPr="000B23DD" w:rsidRDefault="000B23DD" w:rsidP="000B23DD">
      <w:pPr>
        <w:pStyle w:val="body"/>
        <w:rPr>
          <w:rFonts w:ascii="Segoe UI" w:hAnsi="Segoe UI" w:cs="Segoe UI"/>
          <w:i/>
          <w:szCs w:val="20"/>
        </w:rPr>
      </w:pPr>
      <w:r w:rsidRPr="000B23DD">
        <w:rPr>
          <w:rFonts w:ascii="Segoe UI" w:hAnsi="Segoe UI" w:cs="Segoe UI"/>
          <w:i/>
          <w:szCs w:val="20"/>
        </w:rPr>
        <w:t xml:space="preserve">Σε αυτό το </w:t>
      </w:r>
      <w:r w:rsidR="00582BFB">
        <w:rPr>
          <w:rFonts w:ascii="Segoe UI" w:hAnsi="Segoe UI" w:cs="Segoe UI"/>
          <w:i/>
          <w:szCs w:val="20"/>
        </w:rPr>
        <w:t xml:space="preserve">πρωτόγνωρο </w:t>
      </w:r>
      <w:r w:rsidRPr="000B23DD">
        <w:rPr>
          <w:rFonts w:ascii="Segoe UI" w:hAnsi="Segoe UI" w:cs="Segoe UI"/>
          <w:i/>
          <w:szCs w:val="20"/>
        </w:rPr>
        <w:t xml:space="preserve">περιβάλλον, ο ρόλος μας στη στήριξη των πελατών μας και της ελληνικής οικονομίας είναι πιο κρίσιμος από ποτέ. </w:t>
      </w:r>
      <w:r w:rsidR="00582BFB">
        <w:rPr>
          <w:rFonts w:ascii="Segoe UI" w:hAnsi="Segoe UI" w:cs="Segoe UI"/>
          <w:i/>
          <w:szCs w:val="20"/>
        </w:rPr>
        <w:t xml:space="preserve">Σε αυτήν την κατεύθυνση, έχουμε προχωρήσει στη στοχευμένη </w:t>
      </w:r>
      <w:r w:rsidRPr="000B23DD">
        <w:rPr>
          <w:rFonts w:ascii="Segoe UI" w:hAnsi="Segoe UI" w:cs="Segoe UI"/>
          <w:i/>
          <w:szCs w:val="20"/>
        </w:rPr>
        <w:t xml:space="preserve">παροχή μέτρων διευκόλυνσης καταβολής οφειλών, σε συνδυασμό με την ενεργή συμμετοχή μας σε όλα τα </w:t>
      </w:r>
      <w:r w:rsidR="008A1450">
        <w:rPr>
          <w:rFonts w:ascii="Segoe UI" w:hAnsi="Segoe UI" w:cs="Segoe UI"/>
          <w:i/>
          <w:szCs w:val="20"/>
        </w:rPr>
        <w:t>κ</w:t>
      </w:r>
      <w:r w:rsidR="008A1450" w:rsidRPr="000B23DD">
        <w:rPr>
          <w:rFonts w:ascii="Segoe UI" w:hAnsi="Segoe UI" w:cs="Segoe UI"/>
          <w:i/>
          <w:szCs w:val="20"/>
        </w:rPr>
        <w:t>υβ</w:t>
      </w:r>
      <w:r w:rsidR="008A1450">
        <w:rPr>
          <w:rFonts w:ascii="Segoe UI" w:hAnsi="Segoe UI" w:cs="Segoe UI"/>
          <w:i/>
          <w:szCs w:val="20"/>
        </w:rPr>
        <w:t xml:space="preserve">ερνητικά </w:t>
      </w:r>
      <w:r w:rsidRPr="000B23DD">
        <w:rPr>
          <w:rFonts w:ascii="Segoe UI" w:hAnsi="Segoe UI" w:cs="Segoe UI"/>
          <w:i/>
          <w:szCs w:val="20"/>
        </w:rPr>
        <w:t>προγράμματα στήριξης</w:t>
      </w:r>
      <w:r w:rsidR="00A16E26">
        <w:rPr>
          <w:rFonts w:ascii="Segoe UI" w:hAnsi="Segoe UI" w:cs="Segoe UI"/>
          <w:i/>
          <w:szCs w:val="20"/>
        </w:rPr>
        <w:t xml:space="preserve">. Ειδικότερα, </w:t>
      </w:r>
      <w:r w:rsidRPr="000B23DD">
        <w:rPr>
          <w:rFonts w:ascii="Segoe UI" w:hAnsi="Segoe UI" w:cs="Segoe UI"/>
          <w:i/>
          <w:szCs w:val="20"/>
        </w:rPr>
        <w:t xml:space="preserve">έχουμε προχωρήσει σε μέτρα διευκόλυνσης καταβολής οφειλών που </w:t>
      </w:r>
      <w:r w:rsidR="008A1450">
        <w:rPr>
          <w:rFonts w:ascii="Segoe UI" w:hAnsi="Segoe UI" w:cs="Segoe UI"/>
          <w:i/>
          <w:szCs w:val="20"/>
        </w:rPr>
        <w:t xml:space="preserve">ανέρχονται σε </w:t>
      </w:r>
      <w:r w:rsidRPr="000B23DD">
        <w:rPr>
          <w:rFonts w:ascii="Segoe UI" w:hAnsi="Segoe UI" w:cs="Segoe UI"/>
          <w:i/>
          <w:szCs w:val="20"/>
        </w:rPr>
        <w:t>€3,</w:t>
      </w:r>
      <w:r w:rsidR="00AB2C60">
        <w:rPr>
          <w:rFonts w:ascii="Segoe UI" w:hAnsi="Segoe UI" w:cs="Segoe UI"/>
          <w:i/>
          <w:szCs w:val="20"/>
        </w:rPr>
        <w:t>5</w:t>
      </w:r>
      <w:r w:rsidR="00DC76BF">
        <w:rPr>
          <w:rFonts w:ascii="Segoe UI" w:hAnsi="Segoe UI" w:cs="Segoe UI"/>
          <w:i/>
          <w:szCs w:val="20"/>
        </w:rPr>
        <w:t xml:space="preserve"> δισ. σε </w:t>
      </w:r>
      <w:r w:rsidR="00AB2C60">
        <w:rPr>
          <w:rFonts w:ascii="Segoe UI" w:hAnsi="Segoe UI" w:cs="Segoe UI"/>
          <w:i/>
          <w:szCs w:val="20"/>
        </w:rPr>
        <w:t xml:space="preserve">περισσότερους από </w:t>
      </w:r>
      <w:r w:rsidR="00DC76BF">
        <w:rPr>
          <w:rFonts w:ascii="Segoe UI" w:hAnsi="Segoe UI" w:cs="Segoe UI"/>
          <w:i/>
          <w:szCs w:val="20"/>
        </w:rPr>
        <w:t>39 χιλ. πελάτες</w:t>
      </w:r>
      <w:r w:rsidRPr="000B23DD">
        <w:rPr>
          <w:rFonts w:ascii="Segoe UI" w:hAnsi="Segoe UI" w:cs="Segoe UI"/>
          <w:i/>
          <w:szCs w:val="20"/>
        </w:rPr>
        <w:t xml:space="preserve">. </w:t>
      </w:r>
      <w:r w:rsidR="00DC76BF">
        <w:rPr>
          <w:rFonts w:ascii="Segoe UI" w:hAnsi="Segoe UI" w:cs="Segoe UI"/>
          <w:i/>
          <w:szCs w:val="20"/>
        </w:rPr>
        <w:t xml:space="preserve">Επιπλέον, </w:t>
      </w:r>
      <w:r w:rsidR="00DC76BF" w:rsidRPr="000B23DD">
        <w:rPr>
          <w:rFonts w:ascii="Segoe UI" w:hAnsi="Segoe UI" w:cs="Segoe UI"/>
          <w:i/>
          <w:szCs w:val="20"/>
        </w:rPr>
        <w:t>έχουμε εκταμιεύσει νέα δάνεια της τάξεως των €2,</w:t>
      </w:r>
      <w:r w:rsidR="004B4235" w:rsidRPr="004B4235">
        <w:rPr>
          <w:rFonts w:ascii="Segoe UI" w:hAnsi="Segoe UI" w:cs="Segoe UI"/>
          <w:i/>
          <w:szCs w:val="20"/>
        </w:rPr>
        <w:t>8</w:t>
      </w:r>
      <w:r w:rsidR="00DC76BF" w:rsidRPr="000B23DD">
        <w:rPr>
          <w:rFonts w:ascii="Segoe UI" w:hAnsi="Segoe UI" w:cs="Segoe UI"/>
          <w:i/>
          <w:szCs w:val="20"/>
        </w:rPr>
        <w:t xml:space="preserve"> δι</w:t>
      </w:r>
      <w:r w:rsidR="008020E5">
        <w:rPr>
          <w:rFonts w:ascii="Segoe UI" w:hAnsi="Segoe UI" w:cs="Segoe UI"/>
          <w:i/>
          <w:szCs w:val="20"/>
        </w:rPr>
        <w:t>σ</w:t>
      </w:r>
      <w:r w:rsidR="00DC76BF" w:rsidRPr="000B23DD">
        <w:rPr>
          <w:rFonts w:ascii="Segoe UI" w:hAnsi="Segoe UI" w:cs="Segoe UI"/>
          <w:i/>
          <w:szCs w:val="20"/>
        </w:rPr>
        <w:t>.</w:t>
      </w:r>
      <w:r w:rsidR="008020E5">
        <w:rPr>
          <w:rFonts w:ascii="Segoe UI" w:hAnsi="Segoe UI" w:cs="Segoe UI"/>
          <w:i/>
          <w:szCs w:val="20"/>
        </w:rPr>
        <w:t xml:space="preserve"> </w:t>
      </w:r>
      <w:r w:rsidR="00DC76BF">
        <w:rPr>
          <w:rFonts w:ascii="Segoe UI" w:hAnsi="Segoe UI" w:cs="Segoe UI"/>
          <w:i/>
          <w:szCs w:val="20"/>
        </w:rPr>
        <w:t>σ</w:t>
      </w:r>
      <w:r w:rsidRPr="000B23DD">
        <w:rPr>
          <w:rFonts w:ascii="Segoe UI" w:hAnsi="Segoe UI" w:cs="Segoe UI"/>
          <w:i/>
          <w:szCs w:val="20"/>
        </w:rPr>
        <w:t xml:space="preserve">ε συνδυασμό με τα </w:t>
      </w:r>
      <w:r w:rsidR="008A1450" w:rsidRPr="008A1450">
        <w:rPr>
          <w:rFonts w:ascii="Segoe UI" w:hAnsi="Segoe UI" w:cs="Segoe UI"/>
          <w:i/>
          <w:szCs w:val="20"/>
        </w:rPr>
        <w:t xml:space="preserve">κυβερνητικά </w:t>
      </w:r>
      <w:r w:rsidRPr="000B23DD">
        <w:rPr>
          <w:rFonts w:ascii="Segoe UI" w:hAnsi="Segoe UI" w:cs="Segoe UI"/>
          <w:i/>
          <w:szCs w:val="20"/>
        </w:rPr>
        <w:t xml:space="preserve">προγράμματα στήριξης, </w:t>
      </w:r>
      <w:r w:rsidR="00DC76BF">
        <w:rPr>
          <w:rFonts w:ascii="Segoe UI" w:hAnsi="Segoe UI" w:cs="Segoe UI"/>
          <w:i/>
          <w:szCs w:val="20"/>
        </w:rPr>
        <w:t>ενώ οι</w:t>
      </w:r>
      <w:r w:rsidRPr="000B23DD">
        <w:rPr>
          <w:rFonts w:ascii="Segoe UI" w:hAnsi="Segoe UI" w:cs="Segoe UI"/>
          <w:i/>
          <w:szCs w:val="20"/>
        </w:rPr>
        <w:t xml:space="preserve"> προγραμματισμένες εκταμιεύσεις για το Β’ εξάμηνο 2020 </w:t>
      </w:r>
      <w:r w:rsidR="004030D6">
        <w:rPr>
          <w:rFonts w:ascii="Segoe UI" w:hAnsi="Segoe UI" w:cs="Segoe UI"/>
          <w:i/>
          <w:szCs w:val="20"/>
        </w:rPr>
        <w:t xml:space="preserve">υπερβαίνουν τα </w:t>
      </w:r>
      <w:r w:rsidRPr="000B23DD">
        <w:rPr>
          <w:rFonts w:ascii="Segoe UI" w:hAnsi="Segoe UI" w:cs="Segoe UI"/>
          <w:i/>
          <w:szCs w:val="20"/>
        </w:rPr>
        <w:t>€2 δισ.</w:t>
      </w:r>
    </w:p>
    <w:p w:rsidR="000B23DD" w:rsidRPr="000B23DD" w:rsidRDefault="002E6807" w:rsidP="000B23DD">
      <w:pPr>
        <w:pStyle w:val="body"/>
        <w:rPr>
          <w:rFonts w:ascii="Segoe UI" w:hAnsi="Segoe UI" w:cs="Segoe UI"/>
          <w:i/>
          <w:szCs w:val="20"/>
        </w:rPr>
      </w:pPr>
      <w:r>
        <w:rPr>
          <w:rFonts w:ascii="Segoe UI" w:hAnsi="Segoe UI" w:cs="Segoe UI"/>
          <w:i/>
          <w:szCs w:val="20"/>
        </w:rPr>
        <w:t xml:space="preserve">Όσον αφορά στην ποιότητα του δανειακού μας χαρτοφυλακίου, </w:t>
      </w:r>
      <w:r w:rsidR="00413ACD">
        <w:rPr>
          <w:rFonts w:ascii="Segoe UI" w:hAnsi="Segoe UI" w:cs="Segoe UI"/>
          <w:i/>
          <w:szCs w:val="20"/>
        </w:rPr>
        <w:t xml:space="preserve">ακολουθήσαμε </w:t>
      </w:r>
      <w:r w:rsidR="000B23DD" w:rsidRPr="000B23DD">
        <w:rPr>
          <w:rFonts w:ascii="Segoe UI" w:hAnsi="Segoe UI" w:cs="Segoe UI"/>
          <w:i/>
          <w:szCs w:val="20"/>
        </w:rPr>
        <w:t>μί</w:t>
      </w:r>
      <w:r w:rsidR="00413ACD">
        <w:rPr>
          <w:rFonts w:ascii="Segoe UI" w:hAnsi="Segoe UI" w:cs="Segoe UI"/>
          <w:i/>
          <w:szCs w:val="20"/>
        </w:rPr>
        <w:t xml:space="preserve">α συντηρητική στάση και σχηματίσαμε </w:t>
      </w:r>
      <w:r w:rsidR="000B23DD" w:rsidRPr="000B23DD">
        <w:rPr>
          <w:rFonts w:ascii="Segoe UI" w:hAnsi="Segoe UI" w:cs="Segoe UI"/>
          <w:i/>
          <w:szCs w:val="20"/>
        </w:rPr>
        <w:t xml:space="preserve">ήδη κατά το Α’ τρίμηνο 2020 το σύνολο των προβλέψεων απομείωσης σχετιζόμενων με την πανδημία του κορωνοϊού </w:t>
      </w:r>
      <w:r w:rsidR="004B5D92">
        <w:rPr>
          <w:rFonts w:ascii="Segoe UI" w:hAnsi="Segoe UI" w:cs="Segoe UI"/>
          <w:i/>
          <w:szCs w:val="20"/>
        </w:rPr>
        <w:t>(</w:t>
      </w:r>
      <w:r w:rsidR="000B23DD" w:rsidRPr="000B23DD">
        <w:rPr>
          <w:rFonts w:ascii="Segoe UI" w:hAnsi="Segoe UI" w:cs="Segoe UI"/>
          <w:i/>
          <w:szCs w:val="20"/>
        </w:rPr>
        <w:t>€0,4 δισ.</w:t>
      </w:r>
      <w:r w:rsidR="004B5D92">
        <w:rPr>
          <w:rFonts w:ascii="Segoe UI" w:hAnsi="Segoe UI" w:cs="Segoe UI"/>
          <w:i/>
          <w:szCs w:val="20"/>
        </w:rPr>
        <w:t>)</w:t>
      </w:r>
      <w:r w:rsidR="00201EC4">
        <w:rPr>
          <w:rFonts w:ascii="Segoe UI" w:hAnsi="Segoe UI" w:cs="Segoe UI"/>
          <w:i/>
          <w:szCs w:val="20"/>
        </w:rPr>
        <w:t>. Αργότερα στη χρονιά, αναμένουμε να</w:t>
      </w:r>
      <w:r w:rsidR="00413ACD">
        <w:rPr>
          <w:rFonts w:ascii="Segoe UI" w:hAnsi="Segoe UI" w:cs="Segoe UI"/>
          <w:i/>
          <w:szCs w:val="20"/>
        </w:rPr>
        <w:t xml:space="preserve"> εκκινήσουμε τ</w:t>
      </w:r>
      <w:r w:rsidR="000B23DD" w:rsidRPr="000B23DD">
        <w:rPr>
          <w:rFonts w:ascii="Segoe UI" w:hAnsi="Segoe UI" w:cs="Segoe UI"/>
          <w:i/>
          <w:szCs w:val="20"/>
        </w:rPr>
        <w:t xml:space="preserve">η διαδικασία τιτλοποίησης Μη Εξυπηρετούμενων Ανοιγμάτων (Project Frontier). </w:t>
      </w:r>
      <w:r w:rsidR="00FF3A21">
        <w:rPr>
          <w:rFonts w:ascii="Segoe UI" w:hAnsi="Segoe UI" w:cs="Segoe UI"/>
          <w:i/>
          <w:szCs w:val="20"/>
        </w:rPr>
        <w:t xml:space="preserve">Υπερβαίνοντας τα </w:t>
      </w:r>
      <w:r w:rsidR="000B23DD" w:rsidRPr="000B23DD">
        <w:rPr>
          <w:rFonts w:ascii="Segoe UI" w:hAnsi="Segoe UI" w:cs="Segoe UI"/>
          <w:i/>
          <w:szCs w:val="20"/>
        </w:rPr>
        <w:t xml:space="preserve">€6 δισ., </w:t>
      </w:r>
      <w:r w:rsidR="00FF3A21">
        <w:rPr>
          <w:rFonts w:ascii="Segoe UI" w:hAnsi="Segoe UI" w:cs="Segoe UI"/>
          <w:i/>
          <w:szCs w:val="20"/>
        </w:rPr>
        <w:t xml:space="preserve">η εν λόγω τιτλοποίηση </w:t>
      </w:r>
      <w:r w:rsidR="00FF3A21" w:rsidRPr="000B23DD">
        <w:rPr>
          <w:rFonts w:ascii="Segoe UI" w:hAnsi="Segoe UI" w:cs="Segoe UI"/>
          <w:i/>
          <w:szCs w:val="20"/>
        </w:rPr>
        <w:t>θα συντελέσει αποφασιστικά στη</w:t>
      </w:r>
      <w:r w:rsidR="00FF3A21">
        <w:rPr>
          <w:rFonts w:ascii="Segoe UI" w:hAnsi="Segoe UI" w:cs="Segoe UI"/>
          <w:i/>
          <w:szCs w:val="20"/>
        </w:rPr>
        <w:t xml:space="preserve"> δραστική μείωση του</w:t>
      </w:r>
      <w:r w:rsidR="00F60769" w:rsidRPr="00F60769">
        <w:rPr>
          <w:rFonts w:ascii="Segoe UI" w:hAnsi="Segoe UI" w:cs="Segoe UI"/>
          <w:i/>
          <w:szCs w:val="20"/>
        </w:rPr>
        <w:t xml:space="preserve"> </w:t>
      </w:r>
      <w:r w:rsidR="002E1F4C">
        <w:rPr>
          <w:rFonts w:ascii="Segoe UI" w:hAnsi="Segoe UI" w:cs="Segoe UI"/>
          <w:i/>
          <w:szCs w:val="20"/>
        </w:rPr>
        <w:t>τρέχοντος</w:t>
      </w:r>
      <w:r w:rsidR="00FF3A21">
        <w:rPr>
          <w:rFonts w:ascii="Segoe UI" w:hAnsi="Segoe UI" w:cs="Segoe UI"/>
          <w:i/>
          <w:szCs w:val="20"/>
        </w:rPr>
        <w:t xml:space="preserve"> υπολοίπου</w:t>
      </w:r>
      <w:r w:rsidR="000B23DD" w:rsidRPr="000B23DD">
        <w:rPr>
          <w:rFonts w:ascii="Segoe UI" w:hAnsi="Segoe UI" w:cs="Segoe UI"/>
          <w:i/>
          <w:szCs w:val="20"/>
        </w:rPr>
        <w:t xml:space="preserve"> Μη Εξυπηρετούμενων Α</w:t>
      </w:r>
      <w:r w:rsidR="00FF3A21">
        <w:rPr>
          <w:rFonts w:ascii="Segoe UI" w:hAnsi="Segoe UI" w:cs="Segoe UI"/>
          <w:i/>
          <w:szCs w:val="20"/>
        </w:rPr>
        <w:t>νοιγμάτων της ΕΤΕ ύψους €10 δισ</w:t>
      </w:r>
      <w:r w:rsidR="000B23DD" w:rsidRPr="000B23DD">
        <w:rPr>
          <w:rFonts w:ascii="Segoe UI" w:hAnsi="Segoe UI" w:cs="Segoe UI"/>
          <w:i/>
          <w:szCs w:val="20"/>
        </w:rPr>
        <w:t xml:space="preserve">. </w:t>
      </w:r>
      <w:r w:rsidR="007455E9">
        <w:rPr>
          <w:rFonts w:ascii="Segoe UI" w:hAnsi="Segoe UI" w:cs="Segoe UI"/>
          <w:i/>
          <w:szCs w:val="20"/>
        </w:rPr>
        <w:t>κατά σχεδόν τα 2/3</w:t>
      </w:r>
      <w:r w:rsidR="007455E9" w:rsidRPr="007455E9">
        <w:rPr>
          <w:rFonts w:ascii="Segoe UI" w:hAnsi="Segoe UI" w:cs="Segoe UI"/>
          <w:i/>
          <w:szCs w:val="20"/>
          <w:vertAlign w:val="superscript"/>
        </w:rPr>
        <w:t>α</w:t>
      </w:r>
      <w:r w:rsidR="007455E9">
        <w:rPr>
          <w:rFonts w:ascii="Segoe UI" w:hAnsi="Segoe UI" w:cs="Segoe UI"/>
          <w:i/>
          <w:szCs w:val="20"/>
        </w:rPr>
        <w:t>.</w:t>
      </w:r>
      <w:r w:rsidR="00256105">
        <w:rPr>
          <w:rFonts w:ascii="Segoe UI" w:hAnsi="Segoe UI" w:cs="Segoe UI"/>
          <w:i/>
          <w:szCs w:val="20"/>
        </w:rPr>
        <w:t xml:space="preserve"> Κ</w:t>
      </w:r>
      <w:r w:rsidR="00B61897">
        <w:rPr>
          <w:rFonts w:ascii="Segoe UI" w:hAnsi="Segoe UI" w:cs="Segoe UI"/>
          <w:i/>
          <w:szCs w:val="20"/>
        </w:rPr>
        <w:t>εφαλαιοποιώντας</w:t>
      </w:r>
      <w:r w:rsidR="008A1450">
        <w:rPr>
          <w:rFonts w:ascii="Segoe UI" w:hAnsi="Segoe UI" w:cs="Segoe UI"/>
          <w:i/>
          <w:szCs w:val="20"/>
        </w:rPr>
        <w:t xml:space="preserve"> </w:t>
      </w:r>
      <w:r w:rsidR="000B23DD" w:rsidRPr="000B23DD">
        <w:rPr>
          <w:rFonts w:ascii="Segoe UI" w:hAnsi="Segoe UI" w:cs="Segoe UI"/>
          <w:i/>
          <w:szCs w:val="20"/>
        </w:rPr>
        <w:t xml:space="preserve">την </w:t>
      </w:r>
      <w:r w:rsidR="00B61897">
        <w:rPr>
          <w:rFonts w:ascii="Segoe UI" w:hAnsi="Segoe UI" w:cs="Segoe UI"/>
          <w:i/>
          <w:szCs w:val="20"/>
        </w:rPr>
        <w:t xml:space="preserve">ενισχυμένη οργανική μας κερδοφορία, θα </w:t>
      </w:r>
      <w:r w:rsidR="000B23DD" w:rsidRPr="000B23DD">
        <w:rPr>
          <w:rFonts w:ascii="Segoe UI" w:hAnsi="Segoe UI" w:cs="Segoe UI"/>
          <w:i/>
          <w:szCs w:val="20"/>
        </w:rPr>
        <w:t>απορροφήσουμε τις απαιτούμενες προβλέψεις</w:t>
      </w:r>
      <w:r w:rsidR="006B457F">
        <w:rPr>
          <w:rFonts w:ascii="Segoe UI" w:hAnsi="Segoe UI" w:cs="Segoe UI"/>
          <w:i/>
          <w:szCs w:val="20"/>
        </w:rPr>
        <w:t xml:space="preserve">, θέτοντας ως στόχο την ολοκλήρωση </w:t>
      </w:r>
      <w:r w:rsidR="000B23DD" w:rsidRPr="000B23DD">
        <w:rPr>
          <w:rFonts w:ascii="Segoe UI" w:hAnsi="Segoe UI" w:cs="Segoe UI"/>
          <w:i/>
          <w:szCs w:val="20"/>
        </w:rPr>
        <w:t>τη</w:t>
      </w:r>
      <w:r w:rsidR="006B457F">
        <w:rPr>
          <w:rFonts w:ascii="Segoe UI" w:hAnsi="Segoe UI" w:cs="Segoe UI"/>
          <w:i/>
          <w:szCs w:val="20"/>
        </w:rPr>
        <w:t>ς</w:t>
      </w:r>
      <w:r w:rsidR="000B23DD" w:rsidRPr="000B23DD">
        <w:rPr>
          <w:rFonts w:ascii="Segoe UI" w:hAnsi="Segoe UI" w:cs="Segoe UI"/>
          <w:i/>
          <w:szCs w:val="20"/>
        </w:rPr>
        <w:t xml:space="preserve"> συναλλαγή</w:t>
      </w:r>
      <w:r w:rsidR="006B457F">
        <w:rPr>
          <w:rFonts w:ascii="Segoe UI" w:hAnsi="Segoe UI" w:cs="Segoe UI"/>
          <w:i/>
          <w:szCs w:val="20"/>
        </w:rPr>
        <w:t xml:space="preserve">ς </w:t>
      </w:r>
      <w:r w:rsidR="00C02843">
        <w:rPr>
          <w:rFonts w:ascii="Segoe UI" w:hAnsi="Segoe UI" w:cs="Segoe UI"/>
          <w:i/>
          <w:szCs w:val="20"/>
        </w:rPr>
        <w:t>το</w:t>
      </w:r>
      <w:r w:rsidR="006B457F">
        <w:rPr>
          <w:rFonts w:ascii="Segoe UI" w:hAnsi="Segoe UI" w:cs="Segoe UI"/>
          <w:i/>
          <w:szCs w:val="20"/>
        </w:rPr>
        <w:t xml:space="preserve"> Α’ </w:t>
      </w:r>
      <w:r w:rsidR="00C02843">
        <w:rPr>
          <w:rFonts w:ascii="Segoe UI" w:hAnsi="Segoe UI" w:cs="Segoe UI"/>
          <w:i/>
          <w:szCs w:val="20"/>
        </w:rPr>
        <w:t>εξάμηνο</w:t>
      </w:r>
      <w:r w:rsidR="006B457F">
        <w:rPr>
          <w:rFonts w:ascii="Segoe UI" w:hAnsi="Segoe UI" w:cs="Segoe UI"/>
          <w:i/>
          <w:szCs w:val="20"/>
        </w:rPr>
        <w:t xml:space="preserve"> 2021</w:t>
      </w:r>
      <w:r w:rsidR="000B23DD" w:rsidRPr="000B23DD">
        <w:rPr>
          <w:rFonts w:ascii="Segoe UI" w:hAnsi="Segoe UI" w:cs="Segoe UI"/>
          <w:i/>
          <w:szCs w:val="20"/>
        </w:rPr>
        <w:t>.</w:t>
      </w:r>
    </w:p>
    <w:p w:rsidR="000B23DD" w:rsidRPr="000B23DD" w:rsidRDefault="00E07908" w:rsidP="000B23DD">
      <w:pPr>
        <w:pStyle w:val="body"/>
        <w:rPr>
          <w:rFonts w:ascii="Segoe UI" w:hAnsi="Segoe UI" w:cs="Segoe UI"/>
          <w:i/>
          <w:szCs w:val="20"/>
        </w:rPr>
      </w:pPr>
      <w:r>
        <w:rPr>
          <w:rFonts w:ascii="Segoe UI" w:hAnsi="Segoe UI" w:cs="Segoe UI"/>
          <w:i/>
          <w:szCs w:val="20"/>
        </w:rPr>
        <w:t xml:space="preserve">Τα </w:t>
      </w:r>
      <w:r w:rsidR="000B23DD" w:rsidRPr="000B23DD">
        <w:rPr>
          <w:rFonts w:ascii="Segoe UI" w:hAnsi="Segoe UI" w:cs="Segoe UI"/>
          <w:i/>
          <w:szCs w:val="20"/>
        </w:rPr>
        <w:t xml:space="preserve">οργανικά </w:t>
      </w:r>
      <w:r>
        <w:rPr>
          <w:rFonts w:ascii="Segoe UI" w:hAnsi="Segoe UI" w:cs="Segoe UI"/>
          <w:i/>
          <w:szCs w:val="20"/>
        </w:rPr>
        <w:t xml:space="preserve">αποτελέσματα </w:t>
      </w:r>
      <w:r w:rsidR="000B23DD" w:rsidRPr="000B23DD">
        <w:rPr>
          <w:rFonts w:ascii="Segoe UI" w:hAnsi="Segoe UI" w:cs="Segoe UI"/>
          <w:i/>
          <w:szCs w:val="20"/>
        </w:rPr>
        <w:t>του Ομίλου παρέμειναν ανθεκτικά σε αυτ</w:t>
      </w:r>
      <w:r w:rsidR="00AD0968">
        <w:rPr>
          <w:rFonts w:ascii="Segoe UI" w:hAnsi="Segoe UI" w:cs="Segoe UI"/>
          <w:i/>
          <w:szCs w:val="20"/>
        </w:rPr>
        <w:t>ό</w:t>
      </w:r>
      <w:r>
        <w:rPr>
          <w:rFonts w:ascii="Segoe UI" w:hAnsi="Segoe UI" w:cs="Segoe UI"/>
          <w:i/>
          <w:szCs w:val="20"/>
        </w:rPr>
        <w:t xml:space="preserve"> </w:t>
      </w:r>
      <w:r w:rsidR="00AD0968">
        <w:rPr>
          <w:rFonts w:ascii="Segoe UI" w:hAnsi="Segoe UI" w:cs="Segoe UI"/>
          <w:i/>
          <w:szCs w:val="20"/>
        </w:rPr>
        <w:t xml:space="preserve">το </w:t>
      </w:r>
      <w:r>
        <w:rPr>
          <w:rFonts w:ascii="Segoe UI" w:hAnsi="Segoe UI" w:cs="Segoe UI"/>
          <w:i/>
          <w:szCs w:val="20"/>
        </w:rPr>
        <w:t>ιδιαίτερα δύσκολ</w:t>
      </w:r>
      <w:r w:rsidR="00AD0968">
        <w:rPr>
          <w:rFonts w:ascii="Segoe UI" w:hAnsi="Segoe UI" w:cs="Segoe UI"/>
          <w:i/>
          <w:szCs w:val="20"/>
        </w:rPr>
        <w:t xml:space="preserve">ο </w:t>
      </w:r>
      <w:r w:rsidR="00652A3A">
        <w:rPr>
          <w:rFonts w:ascii="Segoe UI" w:hAnsi="Segoe UI" w:cs="Segoe UI"/>
          <w:i/>
          <w:szCs w:val="20"/>
        </w:rPr>
        <w:t>περιβάλλον</w:t>
      </w:r>
      <w:r>
        <w:rPr>
          <w:rFonts w:ascii="Segoe UI" w:hAnsi="Segoe UI" w:cs="Segoe UI"/>
          <w:i/>
          <w:szCs w:val="20"/>
        </w:rPr>
        <w:t xml:space="preserve">. Τα οργανικά κέρδη </w:t>
      </w:r>
      <w:r w:rsidR="000B23DD" w:rsidRPr="000B23DD">
        <w:rPr>
          <w:rFonts w:ascii="Segoe UI" w:hAnsi="Segoe UI" w:cs="Segoe UI"/>
          <w:i/>
          <w:szCs w:val="20"/>
        </w:rPr>
        <w:t>ενισχ</w:t>
      </w:r>
      <w:r>
        <w:rPr>
          <w:rFonts w:ascii="Segoe UI" w:hAnsi="Segoe UI" w:cs="Segoe UI"/>
          <w:i/>
          <w:szCs w:val="20"/>
        </w:rPr>
        <w:t xml:space="preserve">ύθηκαν </w:t>
      </w:r>
      <w:r w:rsidR="003B131A">
        <w:rPr>
          <w:rFonts w:ascii="Segoe UI" w:hAnsi="Segoe UI" w:cs="Segoe UI"/>
          <w:i/>
          <w:szCs w:val="20"/>
        </w:rPr>
        <w:t>κατά 21</w:t>
      </w:r>
      <w:r w:rsidR="000B23DD" w:rsidRPr="000B23DD">
        <w:rPr>
          <w:rFonts w:ascii="Segoe UI" w:hAnsi="Segoe UI" w:cs="Segoe UI"/>
          <w:i/>
          <w:szCs w:val="20"/>
        </w:rPr>
        <w:t>% σε ετήσια βάση σε €1</w:t>
      </w:r>
      <w:r w:rsidR="0033371A">
        <w:rPr>
          <w:rFonts w:ascii="Segoe UI" w:hAnsi="Segoe UI" w:cs="Segoe UI"/>
          <w:i/>
          <w:szCs w:val="20"/>
        </w:rPr>
        <w:t>3</w:t>
      </w:r>
      <w:r w:rsidR="000B23DD" w:rsidRPr="000B23DD">
        <w:rPr>
          <w:rFonts w:ascii="Segoe UI" w:hAnsi="Segoe UI" w:cs="Segoe UI"/>
          <w:i/>
          <w:szCs w:val="20"/>
        </w:rPr>
        <w:t xml:space="preserve">2 εκατ. το Α’ εξάμηνο 2020. Αυτή η επίδοση αντικατοπτρίζει τη σημαντική περιστολή των </w:t>
      </w:r>
      <w:r w:rsidR="00A924B9">
        <w:rPr>
          <w:rFonts w:ascii="Segoe UI" w:hAnsi="Segoe UI" w:cs="Segoe UI"/>
          <w:i/>
          <w:szCs w:val="20"/>
        </w:rPr>
        <w:t xml:space="preserve">εγχώριων </w:t>
      </w:r>
      <w:r w:rsidR="000B23DD" w:rsidRPr="000B23DD">
        <w:rPr>
          <w:rFonts w:ascii="Segoe UI" w:hAnsi="Segoe UI" w:cs="Segoe UI"/>
          <w:i/>
          <w:szCs w:val="20"/>
        </w:rPr>
        <w:t xml:space="preserve">δαπανών προσωπικού και των γενικών διοικητικών και λοιπών λειτουργικών εξόδων κατά 9% και 6%, αντίστοιχα, σε ετήσια βάση, καθώς και την ομαλοποίηση </w:t>
      </w:r>
      <w:r>
        <w:rPr>
          <w:rFonts w:ascii="Segoe UI" w:hAnsi="Segoe UI" w:cs="Segoe UI"/>
          <w:i/>
          <w:szCs w:val="20"/>
        </w:rPr>
        <w:t>του κόστους πιστωτικού κινδύνου</w:t>
      </w:r>
      <w:r w:rsidR="00A924B9">
        <w:rPr>
          <w:rFonts w:ascii="Segoe UI" w:hAnsi="Segoe UI" w:cs="Segoe UI"/>
          <w:i/>
          <w:szCs w:val="20"/>
        </w:rPr>
        <w:t>, εξαιρουμένων των προβλέψεων για τον κορωνοϊό</w:t>
      </w:r>
      <w:r w:rsidR="00A96187">
        <w:rPr>
          <w:rFonts w:ascii="Segoe UI" w:hAnsi="Segoe UI" w:cs="Segoe UI"/>
          <w:i/>
          <w:szCs w:val="20"/>
        </w:rPr>
        <w:t xml:space="preserve">, αντανακλώντας την </w:t>
      </w:r>
      <w:r w:rsidR="007301D0">
        <w:rPr>
          <w:rFonts w:ascii="Segoe UI" w:hAnsi="Segoe UI" w:cs="Segoe UI"/>
          <w:i/>
          <w:szCs w:val="20"/>
        </w:rPr>
        <w:t>καλύτερη εκ του αναμενόμενου</w:t>
      </w:r>
      <w:r w:rsidR="006F5D84">
        <w:rPr>
          <w:rFonts w:ascii="Segoe UI" w:hAnsi="Segoe UI" w:cs="Segoe UI"/>
          <w:i/>
          <w:szCs w:val="20"/>
        </w:rPr>
        <w:t xml:space="preserve"> οργανική</w:t>
      </w:r>
      <w:r w:rsidR="00A96187">
        <w:rPr>
          <w:rFonts w:ascii="Segoe UI" w:hAnsi="Segoe UI" w:cs="Segoe UI"/>
          <w:i/>
          <w:szCs w:val="20"/>
        </w:rPr>
        <w:t xml:space="preserve"> επίδοση </w:t>
      </w:r>
      <w:r w:rsidR="006F5D84">
        <w:rPr>
          <w:rFonts w:ascii="Segoe UI" w:hAnsi="Segoe UI" w:cs="Segoe UI"/>
          <w:i/>
          <w:szCs w:val="20"/>
        </w:rPr>
        <w:t>των Μη Εξυπηρετούμενων Ανοιγμάτων</w:t>
      </w:r>
      <w:r w:rsidR="000B23DD" w:rsidRPr="000B23DD">
        <w:rPr>
          <w:rFonts w:ascii="Segoe UI" w:hAnsi="Segoe UI" w:cs="Segoe UI"/>
          <w:i/>
          <w:szCs w:val="20"/>
        </w:rPr>
        <w:t xml:space="preserve">. </w:t>
      </w:r>
    </w:p>
    <w:p w:rsidR="00CB517D" w:rsidRDefault="000B23DD" w:rsidP="000B23DD">
      <w:pPr>
        <w:pStyle w:val="body"/>
        <w:rPr>
          <w:rFonts w:ascii="Segoe UI" w:hAnsi="Segoe UI" w:cs="Segoe UI"/>
          <w:i/>
          <w:szCs w:val="20"/>
        </w:rPr>
      </w:pPr>
      <w:r w:rsidRPr="000B23DD">
        <w:rPr>
          <w:rFonts w:ascii="Segoe UI" w:hAnsi="Segoe UI" w:cs="Segoe UI"/>
          <w:i/>
          <w:szCs w:val="20"/>
        </w:rPr>
        <w:t>Σε αυτήν την κρίσιμη περίοδο και καθώς η οικονομία ανακάμπτει, θα συνεχίσ</w:t>
      </w:r>
      <w:r w:rsidR="00F45718">
        <w:rPr>
          <w:rFonts w:ascii="Segoe UI" w:hAnsi="Segoe UI" w:cs="Segoe UI"/>
          <w:i/>
          <w:szCs w:val="20"/>
        </w:rPr>
        <w:t xml:space="preserve">ουμε </w:t>
      </w:r>
      <w:r w:rsidRPr="000B23DD">
        <w:rPr>
          <w:rFonts w:ascii="Segoe UI" w:hAnsi="Segoe UI" w:cs="Segoe UI"/>
          <w:i/>
          <w:szCs w:val="20"/>
        </w:rPr>
        <w:t>να αξιοποι</w:t>
      </w:r>
      <w:r w:rsidR="00F45718">
        <w:rPr>
          <w:rFonts w:ascii="Segoe UI" w:hAnsi="Segoe UI" w:cs="Segoe UI"/>
          <w:i/>
          <w:szCs w:val="20"/>
        </w:rPr>
        <w:t>ούμε</w:t>
      </w:r>
      <w:r w:rsidRPr="000B23DD">
        <w:rPr>
          <w:rFonts w:ascii="Segoe UI" w:hAnsi="Segoe UI" w:cs="Segoe UI"/>
          <w:i/>
          <w:szCs w:val="20"/>
        </w:rPr>
        <w:t xml:space="preserve"> τα επιτεύγματα του επιτυχημένου Προγράμματος Μετασχηματισμού </w:t>
      </w:r>
      <w:r w:rsidR="002A7518">
        <w:rPr>
          <w:rFonts w:ascii="Segoe UI" w:hAnsi="Segoe UI" w:cs="Segoe UI"/>
          <w:i/>
          <w:szCs w:val="20"/>
        </w:rPr>
        <w:t>μας</w:t>
      </w:r>
      <w:r w:rsidR="00F839C1">
        <w:rPr>
          <w:rFonts w:ascii="Segoe UI" w:hAnsi="Segoe UI" w:cs="Segoe UI"/>
          <w:i/>
          <w:szCs w:val="20"/>
        </w:rPr>
        <w:t>. Κεφαλαιοποιώντας τη δυναμική</w:t>
      </w:r>
      <w:r w:rsidR="00C02F1B">
        <w:rPr>
          <w:rFonts w:ascii="Segoe UI" w:hAnsi="Segoe UI" w:cs="Segoe UI"/>
          <w:i/>
          <w:szCs w:val="20"/>
        </w:rPr>
        <w:t xml:space="preserve"> αυτή,</w:t>
      </w:r>
      <w:r w:rsidRPr="000B23DD">
        <w:rPr>
          <w:rFonts w:ascii="Segoe UI" w:hAnsi="Segoe UI" w:cs="Segoe UI"/>
          <w:i/>
          <w:szCs w:val="20"/>
        </w:rPr>
        <w:t xml:space="preserve"> </w:t>
      </w:r>
      <w:r w:rsidR="00F839C1">
        <w:rPr>
          <w:rFonts w:ascii="Segoe UI" w:hAnsi="Segoe UI" w:cs="Segoe UI"/>
          <w:i/>
          <w:szCs w:val="20"/>
        </w:rPr>
        <w:t>θα επιταχύνουμε τόσο τη μετάβασ</w:t>
      </w:r>
      <w:r w:rsidR="00EE4A77">
        <w:rPr>
          <w:rFonts w:ascii="Segoe UI" w:hAnsi="Segoe UI" w:cs="Segoe UI"/>
          <w:i/>
          <w:szCs w:val="20"/>
        </w:rPr>
        <w:t xml:space="preserve">ή μας </w:t>
      </w:r>
      <w:r w:rsidR="00F839C1">
        <w:rPr>
          <w:rFonts w:ascii="Segoe UI" w:hAnsi="Segoe UI" w:cs="Segoe UI"/>
          <w:i/>
          <w:szCs w:val="20"/>
        </w:rPr>
        <w:t xml:space="preserve">στα </w:t>
      </w:r>
      <w:r w:rsidR="00F839C1" w:rsidRPr="00F839C1">
        <w:rPr>
          <w:rFonts w:ascii="Segoe UI" w:hAnsi="Segoe UI" w:cs="Segoe UI"/>
          <w:i/>
          <w:szCs w:val="20"/>
        </w:rPr>
        <w:t>ψηφιακ</w:t>
      </w:r>
      <w:r w:rsidR="00F839C1">
        <w:rPr>
          <w:rFonts w:ascii="Segoe UI" w:hAnsi="Segoe UI" w:cs="Segoe UI"/>
          <w:i/>
          <w:szCs w:val="20"/>
        </w:rPr>
        <w:t xml:space="preserve">ά κανάλια, όσο και την υιοθέτηση </w:t>
      </w:r>
      <w:r w:rsidR="00F839C1" w:rsidRPr="000B23DD">
        <w:rPr>
          <w:rFonts w:ascii="Segoe UI" w:hAnsi="Segoe UI" w:cs="Segoe UI"/>
          <w:i/>
          <w:szCs w:val="20"/>
        </w:rPr>
        <w:t>ενός πιο ευέλικτου λειτουργικού μοντέλου</w:t>
      </w:r>
      <w:r w:rsidR="00F839C1">
        <w:rPr>
          <w:rFonts w:ascii="Segoe UI" w:hAnsi="Segoe UI" w:cs="Segoe UI"/>
          <w:i/>
          <w:szCs w:val="20"/>
        </w:rPr>
        <w:t>, με στόχο τη</w:t>
      </w:r>
      <w:r w:rsidRPr="000B23DD">
        <w:rPr>
          <w:rFonts w:ascii="Segoe UI" w:hAnsi="Segoe UI" w:cs="Segoe UI"/>
          <w:i/>
          <w:szCs w:val="20"/>
        </w:rPr>
        <w:t xml:space="preserve"> βελτίωση της αποδοτικότητας της Τράπεζας. Είμαι υπερήφανος για τα επιτεύγματά μας κατά τη διάρκεια αυτού του ταραχώδους πρώτου εξαμήνου του έτους</w:t>
      </w:r>
      <w:r w:rsidR="00E532C0">
        <w:rPr>
          <w:rFonts w:ascii="Segoe UI" w:hAnsi="Segoe UI" w:cs="Segoe UI"/>
          <w:i/>
          <w:szCs w:val="20"/>
        </w:rPr>
        <w:t>:</w:t>
      </w:r>
      <w:r w:rsidR="00EE4A77">
        <w:rPr>
          <w:rFonts w:ascii="Segoe UI" w:hAnsi="Segoe UI" w:cs="Segoe UI"/>
          <w:i/>
          <w:szCs w:val="20"/>
        </w:rPr>
        <w:t xml:space="preserve"> την προάσπιση της ασφάλειας </w:t>
      </w:r>
      <w:r w:rsidR="00F45718">
        <w:rPr>
          <w:rFonts w:ascii="Segoe UI" w:hAnsi="Segoe UI" w:cs="Segoe UI"/>
          <w:i/>
          <w:szCs w:val="20"/>
        </w:rPr>
        <w:t>του προσωπικού</w:t>
      </w:r>
      <w:r w:rsidR="00EE4A77" w:rsidRPr="00EE4A77">
        <w:rPr>
          <w:rFonts w:ascii="Segoe UI" w:hAnsi="Segoe UI" w:cs="Segoe UI"/>
          <w:i/>
          <w:szCs w:val="20"/>
        </w:rPr>
        <w:t xml:space="preserve"> </w:t>
      </w:r>
      <w:r w:rsidR="00EE4A77">
        <w:rPr>
          <w:rFonts w:ascii="Segoe UI" w:hAnsi="Segoe UI" w:cs="Segoe UI"/>
          <w:i/>
          <w:szCs w:val="20"/>
        </w:rPr>
        <w:t>μας</w:t>
      </w:r>
      <w:r w:rsidR="00E532C0">
        <w:rPr>
          <w:rFonts w:ascii="Segoe UI" w:hAnsi="Segoe UI" w:cs="Segoe UI"/>
          <w:i/>
          <w:szCs w:val="20"/>
        </w:rPr>
        <w:t xml:space="preserve"> και</w:t>
      </w:r>
      <w:r w:rsidR="00EE4A77">
        <w:rPr>
          <w:rFonts w:ascii="Segoe UI" w:hAnsi="Segoe UI" w:cs="Segoe UI"/>
          <w:i/>
          <w:szCs w:val="20"/>
        </w:rPr>
        <w:t xml:space="preserve"> τη στήριξη των πελατών </w:t>
      </w:r>
      <w:r w:rsidR="00705DE0">
        <w:rPr>
          <w:rFonts w:ascii="Segoe UI" w:hAnsi="Segoe UI" w:cs="Segoe UI"/>
          <w:i/>
          <w:szCs w:val="20"/>
        </w:rPr>
        <w:t xml:space="preserve">μας και της </w:t>
      </w:r>
      <w:r w:rsidR="00705DE0" w:rsidRPr="000B23DD">
        <w:rPr>
          <w:rFonts w:ascii="Segoe UI" w:hAnsi="Segoe UI" w:cs="Segoe UI"/>
          <w:i/>
          <w:szCs w:val="20"/>
        </w:rPr>
        <w:t>ελληνική</w:t>
      </w:r>
      <w:r w:rsidR="00705DE0">
        <w:rPr>
          <w:rFonts w:ascii="Segoe UI" w:hAnsi="Segoe UI" w:cs="Segoe UI"/>
          <w:i/>
          <w:szCs w:val="20"/>
        </w:rPr>
        <w:t>ς</w:t>
      </w:r>
      <w:r w:rsidR="00705DE0" w:rsidRPr="000B23DD">
        <w:rPr>
          <w:rFonts w:ascii="Segoe UI" w:hAnsi="Segoe UI" w:cs="Segoe UI"/>
          <w:i/>
          <w:szCs w:val="20"/>
        </w:rPr>
        <w:t xml:space="preserve"> </w:t>
      </w:r>
      <w:r w:rsidR="00705DE0">
        <w:rPr>
          <w:rFonts w:ascii="Segoe UI" w:hAnsi="Segoe UI" w:cs="Segoe UI"/>
          <w:i/>
          <w:szCs w:val="20"/>
        </w:rPr>
        <w:t>οικονομίας</w:t>
      </w:r>
      <w:r w:rsidR="00EE4A77">
        <w:rPr>
          <w:rFonts w:ascii="Segoe UI" w:hAnsi="Segoe UI" w:cs="Segoe UI"/>
          <w:i/>
          <w:szCs w:val="20"/>
        </w:rPr>
        <w:t>, εκπληρώνοντας με αυτό τον τρόπο τον ιστορικό μας ρόλο</w:t>
      </w:r>
      <w:r w:rsidRPr="000B23DD">
        <w:rPr>
          <w:rFonts w:ascii="Segoe UI" w:hAnsi="Segoe UI" w:cs="Segoe UI"/>
          <w:i/>
          <w:szCs w:val="20"/>
        </w:rPr>
        <w:t>.</w:t>
      </w:r>
      <w:r w:rsidR="000A0DA1" w:rsidRPr="000B23DD">
        <w:rPr>
          <w:rFonts w:ascii="Segoe UI" w:hAnsi="Segoe UI" w:cs="Segoe UI"/>
          <w:i/>
          <w:szCs w:val="20"/>
        </w:rPr>
        <w:t>»</w:t>
      </w:r>
    </w:p>
    <w:p w:rsidR="00E55AED" w:rsidRPr="00F05D7E" w:rsidRDefault="00E55AED" w:rsidP="00E55AED">
      <w:pPr>
        <w:jc w:val="right"/>
        <w:rPr>
          <w:rFonts w:ascii="Segoe UI" w:hAnsi="Segoe UI" w:cs="Segoe UI"/>
          <w:i/>
          <w:highlight w:val="yellow"/>
          <w:lang w:eastAsia="en-GB"/>
        </w:rPr>
      </w:pPr>
    </w:p>
    <w:p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 xml:space="preserve">Αθήνα, </w:t>
      </w:r>
      <w:r w:rsidR="003A4FD2" w:rsidRPr="009F27D9">
        <w:rPr>
          <w:rFonts w:ascii="Segoe UI" w:hAnsi="Segoe UI" w:cs="Segoe UI"/>
          <w:i/>
          <w:sz w:val="18"/>
          <w:lang w:eastAsia="en-GB"/>
        </w:rPr>
        <w:t xml:space="preserve">6 </w:t>
      </w:r>
      <w:r w:rsidR="003A4FD2">
        <w:rPr>
          <w:rFonts w:ascii="Segoe UI" w:hAnsi="Segoe UI" w:cs="Segoe UI"/>
          <w:i/>
          <w:sz w:val="18"/>
          <w:lang w:eastAsia="en-GB"/>
        </w:rPr>
        <w:t>Αυγούστου</w:t>
      </w:r>
      <w:r w:rsidR="00BF7AAE">
        <w:rPr>
          <w:rFonts w:ascii="Segoe UI" w:hAnsi="Segoe UI" w:cs="Segoe UI"/>
          <w:i/>
          <w:sz w:val="18"/>
          <w:lang w:eastAsia="en-GB"/>
        </w:rPr>
        <w:t xml:space="preserve"> </w:t>
      </w:r>
      <w:r w:rsidRPr="00C648A5">
        <w:rPr>
          <w:rFonts w:ascii="Segoe UI" w:hAnsi="Segoe UI" w:cs="Segoe UI"/>
          <w:i/>
          <w:sz w:val="18"/>
          <w:lang w:eastAsia="en-GB"/>
        </w:rPr>
        <w:t>2020</w:t>
      </w:r>
    </w:p>
    <w:p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Παύλος Μυλωνάς</w:t>
      </w:r>
    </w:p>
    <w:p w:rsidR="00E55AED"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Διευθύνων Σύμβουλος ΕΤΕ</w:t>
      </w:r>
    </w:p>
    <w:p w:rsidR="00A72C4D" w:rsidRPr="00E95FD5" w:rsidRDefault="00A72C4D" w:rsidP="00B269C6">
      <w:pPr>
        <w:jc w:val="right"/>
        <w:rPr>
          <w:rFonts w:ascii="Segoe UI" w:hAnsi="Segoe UI" w:cs="Segoe UI"/>
          <w:i/>
          <w:sz w:val="20"/>
          <w:lang w:eastAsia="en-GB"/>
        </w:rPr>
      </w:pPr>
    </w:p>
    <w:p w:rsidR="00E55AED" w:rsidRPr="00E95FD5" w:rsidRDefault="00E55AED" w:rsidP="00E55AED">
      <w:pPr>
        <w:rPr>
          <w:rFonts w:ascii="Segoe UI" w:hAnsi="Segoe UI" w:cs="Segoe UI"/>
          <w:b/>
          <w:sz w:val="16"/>
        </w:rPr>
      </w:pPr>
      <w:r w:rsidRPr="00E95FD5">
        <w:rPr>
          <w:rFonts w:ascii="Segoe UI" w:hAnsi="Segoe UI" w:cs="Segoe UI"/>
          <w:b/>
          <w:sz w:val="16"/>
        </w:rPr>
        <w:br w:type="page"/>
      </w:r>
    </w:p>
    <w:p w:rsidR="00931D2C" w:rsidRPr="00EE40A0" w:rsidRDefault="00C00739" w:rsidP="00931D2C">
      <w:pPr>
        <w:pStyle w:val="TITLEINBODY"/>
        <w:rPr>
          <w:rFonts w:ascii="Segoe UI" w:hAnsi="Segoe UI" w:cs="Segoe UI"/>
        </w:rPr>
      </w:pPr>
      <w:r w:rsidRPr="00C00739">
        <w:rPr>
          <w:rFonts w:ascii="Segoe UI" w:hAnsi="Segoe UI" w:cs="Segoe UI"/>
          <w:noProof/>
          <w:lang w:val="el-GR" w:eastAsia="el-GR"/>
        </w:rPr>
        <w:lastRenderedPageBreak/>
        <w:pict>
          <v:rect id="Text Placeholder 1" o:spid="_x0000_s1031" style="position:absolute;margin-left:-3.8pt;margin-top:25.75pt;width:234.8pt;height:24.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" filled="f" stroked="f">
            <v:path arrowok="t"/>
            <o:lock v:ext="edit" grouping="t"/>
            <v:textbox inset="1.2699mm,1.2699mm,1.2699mm,1.2699mm">
              <w:txbxContent>
                <w:p w:rsidR="003B131A" w:rsidRPr="00053193" w:rsidRDefault="003B131A" w:rsidP="00E55AED">
                  <w:pPr>
                    <w:kinsoku w:val="0"/>
                    <w:overflowPunct w:val="0"/>
                    <w:spacing w:before="40"/>
                    <w:ind w:left="547" w:hanging="547"/>
                    <w:textAlignment w:val="baseline"/>
                    <w:rPr>
                      <w:b/>
                      <w:color w:val="008080"/>
                      <w:sz w:val="16"/>
                    </w:rPr>
                  </w:pPr>
                  <w:r>
                    <w:rPr>
                      <w:rFonts w:ascii="Segoe UI" w:eastAsia="Segoe UI" w:hAnsi="Segoe UI" w:cs="Segoe UI"/>
                      <w:b/>
                      <w:color w:val="008080"/>
                      <w:kern w:val="24"/>
                      <w:sz w:val="20"/>
                    </w:rPr>
                    <w:t>Κατάσταση</w:t>
                  </w:r>
                  <w:r w:rsidRPr="004810B7">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Αποτελεσμάτων</w:t>
                  </w:r>
                  <w:r w:rsidRPr="004810B7">
                    <w:rPr>
                      <w:rFonts w:ascii="Segoe UI" w:eastAsia="Segoe UI" w:hAnsi="Segoe UI" w:cs="Segoe UI"/>
                      <w:b/>
                      <w:color w:val="008080"/>
                      <w:kern w:val="24"/>
                      <w:sz w:val="20"/>
                      <w:lang w:val="en-US"/>
                    </w:rPr>
                    <w:t xml:space="preserve"> | </w:t>
                  </w:r>
                  <w:r>
                    <w:rPr>
                      <w:rFonts w:ascii="Segoe UI" w:eastAsia="Segoe UI" w:hAnsi="Segoe UI" w:cs="Segoe UI"/>
                      <w:b/>
                      <w:color w:val="008080"/>
                      <w:kern w:val="24"/>
                      <w:sz w:val="20"/>
                    </w:rPr>
                    <w:t>Όμιλος</w:t>
                  </w:r>
                </w:p>
              </w:txbxContent>
            </v:textbox>
          </v:rect>
        </w:pict>
      </w:r>
      <w:r w:rsidR="00FC133B">
        <w:rPr>
          <w:rFonts w:ascii="Segoe UI" w:hAnsi="Segoe UI" w:cs="Segoe UI"/>
          <w:noProof/>
          <w:lang w:val="el-GR" w:eastAsia="el-GR"/>
        </w:rPr>
        <w:t xml:space="preserve">Κύρια Χρηματοοικονομικά Μεγέθη </w:t>
      </w:r>
    </w:p>
    <w:p w:rsidR="00E55AED" w:rsidRPr="00EE40A0" w:rsidRDefault="00C00739" w:rsidP="00E55AED">
      <w:pPr>
        <w:spacing w:after="160"/>
        <w:jc w:val="both"/>
        <w:rPr>
          <w:rFonts w:ascii="Segoe UI" w:hAnsi="Segoe UI" w:cs="Segoe UI"/>
          <w:b/>
          <w:sz w:val="20"/>
          <w:szCs w:val="20"/>
        </w:rPr>
      </w:pPr>
      <w:r w:rsidRPr="00C00739">
        <w:rPr>
          <w:rFonts w:ascii="Segoe UI" w:hAnsi="Segoe UI" w:cs="Segoe UI"/>
          <w:noProof/>
          <w:sz w:val="14"/>
          <w:szCs w:val="14"/>
          <w:lang w:eastAsia="el-GR"/>
        </w:rPr>
        <w:pict>
          <v:roundrect id="Rounded Rectangle 18" o:spid="_x0000_s1062" style="position:absolute;left:0;text-align:left;margin-left:215.3pt;margin-top:20.55pt;width:48.2pt;height:249.4pt;z-index:251652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" filled="f" strokecolor="#ff7415">
            <v:path arrowok="t"/>
          </v:roundrect>
        </w:pict>
      </w:r>
    </w:p>
    <w:tbl>
      <w:tblPr>
        <w:tblW w:w="4983" w:type="pct"/>
        <w:tblLayout w:type="fixed"/>
        <w:tblCellMar>
          <w:left w:w="0" w:type="dxa"/>
          <w:right w:w="0" w:type="dxa"/>
        </w:tblCellMar>
        <w:tblLook w:val="0420"/>
      </w:tblPr>
      <w:tblGrid>
        <w:gridCol w:w="4365"/>
        <w:gridCol w:w="987"/>
        <w:gridCol w:w="988"/>
        <w:gridCol w:w="988"/>
        <w:gridCol w:w="988"/>
        <w:gridCol w:w="988"/>
        <w:gridCol w:w="983"/>
      </w:tblGrid>
      <w:tr w:rsidR="000C14F0" w:rsidRPr="00E95FD5" w:rsidTr="00AD2945">
        <w:trPr>
          <w:trHeight w:val="170"/>
        </w:trPr>
        <w:tc>
          <w:tcPr>
            <w:tcW w:w="2122"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tcPr>
          <w:p w:rsidR="000C14F0" w:rsidRPr="0098297F" w:rsidRDefault="000C14F0" w:rsidP="00B5579A">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480" w:type="pct"/>
            <w:tcBorders>
              <w:top w:val="single" w:sz="8" w:space="0" w:color="000000"/>
              <w:left w:val="nil"/>
              <w:bottom w:val="single" w:sz="8" w:space="0" w:color="000000"/>
              <w:right w:val="nil"/>
            </w:tcBorders>
            <w:vAlign w:val="center"/>
          </w:tcPr>
          <w:p w:rsidR="000C14F0" w:rsidRPr="00E95FD5" w:rsidRDefault="000C14F0" w:rsidP="00C02F1B">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0" w:type="pct"/>
            <w:tcBorders>
              <w:top w:val="single" w:sz="8" w:space="0" w:color="000000"/>
              <w:left w:val="nil"/>
              <w:bottom w:val="single" w:sz="8" w:space="0" w:color="000000"/>
              <w:right w:val="nil"/>
            </w:tcBorders>
            <w:vAlign w:val="center"/>
          </w:tcPr>
          <w:p w:rsidR="000C14F0" w:rsidRPr="00E95FD5" w:rsidRDefault="000C14F0" w:rsidP="00C02F1B">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0" w:type="pct"/>
            <w:tcBorders>
              <w:top w:val="single" w:sz="8" w:space="0" w:color="000000"/>
              <w:left w:val="nil"/>
              <w:bottom w:val="single" w:sz="8" w:space="0" w:color="000000"/>
              <w:right w:val="nil"/>
            </w:tcBorders>
            <w:vAlign w:val="center"/>
          </w:tcPr>
          <w:p w:rsidR="000C14F0" w:rsidRPr="00E95FD5" w:rsidRDefault="000C14F0" w:rsidP="00B5579A">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c>
          <w:tcPr>
            <w:tcW w:w="480" w:type="pct"/>
            <w:tcBorders>
              <w:top w:val="single" w:sz="8" w:space="0" w:color="000000"/>
              <w:left w:val="nil"/>
              <w:bottom w:val="single" w:sz="8" w:space="0" w:color="000000"/>
              <w:right w:val="nil"/>
            </w:tcBorders>
            <w:vAlign w:val="center"/>
          </w:tcPr>
          <w:p w:rsidR="000C14F0" w:rsidRPr="00E95FD5" w:rsidRDefault="000C14F0" w:rsidP="00C02F1B">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77020D">
              <w:rPr>
                <w:rFonts w:ascii="Segoe UI" w:eastAsia="Times New Roman" w:hAnsi="Segoe UI" w:cs="Segoe UI"/>
                <w:b/>
                <w:bCs/>
                <w:color w:val="000000" w:themeColor="text1"/>
                <w:kern w:val="24"/>
                <w:sz w:val="14"/>
                <w:szCs w:val="14"/>
                <w:lang w:eastAsia="el-GR"/>
              </w:rPr>
              <w:t xml:space="preserve">‘ </w:t>
            </w:r>
            <w:r>
              <w:rPr>
                <w:rFonts w:ascii="Segoe UI" w:eastAsia="Times New Roman" w:hAnsi="Segoe UI" w:cs="Segoe UI"/>
                <w:b/>
                <w:bCs/>
                <w:color w:val="000000" w:themeColor="text1"/>
                <w:kern w:val="24"/>
                <w:sz w:val="14"/>
                <w:szCs w:val="14"/>
                <w:lang w:eastAsia="el-GR"/>
              </w:rPr>
              <w:t>εξάμηνο</w:t>
            </w:r>
            <w:r w:rsidRPr="0077020D">
              <w:rPr>
                <w:rFonts w:ascii="Segoe UI" w:eastAsia="Times New Roman" w:hAnsi="Segoe UI" w:cs="Segoe UI"/>
                <w:b/>
                <w:bCs/>
                <w:color w:val="000000" w:themeColor="text1"/>
                <w:kern w:val="24"/>
                <w:sz w:val="14"/>
                <w:szCs w:val="14"/>
                <w:lang w:eastAsia="el-GR"/>
              </w:rPr>
              <w:t xml:space="preserve"> 20</w:t>
            </w:r>
            <w:r>
              <w:rPr>
                <w:rFonts w:ascii="Segoe UI" w:eastAsia="Times New Roman" w:hAnsi="Segoe UI" w:cs="Segoe UI"/>
                <w:b/>
                <w:bCs/>
                <w:color w:val="000000" w:themeColor="text1"/>
                <w:kern w:val="24"/>
                <w:sz w:val="14"/>
                <w:szCs w:val="14"/>
                <w:lang w:eastAsia="el-GR"/>
              </w:rPr>
              <w:t>20</w:t>
            </w:r>
          </w:p>
        </w:tc>
        <w:tc>
          <w:tcPr>
            <w:tcW w:w="480" w:type="pct"/>
            <w:tcBorders>
              <w:top w:val="single" w:sz="8" w:space="0" w:color="000000"/>
              <w:left w:val="nil"/>
              <w:bottom w:val="single" w:sz="8" w:space="0" w:color="000000"/>
              <w:right w:val="nil"/>
            </w:tcBorders>
            <w:vAlign w:val="center"/>
          </w:tcPr>
          <w:p w:rsidR="000C14F0" w:rsidRPr="00E95FD5" w:rsidRDefault="000C14F0" w:rsidP="00C02F1B">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E95FD5">
              <w:rPr>
                <w:rFonts w:ascii="Segoe UI" w:eastAsia="Times New Roman" w:hAnsi="Segoe UI" w:cs="Segoe UI"/>
                <w:b/>
                <w:bCs/>
                <w:color w:val="000000" w:themeColor="text1"/>
                <w:kern w:val="24"/>
                <w:sz w:val="14"/>
                <w:szCs w:val="14"/>
                <w:lang w:eastAsia="el-GR"/>
              </w:rPr>
              <w:t>‘</w:t>
            </w:r>
            <w:r>
              <w:rPr>
                <w:rFonts w:ascii="Segoe UI" w:eastAsia="Times New Roman" w:hAnsi="Segoe UI" w:cs="Segoe UI"/>
                <w:b/>
                <w:bCs/>
                <w:color w:val="000000" w:themeColor="text1"/>
                <w:kern w:val="24"/>
                <w:sz w:val="14"/>
                <w:szCs w:val="14"/>
                <w:lang w:eastAsia="el-GR"/>
              </w:rPr>
              <w:t xml:space="preserve"> εξάμηνο</w:t>
            </w:r>
            <w:r w:rsidRPr="0077020D">
              <w:rPr>
                <w:rFonts w:ascii="Segoe UI" w:eastAsia="Times New Roman" w:hAnsi="Segoe UI" w:cs="Segoe UI"/>
                <w:b/>
                <w:bCs/>
                <w:color w:val="000000" w:themeColor="text1"/>
                <w:kern w:val="24"/>
                <w:sz w:val="14"/>
                <w:szCs w:val="14"/>
                <w:lang w:eastAsia="el-GR"/>
              </w:rPr>
              <w:t xml:space="preserve"> </w:t>
            </w:r>
            <w:r w:rsidRPr="00E95FD5">
              <w:rPr>
                <w:rFonts w:ascii="Segoe UI" w:eastAsia="Times New Roman" w:hAnsi="Segoe UI" w:cs="Segoe UI"/>
                <w:b/>
                <w:bCs/>
                <w:color w:val="000000" w:themeColor="text1"/>
                <w:kern w:val="24"/>
                <w:sz w:val="14"/>
                <w:szCs w:val="14"/>
                <w:lang w:eastAsia="el-GR"/>
              </w:rPr>
              <w:t>2019</w:t>
            </w:r>
          </w:p>
        </w:tc>
        <w:tc>
          <w:tcPr>
            <w:tcW w:w="480"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tcPr>
          <w:p w:rsidR="000C14F0" w:rsidRPr="00E95FD5" w:rsidRDefault="000C14F0" w:rsidP="00B5579A">
            <w:pPr>
              <w:spacing w:before="38"/>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582A68" w:rsidRPr="00E95FD5" w:rsidTr="00AD2945">
        <w:trPr>
          <w:trHeight w:hRule="exact" w:val="227"/>
        </w:trPr>
        <w:tc>
          <w:tcPr>
            <w:tcW w:w="2122"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Καθαρά έσοδα από τόκους</w:t>
            </w:r>
          </w:p>
        </w:tc>
        <w:tc>
          <w:tcPr>
            <w:tcW w:w="480" w:type="pct"/>
            <w:tcBorders>
              <w:top w:val="single" w:sz="8" w:space="0" w:color="000000"/>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273 </w:t>
            </w:r>
          </w:p>
        </w:tc>
        <w:tc>
          <w:tcPr>
            <w:tcW w:w="480" w:type="pct"/>
            <w:tcBorders>
              <w:top w:val="single" w:sz="8" w:space="0" w:color="000000"/>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278 </w:t>
            </w:r>
          </w:p>
        </w:tc>
        <w:tc>
          <w:tcPr>
            <w:tcW w:w="480" w:type="pct"/>
            <w:tcBorders>
              <w:top w:val="single" w:sz="8" w:space="0" w:color="000000"/>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-2%</w:t>
            </w:r>
          </w:p>
        </w:tc>
        <w:tc>
          <w:tcPr>
            <w:tcW w:w="480" w:type="pct"/>
            <w:tcBorders>
              <w:top w:val="single" w:sz="8" w:space="0" w:color="000000"/>
              <w:left w:val="nil"/>
              <w:bottom w:val="nil"/>
              <w:right w:val="nil"/>
            </w:tcBorders>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551 </w:t>
            </w:r>
          </w:p>
        </w:tc>
        <w:tc>
          <w:tcPr>
            <w:tcW w:w="480" w:type="pct"/>
            <w:tcBorders>
              <w:top w:val="single" w:sz="8" w:space="0" w:color="000000"/>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600 </w:t>
            </w:r>
          </w:p>
        </w:tc>
        <w:tc>
          <w:tcPr>
            <w:tcW w:w="480" w:type="pct"/>
            <w:tcBorders>
              <w:top w:val="single" w:sz="8" w:space="0" w:color="000000"/>
              <w:left w:val="nil"/>
              <w:bottom w:val="nil"/>
              <w:right w:val="nil"/>
            </w:tcBorders>
            <w:shd w:val="clear" w:color="auto" w:fill="auto"/>
            <w:tcMar>
              <w:top w:w="15" w:type="dxa"/>
              <w:left w:w="15" w:type="dxa"/>
              <w:bottom w:w="0" w:type="dxa"/>
              <w:right w:w="78" w:type="dxa"/>
            </w:tcMar>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-8%</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color w:val="000000" w:themeColor="text1"/>
                <w:kern w:val="24"/>
                <w:sz w:val="14"/>
                <w:szCs w:val="14"/>
                <w:lang w:eastAsia="el-GR"/>
              </w:rPr>
              <w:t>Καθαρά έσοδα από προμήθειες</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57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66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-14%</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123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120 </w:t>
            </w:r>
          </w:p>
        </w:tc>
        <w:tc>
          <w:tcPr>
            <w:tcW w:w="480" w:type="pct"/>
            <w:tcBorders>
              <w:top w:val="nil"/>
              <w:left w:val="nil"/>
              <w:bottom w:val="nil"/>
              <w:right w:val="nil"/>
            </w:tcBorders>
            <w:shd w:val="clear" w:color="auto" w:fill="auto"/>
            <w:tcMar>
              <w:top w:w="15" w:type="dxa"/>
              <w:left w:w="15" w:type="dxa"/>
              <w:bottom w:w="0" w:type="dxa"/>
              <w:right w:w="78" w:type="dxa"/>
            </w:tcMar>
            <w:vAlign w:val="bottom"/>
          </w:tcPr>
          <w:p w:rsidR="00582A68" w:rsidRPr="00582A68" w:rsidRDefault="002D17E5" w:rsidP="00C02F1B">
            <w:pPr>
              <w:ind w:right="148"/>
              <w:jc w:val="right"/>
              <w:rPr>
                <w:rFonts w:ascii="Segoe UI" w:eastAsia="Times New Roman" w:hAnsi="Segoe UI" w:cs="Segoe UI"/>
                <w:bCs/>
                <w:i/>
                <w:color w:val="000000" w:themeColor="text1"/>
                <w:kern w:val="24"/>
                <w:sz w:val="14"/>
                <w:szCs w:val="16"/>
                <w:lang w:eastAsia="el-GR"/>
              </w:rPr>
            </w:pPr>
            <w:r>
              <w:rPr>
                <w:rFonts w:ascii="Segoe UI" w:eastAsia="Times New Roman" w:hAnsi="Segoe UI" w:cs="Segoe UI"/>
                <w:bCs/>
                <w:i/>
                <w:color w:val="000000" w:themeColor="text1"/>
                <w:kern w:val="24"/>
                <w:sz w:val="14"/>
                <w:szCs w:val="16"/>
                <w:lang w:eastAsia="el-GR"/>
              </w:rPr>
              <w:t>3</w:t>
            </w:r>
            <w:r w:rsidR="00582A68" w:rsidRPr="00582A68">
              <w:rPr>
                <w:rFonts w:ascii="Segoe UI" w:eastAsia="Times New Roman" w:hAnsi="Segoe UI" w:cs="Segoe UI"/>
                <w:bCs/>
                <w:i/>
                <w:color w:val="000000" w:themeColor="text1"/>
                <w:kern w:val="24"/>
                <w:sz w:val="14"/>
                <w:szCs w:val="16"/>
                <w:lang w:eastAsia="el-GR"/>
              </w:rPr>
              <w:t>%</w:t>
            </w:r>
          </w:p>
        </w:tc>
      </w:tr>
      <w:tr w:rsidR="00582A68" w:rsidRPr="00E95FD5" w:rsidTr="00AD2945">
        <w:trPr>
          <w:trHeight w:hRule="exact" w:val="227"/>
        </w:trPr>
        <w:tc>
          <w:tcPr>
            <w:tcW w:w="2122" w:type="pct"/>
            <w:tcBorders>
              <w:top w:val="nil"/>
              <w:left w:val="nil"/>
              <w:bottom w:val="nil"/>
              <w:right w:val="nil"/>
            </w:tcBorders>
            <w:shd w:val="clear" w:color="auto" w:fill="F2F2F2"/>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themeColor="text1"/>
                <w:kern w:val="24"/>
                <w:sz w:val="14"/>
                <w:szCs w:val="14"/>
                <w:lang w:eastAsia="el-GR"/>
              </w:rPr>
              <w:t>Οργανικά έσοδα</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330 </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344 </w:t>
            </w:r>
          </w:p>
        </w:tc>
        <w:tc>
          <w:tcPr>
            <w:tcW w:w="480" w:type="pct"/>
            <w:tcBorders>
              <w:top w:val="nil"/>
              <w:left w:val="nil"/>
              <w:bottom w:val="nil"/>
              <w:right w:val="nil"/>
            </w:tcBorders>
            <w:shd w:val="clear" w:color="auto" w:fill="F2F2F2"/>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-4%</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674 </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721 </w:t>
            </w:r>
          </w:p>
        </w:tc>
        <w:tc>
          <w:tcPr>
            <w:tcW w:w="480" w:type="pct"/>
            <w:tcBorders>
              <w:top w:val="nil"/>
              <w:left w:val="nil"/>
              <w:bottom w:val="nil"/>
              <w:right w:val="nil"/>
            </w:tcBorders>
            <w:shd w:val="clear" w:color="auto" w:fill="F2F2F2"/>
            <w:tcMar>
              <w:top w:w="15" w:type="dxa"/>
              <w:left w:w="15" w:type="dxa"/>
              <w:bottom w:w="0" w:type="dxa"/>
              <w:right w:w="78" w:type="dxa"/>
            </w:tcMar>
            <w:vAlign w:val="bottom"/>
          </w:tcPr>
          <w:p w:rsidR="00582A68" w:rsidRPr="00582A68" w:rsidRDefault="00582A68" w:rsidP="00743742">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w:t>
            </w:r>
            <w:r w:rsidR="00743742">
              <w:rPr>
                <w:rFonts w:ascii="Segoe UI" w:eastAsia="Times New Roman" w:hAnsi="Segoe UI" w:cs="Segoe UI"/>
                <w:b/>
                <w:bCs/>
                <w:i/>
                <w:color w:val="000000" w:themeColor="text1"/>
                <w:kern w:val="24"/>
                <w:sz w:val="14"/>
                <w:szCs w:val="16"/>
                <w:lang w:eastAsia="el-GR"/>
              </w:rPr>
              <w:t>6</w:t>
            </w:r>
            <w:r w:rsidRPr="00582A68">
              <w:rPr>
                <w:rFonts w:ascii="Segoe UI" w:eastAsia="Times New Roman" w:hAnsi="Segoe UI" w:cs="Segoe UI"/>
                <w:b/>
                <w:bCs/>
                <w:i/>
                <w:color w:val="000000" w:themeColor="text1"/>
                <w:kern w:val="24"/>
                <w:sz w:val="14"/>
                <w:szCs w:val="16"/>
                <w:lang w:eastAsia="el-GR"/>
              </w:rPr>
              <w:t>%</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582A68" w:rsidRPr="00E95FD5" w:rsidRDefault="00582A68" w:rsidP="00FD4D79">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E95FD5">
              <w:rPr>
                <w:rFonts w:ascii="Segoe UI" w:eastAsia="Segoe UI" w:hAnsi="Segoe UI" w:cs="Segoe UI"/>
                <w:color w:val="000000"/>
                <w:kern w:val="24"/>
                <w:sz w:val="14"/>
                <w:szCs w:val="14"/>
                <w:lang w:eastAsia="el-GR"/>
              </w:rPr>
              <w:t>πράξεις και λοιπά έσοδα</w:t>
            </w:r>
            <w:r w:rsidRPr="0020487F">
              <w:rPr>
                <w:rFonts w:ascii="Segoe UI" w:eastAsia="Segoe UI" w:hAnsi="Segoe UI" w:cs="Segoe UI"/>
                <w:color w:val="000000"/>
                <w:kern w:val="24"/>
                <w:sz w:val="16"/>
                <w:szCs w:val="14"/>
                <w:vertAlign w:val="superscript"/>
                <w:lang w:eastAsia="el-GR"/>
              </w:rPr>
              <w:t>1</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12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774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-98%</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786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145 </w:t>
            </w:r>
          </w:p>
        </w:tc>
        <w:tc>
          <w:tcPr>
            <w:tcW w:w="480" w:type="pct"/>
            <w:tcBorders>
              <w:top w:val="nil"/>
              <w:left w:val="nil"/>
              <w:bottom w:val="nil"/>
              <w:right w:val="nil"/>
            </w:tcBorders>
            <w:shd w:val="clear" w:color="auto" w:fill="auto"/>
            <w:tcMar>
              <w:top w:w="15" w:type="dxa"/>
              <w:left w:w="15" w:type="dxa"/>
              <w:bottom w:w="0" w:type="dxa"/>
              <w:right w:w="78" w:type="dxa"/>
            </w:tcMar>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&gt;100%</w:t>
            </w:r>
          </w:p>
        </w:tc>
      </w:tr>
      <w:tr w:rsidR="00582A68" w:rsidRPr="00E95FD5" w:rsidTr="00AD2945">
        <w:trPr>
          <w:trHeight w:hRule="exact" w:val="227"/>
        </w:trPr>
        <w:tc>
          <w:tcPr>
            <w:tcW w:w="2122" w:type="pct"/>
            <w:tcBorders>
              <w:top w:val="nil"/>
              <w:left w:val="nil"/>
              <w:bottom w:val="nil"/>
              <w:right w:val="nil"/>
            </w:tcBorders>
            <w:shd w:val="clear" w:color="auto" w:fill="F2F2F2"/>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Καθαρά λειτουργικά έσοδα </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342 </w:t>
            </w:r>
          </w:p>
        </w:tc>
        <w:tc>
          <w:tcPr>
            <w:tcW w:w="480" w:type="pct"/>
            <w:tcBorders>
              <w:top w:val="nil"/>
              <w:left w:val="nil"/>
              <w:bottom w:val="nil"/>
              <w:right w:val="nil"/>
            </w:tcBorders>
            <w:shd w:val="clear" w:color="auto" w:fill="F2F2F2"/>
            <w:vAlign w:val="center"/>
          </w:tcPr>
          <w:p w:rsidR="00582A68" w:rsidRPr="00582A68" w:rsidRDefault="00582A68" w:rsidP="005B4164">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1</w:t>
            </w:r>
            <w:r w:rsidR="005B4164">
              <w:rPr>
                <w:rFonts w:ascii="Segoe UI" w:eastAsia="Times New Roman" w:hAnsi="Segoe UI" w:cs="Segoe UI"/>
                <w:b/>
                <w:bCs/>
                <w:color w:val="000000" w:themeColor="text1"/>
                <w:kern w:val="24"/>
                <w:sz w:val="14"/>
                <w:szCs w:val="16"/>
                <w:lang w:eastAsia="el-GR"/>
              </w:rPr>
              <w:t>,</w:t>
            </w:r>
            <w:r w:rsidRPr="00582A68">
              <w:rPr>
                <w:rFonts w:ascii="Segoe UI" w:eastAsia="Times New Roman" w:hAnsi="Segoe UI" w:cs="Segoe UI"/>
                <w:b/>
                <w:bCs/>
                <w:color w:val="000000" w:themeColor="text1"/>
                <w:kern w:val="24"/>
                <w:sz w:val="14"/>
                <w:szCs w:val="16"/>
                <w:lang w:eastAsia="el-GR"/>
              </w:rPr>
              <w:t xml:space="preserve">118 </w:t>
            </w:r>
          </w:p>
        </w:tc>
        <w:tc>
          <w:tcPr>
            <w:tcW w:w="480" w:type="pct"/>
            <w:tcBorders>
              <w:top w:val="nil"/>
              <w:left w:val="nil"/>
              <w:bottom w:val="nil"/>
              <w:right w:val="nil"/>
            </w:tcBorders>
            <w:shd w:val="clear" w:color="auto" w:fill="F2F2F2"/>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-69%</w:t>
            </w:r>
          </w:p>
        </w:tc>
        <w:tc>
          <w:tcPr>
            <w:tcW w:w="480" w:type="pct"/>
            <w:tcBorders>
              <w:top w:val="nil"/>
              <w:left w:val="nil"/>
              <w:bottom w:val="nil"/>
              <w:right w:val="nil"/>
            </w:tcBorders>
            <w:shd w:val="clear" w:color="auto" w:fill="F2F2F2"/>
            <w:vAlign w:val="center"/>
          </w:tcPr>
          <w:p w:rsidR="00582A68" w:rsidRPr="00582A68" w:rsidRDefault="00582A68" w:rsidP="005B4164">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1</w:t>
            </w:r>
            <w:r w:rsidR="005B4164">
              <w:rPr>
                <w:rFonts w:ascii="Segoe UI" w:eastAsia="Times New Roman" w:hAnsi="Segoe UI" w:cs="Segoe UI"/>
                <w:b/>
                <w:bCs/>
                <w:color w:val="000000" w:themeColor="text1"/>
                <w:kern w:val="24"/>
                <w:sz w:val="14"/>
                <w:szCs w:val="16"/>
                <w:lang w:eastAsia="el-GR"/>
              </w:rPr>
              <w:t>,</w:t>
            </w:r>
            <w:r w:rsidRPr="00582A68">
              <w:rPr>
                <w:rFonts w:ascii="Segoe UI" w:eastAsia="Times New Roman" w:hAnsi="Segoe UI" w:cs="Segoe UI"/>
                <w:b/>
                <w:bCs/>
                <w:color w:val="000000" w:themeColor="text1"/>
                <w:kern w:val="24"/>
                <w:sz w:val="14"/>
                <w:szCs w:val="16"/>
                <w:lang w:eastAsia="el-GR"/>
              </w:rPr>
              <w:t xml:space="preserve">460 </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866 </w:t>
            </w:r>
          </w:p>
        </w:tc>
        <w:tc>
          <w:tcPr>
            <w:tcW w:w="480" w:type="pct"/>
            <w:tcBorders>
              <w:top w:val="nil"/>
              <w:left w:val="nil"/>
              <w:bottom w:val="nil"/>
              <w:right w:val="nil"/>
            </w:tcBorders>
            <w:shd w:val="clear" w:color="auto" w:fill="F2F2F2"/>
            <w:tcMar>
              <w:top w:w="15" w:type="dxa"/>
              <w:left w:w="15" w:type="dxa"/>
              <w:bottom w:w="0" w:type="dxa"/>
              <w:right w:w="78" w:type="dxa"/>
            </w:tcMar>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69%</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Λειτουργικές δαπάνες</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(199)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(208)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-4%</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(406)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(410) </w:t>
            </w:r>
          </w:p>
        </w:tc>
        <w:tc>
          <w:tcPr>
            <w:tcW w:w="480" w:type="pct"/>
            <w:tcBorders>
              <w:top w:val="nil"/>
              <w:left w:val="nil"/>
              <w:bottom w:val="nil"/>
              <w:right w:val="nil"/>
            </w:tcBorders>
            <w:shd w:val="clear" w:color="auto" w:fill="auto"/>
            <w:tcMar>
              <w:top w:w="15" w:type="dxa"/>
              <w:left w:w="15" w:type="dxa"/>
              <w:bottom w:w="0" w:type="dxa"/>
              <w:right w:w="78" w:type="dxa"/>
            </w:tcMar>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-1%</w:t>
            </w:r>
          </w:p>
        </w:tc>
      </w:tr>
      <w:tr w:rsidR="00582A68" w:rsidRPr="00E95FD5" w:rsidTr="00AD2945">
        <w:trPr>
          <w:trHeight w:hRule="exact" w:val="227"/>
        </w:trPr>
        <w:tc>
          <w:tcPr>
            <w:tcW w:w="2122" w:type="pct"/>
            <w:tcBorders>
              <w:top w:val="nil"/>
              <w:left w:val="nil"/>
              <w:bottom w:val="nil"/>
              <w:right w:val="nil"/>
            </w:tcBorders>
            <w:shd w:val="clear" w:color="auto" w:fill="F2F2F2"/>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131 </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137 </w:t>
            </w:r>
          </w:p>
        </w:tc>
        <w:tc>
          <w:tcPr>
            <w:tcW w:w="480" w:type="pct"/>
            <w:tcBorders>
              <w:top w:val="nil"/>
              <w:left w:val="nil"/>
              <w:bottom w:val="nil"/>
              <w:right w:val="nil"/>
            </w:tcBorders>
            <w:shd w:val="clear" w:color="auto" w:fill="F2F2F2"/>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-4%</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268 </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311 </w:t>
            </w:r>
          </w:p>
        </w:tc>
        <w:tc>
          <w:tcPr>
            <w:tcW w:w="480" w:type="pct"/>
            <w:tcBorders>
              <w:top w:val="nil"/>
              <w:left w:val="nil"/>
              <w:bottom w:val="nil"/>
              <w:right w:val="nil"/>
            </w:tcBorders>
            <w:shd w:val="clear" w:color="auto" w:fill="F2F2F2"/>
            <w:tcMar>
              <w:top w:w="15" w:type="dxa"/>
              <w:left w:w="15" w:type="dxa"/>
              <w:bottom w:w="0" w:type="dxa"/>
              <w:right w:w="78" w:type="dxa"/>
            </w:tcMar>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-14%</w:t>
            </w:r>
          </w:p>
        </w:tc>
      </w:tr>
      <w:tr w:rsidR="00582A68" w:rsidRPr="00E95FD5" w:rsidTr="00AD2945">
        <w:trPr>
          <w:trHeight w:hRule="exact" w:val="227"/>
        </w:trPr>
        <w:tc>
          <w:tcPr>
            <w:tcW w:w="2122" w:type="pct"/>
            <w:tcBorders>
              <w:top w:val="nil"/>
              <w:left w:val="nil"/>
              <w:bottom w:val="nil"/>
              <w:right w:val="nil"/>
            </w:tcBorders>
            <w:shd w:val="clear" w:color="auto" w:fill="F2F2F2"/>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Κέρδη / (ζημίες) προ προβλέψεων</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143 </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910 </w:t>
            </w:r>
          </w:p>
        </w:tc>
        <w:tc>
          <w:tcPr>
            <w:tcW w:w="480" w:type="pct"/>
            <w:tcBorders>
              <w:top w:val="nil"/>
              <w:left w:val="nil"/>
              <w:bottom w:val="nil"/>
              <w:right w:val="nil"/>
            </w:tcBorders>
            <w:shd w:val="clear" w:color="auto" w:fill="F2F2F2"/>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-84%</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1,054 </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456 </w:t>
            </w:r>
          </w:p>
        </w:tc>
        <w:tc>
          <w:tcPr>
            <w:tcW w:w="480" w:type="pct"/>
            <w:tcBorders>
              <w:top w:val="nil"/>
              <w:left w:val="nil"/>
              <w:bottom w:val="nil"/>
              <w:right w:val="nil"/>
            </w:tcBorders>
            <w:shd w:val="clear" w:color="auto" w:fill="F2F2F2"/>
            <w:tcMar>
              <w:top w:w="15" w:type="dxa"/>
              <w:left w:w="15" w:type="dxa"/>
              <w:bottom w:w="0" w:type="dxa"/>
              <w:right w:w="78" w:type="dxa"/>
            </w:tcMar>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&gt;100%</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Προβλέψεις για επισφαλή δάνεια</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(76)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(486)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-84%</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(562)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(201) </w:t>
            </w:r>
          </w:p>
        </w:tc>
        <w:tc>
          <w:tcPr>
            <w:tcW w:w="480" w:type="pct"/>
            <w:tcBorders>
              <w:top w:val="nil"/>
              <w:left w:val="nil"/>
              <w:bottom w:val="nil"/>
              <w:right w:val="nil"/>
            </w:tcBorders>
            <w:shd w:val="clear" w:color="auto" w:fill="auto"/>
            <w:tcMar>
              <w:top w:w="15" w:type="dxa"/>
              <w:left w:w="15" w:type="dxa"/>
              <w:bottom w:w="0" w:type="dxa"/>
              <w:right w:w="78" w:type="dxa"/>
            </w:tcMar>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&gt;100%</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Λειτουργικά κέρδη / (ζημίες)</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67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425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-84%</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492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256 </w:t>
            </w:r>
          </w:p>
        </w:tc>
        <w:tc>
          <w:tcPr>
            <w:tcW w:w="480" w:type="pct"/>
            <w:tcBorders>
              <w:top w:val="nil"/>
              <w:left w:val="nil"/>
              <w:bottom w:val="nil"/>
              <w:right w:val="nil"/>
            </w:tcBorders>
            <w:shd w:val="clear" w:color="auto" w:fill="auto"/>
            <w:tcMar>
              <w:top w:w="15" w:type="dxa"/>
              <w:left w:w="15" w:type="dxa"/>
              <w:bottom w:w="0" w:type="dxa"/>
              <w:right w:w="78" w:type="dxa"/>
            </w:tcMar>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92%</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tcPr>
          <w:p w:rsidR="00582A68" w:rsidRPr="00E95FD5" w:rsidRDefault="00582A68" w:rsidP="00951E6F">
            <w:pPr>
              <w:textAlignment w:val="center"/>
              <w:rPr>
                <w:rFonts w:ascii="Segoe UI" w:eastAsia="Segoe UI" w:hAnsi="Segoe UI" w:cs="Segoe UI"/>
                <w:b/>
                <w:bCs/>
                <w:color w:val="000000"/>
                <w:kern w:val="24"/>
                <w:sz w:val="14"/>
                <w:szCs w:val="14"/>
                <w:lang w:eastAsia="el-GR"/>
              </w:rPr>
            </w:pPr>
            <w:r w:rsidRPr="00897890">
              <w:rPr>
                <w:rFonts w:ascii="Segoe UI" w:eastAsia="Segoe UI" w:hAnsi="Segoe UI" w:cs="Segoe UI"/>
                <w:b/>
                <w:bCs/>
                <w:color w:val="000000"/>
                <w:kern w:val="24"/>
                <w:sz w:val="14"/>
                <w:szCs w:val="14"/>
                <w:lang w:eastAsia="el-GR"/>
              </w:rPr>
              <w:t>Οργανικά κέρδη / (ζημίες)</w:t>
            </w:r>
            <w:r w:rsidR="00467E58" w:rsidRPr="00467E58">
              <w:rPr>
                <w:rFonts w:ascii="Segoe UI" w:eastAsia="Segoe UI" w:hAnsi="Segoe UI" w:cs="Segoe UI"/>
                <w:b/>
                <w:bCs/>
                <w:color w:val="000000"/>
                <w:kern w:val="24"/>
                <w:sz w:val="14"/>
                <w:szCs w:val="14"/>
                <w:vertAlign w:val="superscript"/>
                <w:lang w:eastAsia="el-GR"/>
              </w:rPr>
              <w:t>2</w:t>
            </w:r>
            <w:r w:rsidRPr="00897890">
              <w:rPr>
                <w:rFonts w:ascii="Segoe UI" w:eastAsia="Segoe UI" w:hAnsi="Segoe UI" w:cs="Segoe UI"/>
                <w:b/>
                <w:bCs/>
                <w:color w:val="000000"/>
                <w:kern w:val="24"/>
                <w:sz w:val="14"/>
                <w:szCs w:val="14"/>
                <w:lang w:eastAsia="el-GR"/>
              </w:rPr>
              <w:t xml:space="preserve"> </w:t>
            </w:r>
          </w:p>
        </w:tc>
        <w:tc>
          <w:tcPr>
            <w:tcW w:w="480" w:type="pct"/>
            <w:tcBorders>
              <w:top w:val="nil"/>
              <w:left w:val="nil"/>
              <w:bottom w:val="nil"/>
              <w:right w:val="nil"/>
            </w:tcBorders>
            <w:shd w:val="clear" w:color="auto" w:fill="auto"/>
            <w:vAlign w:val="center"/>
          </w:tcPr>
          <w:p w:rsidR="00582A68" w:rsidRPr="00582A68" w:rsidRDefault="004372CE" w:rsidP="004372CE">
            <w:pPr>
              <w:ind w:right="148"/>
              <w:jc w:val="right"/>
              <w:rPr>
                <w:rFonts w:ascii="Segoe UI" w:eastAsia="Times New Roman" w:hAnsi="Segoe UI" w:cs="Segoe UI"/>
                <w:b/>
                <w:bCs/>
                <w:color w:val="000000" w:themeColor="text1"/>
                <w:kern w:val="24"/>
                <w:sz w:val="14"/>
                <w:szCs w:val="16"/>
                <w:lang w:eastAsia="el-GR"/>
              </w:rPr>
            </w:pPr>
            <w:r>
              <w:rPr>
                <w:rFonts w:ascii="Segoe UI" w:eastAsia="Times New Roman" w:hAnsi="Segoe UI" w:cs="Segoe UI"/>
                <w:b/>
                <w:bCs/>
                <w:color w:val="000000" w:themeColor="text1"/>
                <w:kern w:val="24"/>
                <w:sz w:val="14"/>
                <w:szCs w:val="16"/>
                <w:lang w:eastAsia="el-GR"/>
              </w:rPr>
              <w:t>6</w:t>
            </w:r>
            <w:r w:rsidR="00582A68" w:rsidRPr="00582A68">
              <w:rPr>
                <w:rFonts w:ascii="Segoe UI" w:eastAsia="Times New Roman" w:hAnsi="Segoe UI" w:cs="Segoe UI"/>
                <w:b/>
                <w:bCs/>
                <w:color w:val="000000" w:themeColor="text1"/>
                <w:kern w:val="24"/>
                <w:sz w:val="14"/>
                <w:szCs w:val="16"/>
                <w:lang w:eastAsia="el-GR"/>
              </w:rPr>
              <w:t xml:space="preserve">5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67 </w:t>
            </w:r>
          </w:p>
        </w:tc>
        <w:tc>
          <w:tcPr>
            <w:tcW w:w="480" w:type="pct"/>
            <w:tcBorders>
              <w:top w:val="nil"/>
              <w:left w:val="nil"/>
              <w:bottom w:val="nil"/>
              <w:right w:val="nil"/>
            </w:tcBorders>
            <w:shd w:val="clear" w:color="auto" w:fill="auto"/>
            <w:vAlign w:val="bottom"/>
          </w:tcPr>
          <w:p w:rsidR="00582A68" w:rsidRPr="00582A68" w:rsidRDefault="00582A68" w:rsidP="004372CE">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w:t>
            </w:r>
            <w:r w:rsidR="004372CE">
              <w:rPr>
                <w:rFonts w:ascii="Segoe UI" w:eastAsia="Times New Roman" w:hAnsi="Segoe UI" w:cs="Segoe UI"/>
                <w:b/>
                <w:bCs/>
                <w:i/>
                <w:color w:val="000000" w:themeColor="text1"/>
                <w:kern w:val="24"/>
                <w:sz w:val="14"/>
                <w:szCs w:val="16"/>
                <w:lang w:eastAsia="el-GR"/>
              </w:rPr>
              <w:t>3</w:t>
            </w:r>
            <w:r w:rsidRPr="00582A68">
              <w:rPr>
                <w:rFonts w:ascii="Segoe UI" w:eastAsia="Times New Roman" w:hAnsi="Segoe UI" w:cs="Segoe UI"/>
                <w:b/>
                <w:bCs/>
                <w:i/>
                <w:color w:val="000000" w:themeColor="text1"/>
                <w:kern w:val="24"/>
                <w:sz w:val="14"/>
                <w:szCs w:val="16"/>
                <w:lang w:eastAsia="el-GR"/>
              </w:rPr>
              <w:t>%</w:t>
            </w:r>
          </w:p>
        </w:tc>
        <w:tc>
          <w:tcPr>
            <w:tcW w:w="480" w:type="pct"/>
            <w:tcBorders>
              <w:top w:val="nil"/>
              <w:left w:val="nil"/>
              <w:bottom w:val="nil"/>
              <w:right w:val="nil"/>
            </w:tcBorders>
            <w:vAlign w:val="center"/>
          </w:tcPr>
          <w:p w:rsidR="00582A68" w:rsidRPr="00582A68" w:rsidRDefault="00582A68" w:rsidP="004372CE">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1</w:t>
            </w:r>
            <w:r w:rsidR="004372CE">
              <w:rPr>
                <w:rFonts w:ascii="Segoe UI" w:eastAsia="Times New Roman" w:hAnsi="Segoe UI" w:cs="Segoe UI"/>
                <w:b/>
                <w:bCs/>
                <w:color w:val="000000" w:themeColor="text1"/>
                <w:kern w:val="24"/>
                <w:sz w:val="14"/>
                <w:szCs w:val="16"/>
                <w:lang w:eastAsia="el-GR"/>
              </w:rPr>
              <w:t>3</w:t>
            </w:r>
            <w:r w:rsidRPr="00582A68">
              <w:rPr>
                <w:rFonts w:ascii="Segoe UI" w:eastAsia="Times New Roman" w:hAnsi="Segoe UI" w:cs="Segoe UI"/>
                <w:b/>
                <w:bCs/>
                <w:color w:val="000000" w:themeColor="text1"/>
                <w:kern w:val="24"/>
                <w:sz w:val="14"/>
                <w:szCs w:val="16"/>
                <w:lang w:eastAsia="el-GR"/>
              </w:rPr>
              <w:t xml:space="preserve">2 </w:t>
            </w:r>
          </w:p>
        </w:tc>
        <w:tc>
          <w:tcPr>
            <w:tcW w:w="480" w:type="pct"/>
            <w:tcBorders>
              <w:top w:val="nil"/>
              <w:left w:val="nil"/>
              <w:bottom w:val="nil"/>
              <w:right w:val="nil"/>
            </w:tcBorders>
            <w:shd w:val="clear" w:color="auto" w:fill="auto"/>
            <w:vAlign w:val="center"/>
          </w:tcPr>
          <w:p w:rsidR="00582A68" w:rsidRPr="00582A68" w:rsidRDefault="00582A68" w:rsidP="00A71447">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1</w:t>
            </w:r>
            <w:r w:rsidR="00A71447">
              <w:rPr>
                <w:rFonts w:ascii="Segoe UI" w:eastAsia="Times New Roman" w:hAnsi="Segoe UI" w:cs="Segoe UI"/>
                <w:b/>
                <w:bCs/>
                <w:color w:val="000000" w:themeColor="text1"/>
                <w:kern w:val="24"/>
                <w:sz w:val="14"/>
                <w:szCs w:val="16"/>
                <w:lang w:val="en-US" w:eastAsia="el-GR"/>
              </w:rPr>
              <w:t>09</w:t>
            </w:r>
            <w:r w:rsidRPr="00582A68">
              <w:rPr>
                <w:rFonts w:ascii="Segoe UI" w:eastAsia="Times New Roman" w:hAnsi="Segoe UI" w:cs="Segoe UI"/>
                <w:b/>
                <w:bCs/>
                <w:color w:val="000000" w:themeColor="text1"/>
                <w:kern w:val="24"/>
                <w:sz w:val="14"/>
                <w:szCs w:val="16"/>
                <w:lang w:eastAsia="el-GR"/>
              </w:rPr>
              <w:t xml:space="preserve"> </w:t>
            </w:r>
          </w:p>
        </w:tc>
        <w:tc>
          <w:tcPr>
            <w:tcW w:w="480" w:type="pct"/>
            <w:tcBorders>
              <w:top w:val="nil"/>
              <w:left w:val="nil"/>
              <w:bottom w:val="nil"/>
              <w:right w:val="nil"/>
            </w:tcBorders>
            <w:shd w:val="clear" w:color="auto" w:fill="auto"/>
            <w:tcMar>
              <w:top w:w="15" w:type="dxa"/>
              <w:left w:w="15" w:type="dxa"/>
              <w:bottom w:w="0" w:type="dxa"/>
              <w:right w:w="78" w:type="dxa"/>
            </w:tcMar>
            <w:vAlign w:val="bottom"/>
          </w:tcPr>
          <w:p w:rsidR="00582A68" w:rsidRPr="00582A68" w:rsidRDefault="003B131A" w:rsidP="003B131A">
            <w:pPr>
              <w:ind w:right="148"/>
              <w:jc w:val="right"/>
              <w:rPr>
                <w:rFonts w:ascii="Segoe UI" w:eastAsia="Times New Roman" w:hAnsi="Segoe UI" w:cs="Segoe UI"/>
                <w:b/>
                <w:bCs/>
                <w:i/>
                <w:color w:val="000000" w:themeColor="text1"/>
                <w:kern w:val="24"/>
                <w:sz w:val="14"/>
                <w:szCs w:val="16"/>
                <w:lang w:eastAsia="el-GR"/>
              </w:rPr>
            </w:pPr>
            <w:r>
              <w:rPr>
                <w:rFonts w:ascii="Segoe UI" w:eastAsia="Times New Roman" w:hAnsi="Segoe UI" w:cs="Segoe UI"/>
                <w:b/>
                <w:bCs/>
                <w:i/>
                <w:color w:val="000000" w:themeColor="text1"/>
                <w:kern w:val="24"/>
                <w:sz w:val="14"/>
                <w:szCs w:val="16"/>
                <w:lang w:eastAsia="el-GR"/>
              </w:rPr>
              <w:t>21</w:t>
            </w:r>
            <w:r w:rsidR="00582A68" w:rsidRPr="00582A68">
              <w:rPr>
                <w:rFonts w:ascii="Segoe UI" w:eastAsia="Times New Roman" w:hAnsi="Segoe UI" w:cs="Segoe UI"/>
                <w:b/>
                <w:bCs/>
                <w:i/>
                <w:color w:val="000000" w:themeColor="text1"/>
                <w:kern w:val="24"/>
                <w:sz w:val="14"/>
                <w:szCs w:val="16"/>
                <w:lang w:eastAsia="el-GR"/>
              </w:rPr>
              <w:t>%</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Λοιπές προβλέψεις</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(6)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(14)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-60%</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(19)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(2)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&gt;100%</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b/>
                <w:sz w:val="14"/>
                <w:szCs w:val="14"/>
                <w:lang w:eastAsia="el-GR"/>
              </w:rPr>
            </w:pPr>
            <w:r w:rsidRPr="00E95FD5">
              <w:rPr>
                <w:rFonts w:ascii="Segoe UI" w:eastAsia="Segoe UI" w:hAnsi="Segoe UI" w:cs="Segoe UI"/>
                <w:b/>
                <w:color w:val="000000"/>
                <w:kern w:val="24"/>
                <w:sz w:val="14"/>
                <w:szCs w:val="14"/>
                <w:lang w:eastAsia="el-GR"/>
              </w:rPr>
              <w:t>Κέρδη / (ζημίες) προ φόρων</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62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411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-85%</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472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253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86%</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Φόροι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(3)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(4)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-27%</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(8)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(8)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-7%</w:t>
            </w:r>
          </w:p>
        </w:tc>
      </w:tr>
      <w:tr w:rsidR="00582A68" w:rsidRPr="00E95FD5" w:rsidTr="00AD2945">
        <w:trPr>
          <w:trHeight w:hRule="exact" w:val="227"/>
        </w:trPr>
        <w:tc>
          <w:tcPr>
            <w:tcW w:w="2122" w:type="pct"/>
            <w:tcBorders>
              <w:top w:val="nil"/>
              <w:left w:val="nil"/>
              <w:bottom w:val="nil"/>
              <w:right w:val="nil"/>
            </w:tcBorders>
            <w:shd w:val="clear" w:color="auto" w:fill="F2F2F2"/>
            <w:tcMar>
              <w:top w:w="15" w:type="dxa"/>
              <w:left w:w="42" w:type="dxa"/>
              <w:bottom w:w="0" w:type="dxa"/>
              <w:right w:w="15" w:type="dxa"/>
            </w:tcMar>
            <w:vAlign w:val="center"/>
            <w:hideMark/>
          </w:tcPr>
          <w:p w:rsidR="00582A68" w:rsidRPr="00E95FD5" w:rsidRDefault="00582A68" w:rsidP="00BC5C8C">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Κέρδη / (ζημίες) μετά </w:t>
            </w:r>
            <w:r w:rsidR="00BC5C8C">
              <w:rPr>
                <w:rFonts w:ascii="Segoe UI" w:eastAsia="Segoe UI" w:hAnsi="Segoe UI" w:cs="Segoe UI"/>
                <w:b/>
                <w:bCs/>
                <w:color w:val="000000"/>
                <w:kern w:val="24"/>
                <w:sz w:val="14"/>
                <w:szCs w:val="14"/>
                <w:lang w:eastAsia="el-GR"/>
              </w:rPr>
              <w:t xml:space="preserve">από </w:t>
            </w:r>
            <w:r w:rsidRPr="00E95FD5">
              <w:rPr>
                <w:rFonts w:ascii="Segoe UI" w:eastAsia="Segoe UI" w:hAnsi="Segoe UI" w:cs="Segoe UI"/>
                <w:b/>
                <w:bCs/>
                <w:color w:val="000000"/>
                <w:kern w:val="24"/>
                <w:sz w:val="14"/>
                <w:szCs w:val="14"/>
                <w:lang w:eastAsia="el-GR"/>
              </w:rPr>
              <w:t>φόρ</w:t>
            </w:r>
            <w:r w:rsidR="00BC5C8C">
              <w:rPr>
                <w:rFonts w:ascii="Segoe UI" w:eastAsia="Segoe UI" w:hAnsi="Segoe UI" w:cs="Segoe UI"/>
                <w:b/>
                <w:bCs/>
                <w:color w:val="000000"/>
                <w:kern w:val="24"/>
                <w:sz w:val="14"/>
                <w:szCs w:val="14"/>
                <w:lang w:eastAsia="el-GR"/>
              </w:rPr>
              <w:t>ους</w:t>
            </w:r>
            <w:r w:rsidRPr="000D2509">
              <w:rPr>
                <w:rFonts w:ascii="Segoe UI" w:eastAsia="Segoe UI" w:hAnsi="Segoe UI" w:cs="Segoe UI"/>
                <w:b/>
                <w:bCs/>
                <w:color w:val="000000"/>
                <w:kern w:val="24"/>
                <w:sz w:val="14"/>
                <w:szCs w:val="14"/>
                <w:lang w:eastAsia="el-GR"/>
              </w:rPr>
              <w:t xml:space="preserve"> </w:t>
            </w:r>
            <w:r w:rsidRPr="00E95FD5">
              <w:rPr>
                <w:rFonts w:ascii="Segoe UI" w:eastAsia="Segoe UI" w:hAnsi="Segoe UI" w:cs="Segoe UI"/>
                <w:b/>
                <w:bCs/>
                <w:color w:val="000000"/>
                <w:kern w:val="24"/>
                <w:sz w:val="14"/>
                <w:szCs w:val="14"/>
                <w:lang w:eastAsia="el-GR"/>
              </w:rPr>
              <w:t>(</w:t>
            </w:r>
            <w:proofErr w:type="spellStart"/>
            <w:r w:rsidRPr="00E95FD5">
              <w:rPr>
                <w:rFonts w:ascii="Segoe UI" w:eastAsia="Segoe UI" w:hAnsi="Segoe UI" w:cs="Segoe UI"/>
                <w:b/>
                <w:bCs/>
                <w:color w:val="000000"/>
                <w:kern w:val="24"/>
                <w:sz w:val="14"/>
                <w:szCs w:val="14"/>
                <w:lang w:eastAsia="el-GR"/>
              </w:rPr>
              <w:t>συνεχ</w:t>
            </w:r>
            <w:proofErr w:type="spellEnd"/>
            <w:r w:rsidR="00BC5C8C">
              <w:rPr>
                <w:rFonts w:ascii="Segoe UI" w:eastAsia="Segoe UI" w:hAnsi="Segoe UI" w:cs="Segoe UI"/>
                <w:b/>
                <w:bCs/>
                <w:color w:val="000000"/>
                <w:kern w:val="24"/>
                <w:sz w:val="14"/>
                <w:szCs w:val="14"/>
                <w:lang w:eastAsia="el-GR"/>
              </w:rPr>
              <w:t>/</w:t>
            </w:r>
            <w:proofErr w:type="spellStart"/>
            <w:r>
              <w:rPr>
                <w:rFonts w:ascii="Segoe UI" w:eastAsia="Segoe UI" w:hAnsi="Segoe UI" w:cs="Segoe UI"/>
                <w:b/>
                <w:bCs/>
                <w:color w:val="000000"/>
                <w:kern w:val="24"/>
                <w:sz w:val="14"/>
                <w:szCs w:val="14"/>
                <w:lang w:eastAsia="el-GR"/>
              </w:rPr>
              <w:t>με</w:t>
            </w:r>
            <w:r w:rsidRPr="00E95FD5">
              <w:rPr>
                <w:rFonts w:ascii="Segoe UI" w:eastAsia="Segoe UI" w:hAnsi="Segoe UI" w:cs="Segoe UI"/>
                <w:b/>
                <w:bCs/>
                <w:color w:val="000000"/>
                <w:kern w:val="24"/>
                <w:sz w:val="14"/>
                <w:szCs w:val="14"/>
                <w:lang w:eastAsia="el-GR"/>
              </w:rPr>
              <w:t>νες</w:t>
            </w:r>
            <w:proofErr w:type="spellEnd"/>
            <w:r w:rsidRPr="00E95FD5">
              <w:rPr>
                <w:rFonts w:ascii="Segoe UI" w:eastAsia="Segoe UI" w:hAnsi="Segoe UI" w:cs="Segoe UI"/>
                <w:b/>
                <w:bCs/>
                <w:color w:val="000000"/>
                <w:kern w:val="24"/>
                <w:sz w:val="14"/>
                <w:szCs w:val="14"/>
                <w:lang w:eastAsia="el-GR"/>
              </w:rPr>
              <w:t xml:space="preserve"> </w:t>
            </w:r>
            <w:proofErr w:type="spellStart"/>
            <w:r>
              <w:rPr>
                <w:rFonts w:ascii="Segoe UI" w:eastAsia="Segoe UI" w:hAnsi="Segoe UI" w:cs="Segoe UI"/>
                <w:b/>
                <w:bCs/>
                <w:color w:val="000000"/>
                <w:kern w:val="24"/>
                <w:sz w:val="14"/>
                <w:szCs w:val="14"/>
                <w:lang w:eastAsia="el-GR"/>
              </w:rPr>
              <w:t>δ</w:t>
            </w:r>
            <w:r w:rsidRPr="00E95FD5">
              <w:rPr>
                <w:rFonts w:ascii="Segoe UI" w:eastAsia="Segoe UI" w:hAnsi="Segoe UI" w:cs="Segoe UI"/>
                <w:b/>
                <w:bCs/>
                <w:color w:val="000000"/>
                <w:kern w:val="24"/>
                <w:sz w:val="14"/>
                <w:szCs w:val="14"/>
                <w:lang w:eastAsia="el-GR"/>
              </w:rPr>
              <w:t>ραστ</w:t>
            </w:r>
            <w:proofErr w:type="spellEnd"/>
            <w:r>
              <w:rPr>
                <w:rFonts w:ascii="Segoe UI" w:eastAsia="Segoe UI" w:hAnsi="Segoe UI" w:cs="Segoe UI"/>
                <w:b/>
                <w:bCs/>
                <w:color w:val="000000"/>
                <w:kern w:val="24"/>
                <w:sz w:val="14"/>
                <w:szCs w:val="14"/>
                <w:lang w:eastAsia="el-GR"/>
              </w:rPr>
              <w:t>/</w:t>
            </w:r>
            <w:proofErr w:type="spellStart"/>
            <w:r w:rsidRPr="00E95FD5">
              <w:rPr>
                <w:rFonts w:ascii="Segoe UI" w:eastAsia="Segoe UI" w:hAnsi="Segoe UI" w:cs="Segoe UI"/>
                <w:b/>
                <w:bCs/>
                <w:color w:val="000000"/>
                <w:kern w:val="24"/>
                <w:sz w:val="14"/>
                <w:szCs w:val="14"/>
                <w:lang w:eastAsia="el-GR"/>
              </w:rPr>
              <w:t>τητες</w:t>
            </w:r>
            <w:proofErr w:type="spellEnd"/>
            <w:r w:rsidRPr="00E95FD5">
              <w:rPr>
                <w:rFonts w:ascii="Segoe UI" w:eastAsia="Segoe UI" w:hAnsi="Segoe UI" w:cs="Segoe UI"/>
                <w:b/>
                <w:bCs/>
                <w:color w:val="000000"/>
                <w:kern w:val="24"/>
                <w:sz w:val="14"/>
                <w:szCs w:val="14"/>
                <w:lang w:eastAsia="el-GR"/>
              </w:rPr>
              <w:t>)</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58 </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407 </w:t>
            </w:r>
          </w:p>
        </w:tc>
        <w:tc>
          <w:tcPr>
            <w:tcW w:w="480" w:type="pct"/>
            <w:tcBorders>
              <w:top w:val="nil"/>
              <w:left w:val="nil"/>
              <w:bottom w:val="nil"/>
              <w:right w:val="nil"/>
            </w:tcBorders>
            <w:shd w:val="clear" w:color="auto" w:fill="F2F2F2"/>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-86%</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465 </w:t>
            </w:r>
          </w:p>
        </w:tc>
        <w:tc>
          <w:tcPr>
            <w:tcW w:w="480" w:type="pct"/>
            <w:tcBorders>
              <w:top w:val="nil"/>
              <w:left w:val="nil"/>
              <w:bottom w:val="nil"/>
              <w:right w:val="nil"/>
            </w:tcBorders>
            <w:shd w:val="clear" w:color="auto" w:fill="F2F2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245 </w:t>
            </w:r>
          </w:p>
        </w:tc>
        <w:tc>
          <w:tcPr>
            <w:tcW w:w="480" w:type="pct"/>
            <w:tcBorders>
              <w:top w:val="nil"/>
              <w:left w:val="nil"/>
              <w:bottom w:val="nil"/>
              <w:right w:val="nil"/>
            </w:tcBorders>
            <w:shd w:val="clear" w:color="auto" w:fill="F2F2F2"/>
            <w:tcMar>
              <w:top w:w="15" w:type="dxa"/>
              <w:left w:w="15" w:type="dxa"/>
              <w:bottom w:w="0" w:type="dxa"/>
              <w:right w:w="84" w:type="dxa"/>
            </w:tcMar>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90%</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582A68" w:rsidRPr="00E95FD5" w:rsidRDefault="00582A68" w:rsidP="00032164">
            <w:pPr>
              <w:textAlignment w:val="center"/>
              <w:rPr>
                <w:rFonts w:ascii="Segoe UI" w:eastAsia="Times New Roman" w:hAnsi="Segoe UI" w:cs="Segoe UI"/>
                <w:sz w:val="14"/>
                <w:szCs w:val="14"/>
                <w:lang w:eastAsia="el-GR"/>
              </w:rPr>
            </w:pPr>
            <w:r w:rsidRPr="00E95FD5">
              <w:rPr>
                <w:rFonts w:ascii="Segoe UI" w:eastAsia="Segoe UI" w:hAnsi="Segoe UI" w:cs="Segoe UI"/>
                <w:bCs/>
                <w:color w:val="000000"/>
                <w:kern w:val="24"/>
                <w:sz w:val="14"/>
                <w:szCs w:val="14"/>
                <w:lang w:eastAsia="el-GR"/>
              </w:rPr>
              <w:t xml:space="preserve">Κέρδη / (ζημίες) μετά </w:t>
            </w:r>
            <w:r w:rsidR="00BC5C8C" w:rsidRPr="00BC5C8C">
              <w:rPr>
                <w:rFonts w:ascii="Segoe UI" w:eastAsia="Segoe UI" w:hAnsi="Segoe UI" w:cs="Segoe UI"/>
                <w:bCs/>
                <w:color w:val="000000"/>
                <w:kern w:val="24"/>
                <w:sz w:val="14"/>
                <w:szCs w:val="14"/>
                <w:lang w:eastAsia="el-GR"/>
              </w:rPr>
              <w:t xml:space="preserve">από φόρους </w:t>
            </w:r>
            <w:r w:rsidRPr="00E95FD5">
              <w:rPr>
                <w:rFonts w:ascii="Segoe UI" w:eastAsia="Segoe UI" w:hAnsi="Segoe UI" w:cs="Segoe UI"/>
                <w:bCs/>
                <w:color w:val="000000"/>
                <w:kern w:val="24"/>
                <w:sz w:val="14"/>
                <w:szCs w:val="14"/>
                <w:lang w:eastAsia="el-GR"/>
              </w:rPr>
              <w:t>(διακοπείσες δραστηριότητες)</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10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3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&gt;100%</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14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111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-88%</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tcPr>
          <w:p w:rsidR="00582A68" w:rsidRPr="00E95FD5" w:rsidRDefault="00582A68">
            <w:pPr>
              <w:textAlignment w:val="center"/>
              <w:rPr>
                <w:rFonts w:ascii="Segoe UI" w:eastAsia="Segoe UI" w:hAnsi="Segoe UI" w:cs="Segoe UI"/>
                <w:color w:val="000000"/>
                <w:kern w:val="24"/>
                <w:sz w:val="14"/>
                <w:szCs w:val="14"/>
                <w:lang w:eastAsia="el-GR"/>
              </w:rPr>
            </w:pPr>
            <w:r w:rsidRPr="00E95FD5">
              <w:rPr>
                <w:rFonts w:ascii="Segoe UI" w:eastAsia="Segoe UI" w:hAnsi="Segoe UI" w:cs="Segoe UI"/>
                <w:color w:val="000000"/>
                <w:kern w:val="24"/>
                <w:sz w:val="14"/>
                <w:szCs w:val="14"/>
                <w:lang w:eastAsia="el-GR"/>
              </w:rPr>
              <w:t>ΛΕΠΕΤΕ</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(9)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(10)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-13%</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(19)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582A68" w:rsidRPr="00582A68" w:rsidRDefault="005B4164" w:rsidP="00C02F1B">
            <w:pPr>
              <w:ind w:right="148"/>
              <w:jc w:val="right"/>
              <w:rPr>
                <w:rFonts w:ascii="Segoe UI" w:eastAsia="Times New Roman" w:hAnsi="Segoe UI" w:cs="Segoe UI"/>
                <w:bCs/>
                <w:i/>
                <w:color w:val="000000" w:themeColor="text1"/>
                <w:kern w:val="24"/>
                <w:sz w:val="14"/>
                <w:szCs w:val="16"/>
                <w:lang w:eastAsia="el-GR"/>
              </w:rPr>
            </w:pPr>
            <w:r>
              <w:rPr>
                <w:rFonts w:ascii="Segoe UI" w:eastAsia="Times New Roman" w:hAnsi="Segoe UI" w:cs="Segoe UI"/>
                <w:bCs/>
                <w:i/>
                <w:color w:val="000000" w:themeColor="text1"/>
                <w:kern w:val="24"/>
                <w:sz w:val="14"/>
                <w:szCs w:val="16"/>
                <w:lang w:eastAsia="el-GR"/>
              </w:rPr>
              <w:t>--</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582A68" w:rsidRPr="00C67C08" w:rsidRDefault="00582A68" w:rsidP="00F84447">
            <w:pPr>
              <w:textAlignment w:val="center"/>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 xml:space="preserve">Κόστος Εθελουσίας, </w:t>
            </w:r>
            <w:r w:rsidRPr="00E95FD5">
              <w:rPr>
                <w:rFonts w:ascii="Segoe UI" w:eastAsia="Segoe UI" w:hAnsi="Segoe UI" w:cs="Segoe UI"/>
                <w:color w:val="000000"/>
                <w:kern w:val="24"/>
                <w:sz w:val="14"/>
                <w:szCs w:val="14"/>
                <w:lang w:eastAsia="el-GR"/>
              </w:rPr>
              <w:t xml:space="preserve">κόστη </w:t>
            </w:r>
            <w:proofErr w:type="spellStart"/>
            <w:r w:rsidRPr="00E95FD5">
              <w:rPr>
                <w:rFonts w:ascii="Segoe UI" w:eastAsia="Segoe UI" w:hAnsi="Segoe UI" w:cs="Segoe UI"/>
                <w:color w:val="000000"/>
                <w:kern w:val="24"/>
                <w:sz w:val="14"/>
                <w:szCs w:val="14"/>
                <w:lang w:eastAsia="el-GR"/>
              </w:rPr>
              <w:t>αναδ</w:t>
            </w:r>
            <w:proofErr w:type="spellEnd"/>
            <w:r w:rsidR="00F84447">
              <w:rPr>
                <w:rFonts w:ascii="Segoe UI" w:eastAsia="Segoe UI" w:hAnsi="Segoe UI" w:cs="Segoe UI"/>
                <w:color w:val="000000"/>
                <w:kern w:val="24"/>
                <w:sz w:val="14"/>
                <w:szCs w:val="14"/>
                <w:lang w:eastAsia="el-GR"/>
              </w:rPr>
              <w:t>/</w:t>
            </w:r>
            <w:r>
              <w:rPr>
                <w:rFonts w:ascii="Segoe UI" w:eastAsia="Segoe UI" w:hAnsi="Segoe UI" w:cs="Segoe UI"/>
                <w:color w:val="000000"/>
                <w:kern w:val="24"/>
                <w:sz w:val="14"/>
                <w:szCs w:val="14"/>
                <w:lang w:eastAsia="el-GR"/>
              </w:rPr>
              <w:t>σης κ λοιπά έκτακτα κόστη</w:t>
            </w:r>
            <w:r>
              <w:rPr>
                <w:rFonts w:ascii="Segoe UI" w:eastAsia="Segoe UI" w:hAnsi="Segoe UI" w:cs="Segoe UI"/>
                <w:color w:val="000000"/>
                <w:kern w:val="24"/>
                <w:sz w:val="14"/>
                <w:szCs w:val="14"/>
                <w:vertAlign w:val="superscript"/>
                <w:lang w:eastAsia="el-GR"/>
              </w:rPr>
              <w:t>3</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(3)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(95)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-97%</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(99)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(105)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-6%</w:t>
            </w:r>
          </w:p>
        </w:tc>
      </w:tr>
      <w:tr w:rsidR="00582A68" w:rsidRPr="00E95FD5" w:rsidTr="00AD2945">
        <w:trPr>
          <w:trHeight w:hRule="exact" w:val="227"/>
        </w:trPr>
        <w:tc>
          <w:tcPr>
            <w:tcW w:w="2122" w:type="pct"/>
            <w:tcBorders>
              <w:top w:val="nil"/>
              <w:left w:val="nil"/>
              <w:bottom w:val="nil"/>
              <w:right w:val="nil"/>
            </w:tcBorders>
            <w:shd w:val="clear" w:color="auto" w:fill="auto"/>
            <w:tcMar>
              <w:top w:w="15" w:type="dxa"/>
              <w:left w:w="42" w:type="dxa"/>
              <w:bottom w:w="0" w:type="dxa"/>
              <w:right w:w="15" w:type="dxa"/>
            </w:tcMar>
            <w:vAlign w:val="center"/>
          </w:tcPr>
          <w:p w:rsidR="00582A68" w:rsidRPr="00E95FD5" w:rsidRDefault="00582A68">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Δικαιώματα μειοψηφίας</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(0)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 </w:t>
            </w:r>
          </w:p>
        </w:tc>
        <w:tc>
          <w:tcPr>
            <w:tcW w:w="480" w:type="pct"/>
            <w:tcBorders>
              <w:top w:val="nil"/>
              <w:left w:val="nil"/>
              <w:bottom w:val="nil"/>
              <w:right w:val="nil"/>
            </w:tcBorders>
            <w:shd w:val="clear" w:color="auto" w:fill="auto"/>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-20%</w:t>
            </w:r>
          </w:p>
        </w:tc>
        <w:tc>
          <w:tcPr>
            <w:tcW w:w="480" w:type="pct"/>
            <w:tcBorders>
              <w:top w:val="nil"/>
              <w:left w:val="nil"/>
              <w:bottom w:val="nil"/>
              <w:right w:val="nil"/>
            </w:tcBorders>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 </w:t>
            </w:r>
          </w:p>
        </w:tc>
        <w:tc>
          <w:tcPr>
            <w:tcW w:w="480" w:type="pct"/>
            <w:tcBorders>
              <w:top w:val="nil"/>
              <w:left w:val="nil"/>
              <w:bottom w:val="nil"/>
              <w:right w:val="nil"/>
            </w:tcBorders>
            <w:shd w:val="clear" w:color="auto" w:fill="auto"/>
            <w:vAlign w:val="center"/>
          </w:tcPr>
          <w:p w:rsidR="00582A68" w:rsidRPr="00582A68" w:rsidRDefault="00582A68" w:rsidP="00C02F1B">
            <w:pPr>
              <w:ind w:right="148"/>
              <w:jc w:val="right"/>
              <w:rPr>
                <w:rFonts w:ascii="Segoe UI" w:eastAsia="Times New Roman" w:hAnsi="Segoe UI" w:cs="Segoe UI"/>
                <w:bCs/>
                <w:color w:val="000000" w:themeColor="text1"/>
                <w:kern w:val="24"/>
                <w:sz w:val="14"/>
                <w:szCs w:val="16"/>
                <w:lang w:eastAsia="el-GR"/>
              </w:rPr>
            </w:pPr>
            <w:r w:rsidRPr="00582A68">
              <w:rPr>
                <w:rFonts w:ascii="Segoe UI" w:eastAsia="Times New Roman" w:hAnsi="Segoe UI" w:cs="Segoe UI"/>
                <w:bCs/>
                <w:color w:val="000000" w:themeColor="text1"/>
                <w:kern w:val="24"/>
                <w:sz w:val="14"/>
                <w:szCs w:val="16"/>
                <w:lang w:eastAsia="el-GR"/>
              </w:rPr>
              <w:t xml:space="preserve">(18)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582A68" w:rsidRPr="00582A68" w:rsidRDefault="00582A68" w:rsidP="00C02F1B">
            <w:pPr>
              <w:ind w:right="148"/>
              <w:jc w:val="right"/>
              <w:rPr>
                <w:rFonts w:ascii="Segoe UI" w:eastAsia="Times New Roman" w:hAnsi="Segoe UI" w:cs="Segoe UI"/>
                <w:bCs/>
                <w:i/>
                <w:color w:val="000000" w:themeColor="text1"/>
                <w:kern w:val="24"/>
                <w:sz w:val="14"/>
                <w:szCs w:val="16"/>
                <w:lang w:eastAsia="el-GR"/>
              </w:rPr>
            </w:pPr>
            <w:r w:rsidRPr="00582A68">
              <w:rPr>
                <w:rFonts w:ascii="Segoe UI" w:eastAsia="Times New Roman" w:hAnsi="Segoe UI" w:cs="Segoe UI"/>
                <w:bCs/>
                <w:i/>
                <w:color w:val="000000" w:themeColor="text1"/>
                <w:kern w:val="24"/>
                <w:sz w:val="14"/>
                <w:szCs w:val="16"/>
                <w:lang w:eastAsia="el-GR"/>
              </w:rPr>
              <w:t>-95%</w:t>
            </w:r>
          </w:p>
        </w:tc>
      </w:tr>
      <w:tr w:rsidR="00582A68" w:rsidRPr="00E95FD5" w:rsidTr="00AD2945">
        <w:trPr>
          <w:trHeight w:hRule="exact" w:val="227"/>
        </w:trPr>
        <w:tc>
          <w:tcPr>
            <w:tcW w:w="2122" w:type="pct"/>
            <w:tcBorders>
              <w:top w:val="nil"/>
              <w:left w:val="nil"/>
              <w:bottom w:val="single" w:sz="12" w:space="0" w:color="000000"/>
              <w:right w:val="nil"/>
            </w:tcBorders>
            <w:shd w:val="clear" w:color="auto" w:fill="F2F2F2" w:themeFill="background1" w:themeFillShade="F2"/>
            <w:tcMar>
              <w:top w:w="15" w:type="dxa"/>
              <w:left w:w="42" w:type="dxa"/>
              <w:bottom w:w="0" w:type="dxa"/>
              <w:right w:w="15" w:type="dxa"/>
            </w:tcMar>
            <w:vAlign w:val="center"/>
          </w:tcPr>
          <w:p w:rsidR="00582A68" w:rsidRPr="00E95FD5" w:rsidRDefault="00582A68" w:rsidP="00976026">
            <w:pPr>
              <w:jc w:val="both"/>
              <w:textAlignment w:val="center"/>
              <w:rPr>
                <w:rFonts w:ascii="Segoe UI" w:eastAsia="Segoe UI" w:hAnsi="Segoe UI" w:cs="Segoe UI"/>
                <w:color w:val="000000"/>
                <w:kern w:val="24"/>
                <w:sz w:val="14"/>
                <w:szCs w:val="14"/>
                <w:lang w:eastAsia="el-GR"/>
              </w:rPr>
            </w:pPr>
            <w:r w:rsidRPr="00E95FD5">
              <w:rPr>
                <w:rFonts w:ascii="Segoe UI" w:eastAsia="Segoe UI" w:hAnsi="Segoe UI" w:cs="Segoe UI"/>
                <w:b/>
                <w:color w:val="000000"/>
                <w:kern w:val="24"/>
                <w:sz w:val="14"/>
                <w:szCs w:val="14"/>
                <w:lang w:eastAsia="el-GR"/>
              </w:rPr>
              <w:t xml:space="preserve">Κέρδη / (ζημίες) μετά </w:t>
            </w:r>
            <w:r w:rsidR="00976026" w:rsidRPr="00976026">
              <w:rPr>
                <w:rFonts w:ascii="Segoe UI" w:eastAsia="Segoe UI" w:hAnsi="Segoe UI" w:cs="Segoe UI"/>
                <w:b/>
                <w:color w:val="000000"/>
                <w:kern w:val="24"/>
                <w:sz w:val="14"/>
                <w:szCs w:val="14"/>
                <w:lang w:eastAsia="el-GR"/>
              </w:rPr>
              <w:t xml:space="preserve">από φόρους </w:t>
            </w:r>
            <w:r w:rsidRPr="00E95FD5">
              <w:rPr>
                <w:rFonts w:ascii="Segoe UI" w:eastAsia="Segoe UI" w:hAnsi="Segoe UI" w:cs="Segoe UI"/>
                <w:b/>
                <w:color w:val="000000"/>
                <w:kern w:val="24"/>
                <w:sz w:val="14"/>
                <w:szCs w:val="14"/>
                <w:lang w:eastAsia="el-GR"/>
              </w:rPr>
              <w:t>περιόδου</w:t>
            </w:r>
          </w:p>
        </w:tc>
        <w:tc>
          <w:tcPr>
            <w:tcW w:w="480" w:type="pct"/>
            <w:tcBorders>
              <w:top w:val="nil"/>
              <w:left w:val="nil"/>
              <w:bottom w:val="single" w:sz="12" w:space="0" w:color="000000"/>
              <w:right w:val="nil"/>
            </w:tcBorders>
            <w:shd w:val="clear" w:color="auto" w:fill="F2F2F2" w:themeFill="background1" w:themeFillShade="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56 </w:t>
            </w:r>
          </w:p>
        </w:tc>
        <w:tc>
          <w:tcPr>
            <w:tcW w:w="480" w:type="pct"/>
            <w:tcBorders>
              <w:top w:val="nil"/>
              <w:left w:val="nil"/>
              <w:bottom w:val="single" w:sz="12" w:space="0" w:color="000000"/>
              <w:right w:val="nil"/>
            </w:tcBorders>
            <w:shd w:val="clear" w:color="auto" w:fill="F2F2F2" w:themeFill="background1" w:themeFillShade="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304 </w:t>
            </w:r>
          </w:p>
        </w:tc>
        <w:tc>
          <w:tcPr>
            <w:tcW w:w="480" w:type="pct"/>
            <w:tcBorders>
              <w:top w:val="nil"/>
              <w:left w:val="nil"/>
              <w:bottom w:val="single" w:sz="12" w:space="0" w:color="000000"/>
              <w:right w:val="nil"/>
            </w:tcBorders>
            <w:shd w:val="clear" w:color="auto" w:fill="F2F2F2" w:themeFill="background1" w:themeFillShade="F2"/>
            <w:vAlign w:val="bottom"/>
          </w:tcPr>
          <w:p w:rsidR="00582A68" w:rsidRPr="00582A68" w:rsidRDefault="00582A68" w:rsidP="00C02F1B">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-81%</w:t>
            </w:r>
          </w:p>
        </w:tc>
        <w:tc>
          <w:tcPr>
            <w:tcW w:w="480" w:type="pct"/>
            <w:tcBorders>
              <w:top w:val="nil"/>
              <w:left w:val="nil"/>
              <w:bottom w:val="single" w:sz="12" w:space="0" w:color="000000"/>
              <w:right w:val="nil"/>
            </w:tcBorders>
            <w:shd w:val="clear" w:color="auto" w:fill="F2F2F2" w:themeFill="background1" w:themeFillShade="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360 </w:t>
            </w:r>
          </w:p>
        </w:tc>
        <w:tc>
          <w:tcPr>
            <w:tcW w:w="480" w:type="pct"/>
            <w:tcBorders>
              <w:top w:val="nil"/>
              <w:left w:val="nil"/>
              <w:bottom w:val="single" w:sz="12" w:space="0" w:color="000000"/>
              <w:right w:val="nil"/>
            </w:tcBorders>
            <w:shd w:val="clear" w:color="auto" w:fill="F2F2F2" w:themeFill="background1" w:themeFillShade="F2"/>
            <w:vAlign w:val="center"/>
          </w:tcPr>
          <w:p w:rsidR="00582A68" w:rsidRPr="00582A68" w:rsidRDefault="00582A68" w:rsidP="00C02F1B">
            <w:pPr>
              <w:ind w:right="148"/>
              <w:jc w:val="right"/>
              <w:rPr>
                <w:rFonts w:ascii="Segoe UI" w:eastAsia="Times New Roman" w:hAnsi="Segoe UI" w:cs="Segoe UI"/>
                <w:b/>
                <w:bCs/>
                <w:color w:val="000000" w:themeColor="text1"/>
                <w:kern w:val="24"/>
                <w:sz w:val="14"/>
                <w:szCs w:val="16"/>
                <w:lang w:eastAsia="el-GR"/>
              </w:rPr>
            </w:pPr>
            <w:r w:rsidRPr="00582A68">
              <w:rPr>
                <w:rFonts w:ascii="Segoe UI" w:eastAsia="Times New Roman" w:hAnsi="Segoe UI" w:cs="Segoe UI"/>
                <w:b/>
                <w:bCs/>
                <w:color w:val="000000" w:themeColor="text1"/>
                <w:kern w:val="24"/>
                <w:sz w:val="14"/>
                <w:szCs w:val="16"/>
                <w:lang w:eastAsia="el-GR"/>
              </w:rPr>
              <w:t xml:space="preserve">233 </w:t>
            </w:r>
          </w:p>
        </w:tc>
        <w:tc>
          <w:tcPr>
            <w:tcW w:w="480" w:type="pct"/>
            <w:tcBorders>
              <w:top w:val="nil"/>
              <w:left w:val="nil"/>
              <w:bottom w:val="single" w:sz="12" w:space="0" w:color="000000"/>
              <w:right w:val="nil"/>
            </w:tcBorders>
            <w:shd w:val="clear" w:color="auto" w:fill="F2F2F2" w:themeFill="background1" w:themeFillShade="F2"/>
            <w:tcMar>
              <w:top w:w="15" w:type="dxa"/>
              <w:left w:w="15" w:type="dxa"/>
              <w:bottom w:w="0" w:type="dxa"/>
              <w:right w:w="84" w:type="dxa"/>
            </w:tcMar>
            <w:vAlign w:val="bottom"/>
          </w:tcPr>
          <w:p w:rsidR="00582A68" w:rsidRPr="00582A68" w:rsidRDefault="00582A68" w:rsidP="00743742">
            <w:pPr>
              <w:ind w:right="148"/>
              <w:jc w:val="right"/>
              <w:rPr>
                <w:rFonts w:ascii="Segoe UI" w:eastAsia="Times New Roman" w:hAnsi="Segoe UI" w:cs="Segoe UI"/>
                <w:b/>
                <w:bCs/>
                <w:i/>
                <w:color w:val="000000" w:themeColor="text1"/>
                <w:kern w:val="24"/>
                <w:sz w:val="14"/>
                <w:szCs w:val="16"/>
                <w:lang w:eastAsia="el-GR"/>
              </w:rPr>
            </w:pPr>
            <w:r w:rsidRPr="00582A68">
              <w:rPr>
                <w:rFonts w:ascii="Segoe UI" w:eastAsia="Times New Roman" w:hAnsi="Segoe UI" w:cs="Segoe UI"/>
                <w:b/>
                <w:bCs/>
                <w:i/>
                <w:color w:val="000000" w:themeColor="text1"/>
                <w:kern w:val="24"/>
                <w:sz w:val="14"/>
                <w:szCs w:val="16"/>
                <w:lang w:eastAsia="el-GR"/>
              </w:rPr>
              <w:t>5</w:t>
            </w:r>
            <w:r w:rsidR="00743742">
              <w:rPr>
                <w:rFonts w:ascii="Segoe UI" w:eastAsia="Times New Roman" w:hAnsi="Segoe UI" w:cs="Segoe UI"/>
                <w:b/>
                <w:bCs/>
                <w:i/>
                <w:color w:val="000000" w:themeColor="text1"/>
                <w:kern w:val="24"/>
                <w:sz w:val="14"/>
                <w:szCs w:val="16"/>
                <w:lang w:eastAsia="el-GR"/>
              </w:rPr>
              <w:t>5</w:t>
            </w:r>
            <w:r w:rsidRPr="00582A68">
              <w:rPr>
                <w:rFonts w:ascii="Segoe UI" w:eastAsia="Times New Roman" w:hAnsi="Segoe UI" w:cs="Segoe UI"/>
                <w:b/>
                <w:bCs/>
                <w:i/>
                <w:color w:val="000000" w:themeColor="text1"/>
                <w:kern w:val="24"/>
                <w:sz w:val="14"/>
                <w:szCs w:val="16"/>
                <w:lang w:eastAsia="el-GR"/>
              </w:rPr>
              <w:t>%</w:t>
            </w:r>
          </w:p>
        </w:tc>
      </w:tr>
    </w:tbl>
    <w:p w:rsidR="00E55AED" w:rsidRPr="00907DAB" w:rsidRDefault="00C00739" w:rsidP="00FE5147">
      <w:pPr>
        <w:jc w:val="both"/>
        <w:textAlignment w:val="baseline"/>
        <w:rPr>
          <w:rFonts w:ascii="Segoe UI" w:hAnsi="Segoe UI" w:cs="Segoe UI"/>
          <w:color w:val="000000" w:themeColor="text1"/>
          <w:kern w:val="24"/>
          <w:sz w:val="8"/>
          <w:szCs w:val="10"/>
        </w:rPr>
      </w:pPr>
      <w:r w:rsidRPr="00C00739">
        <w:rPr>
          <w:rFonts w:ascii="Segoe UI" w:hAnsi="Segoe UI" w:cs="Segoe UI"/>
          <w:b/>
          <w:noProof/>
          <w:sz w:val="18"/>
          <w:szCs w:val="20"/>
          <w:lang w:eastAsia="el-GR"/>
        </w:rPr>
        <w:pict>
          <v:rect id="Rectangle 4" o:spid="_x0000_s1032" style="position:absolute;left:0;text-align:left;margin-left:-3.45pt;margin-top:20.7pt;width:269pt;height:25.95pt;z-index:251654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" filled="f" stroked="f">
            <v:path arrowok="t"/>
            <o:lock v:ext="edit" grouping="t"/>
            <v:textbox inset="1.2699mm,1.2699mm,1.2699mm,1.2699mm">
              <w:txbxContent>
                <w:p w:rsidR="003B131A" w:rsidRPr="00053193" w:rsidRDefault="003B131A" w:rsidP="0044756B">
                  <w:pPr>
                    <w:kinsoku w:val="0"/>
                    <w:overflowPunct w:val="0"/>
                    <w:spacing w:before="40"/>
                    <w:ind w:left="547" w:hanging="547"/>
                    <w:textAlignment w:val="baseline"/>
                    <w:rPr>
                      <w:rFonts w:ascii="Segoe UI" w:eastAsia="Segoe UI" w:hAnsi="Segoe UI" w:cs="Segoe UI"/>
                      <w:b/>
                      <w:color w:val="008080"/>
                      <w:kern w:val="24"/>
                      <w:sz w:val="16"/>
                    </w:rPr>
                  </w:pPr>
                  <w:r>
                    <w:rPr>
                      <w:rFonts w:ascii="Segoe UI" w:eastAsia="Segoe UI" w:hAnsi="Segoe UI" w:cs="Segoe UI"/>
                      <w:b/>
                      <w:color w:val="008080"/>
                      <w:kern w:val="24"/>
                      <w:sz w:val="20"/>
                    </w:rPr>
                    <w:t>Κατάσταση</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Χρηματοοικονομικής Θέσης</w:t>
                  </w:r>
                  <w:r w:rsidRPr="0044756B">
                    <w:rPr>
                      <w:rFonts w:ascii="Segoe UI" w:eastAsia="Segoe UI" w:hAnsi="Segoe UI" w:cs="Segoe UI"/>
                      <w:b/>
                      <w:color w:val="008080"/>
                      <w:kern w:val="24"/>
                      <w:sz w:val="20"/>
                      <w:vertAlign w:val="superscript"/>
                      <w:lang w:val="en-US"/>
                    </w:rPr>
                    <w:t>1</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Όμιλος</w:t>
                  </w:r>
                </w:p>
                <w:p w:rsidR="003B131A" w:rsidRPr="00D46FEC" w:rsidRDefault="003B131A" w:rsidP="00E55AED">
                  <w:pPr>
                    <w:kinsoku w:val="0"/>
                    <w:overflowPunct w:val="0"/>
                    <w:spacing w:before="40"/>
                    <w:ind w:left="547" w:hanging="547"/>
                    <w:textAlignment w:val="baseline"/>
                    <w:rPr>
                      <w:rFonts w:ascii="Segoe UI" w:eastAsia="Segoe UI" w:hAnsi="Segoe UI" w:cs="Segoe UI"/>
                      <w:b/>
                      <w:color w:val="008080"/>
                      <w:kern w:val="24"/>
                      <w:sz w:val="16"/>
                    </w:rPr>
                  </w:pPr>
                </w:p>
                <w:p w:rsidR="003B131A" w:rsidRPr="00D46FEC" w:rsidRDefault="003B131A" w:rsidP="00E55AED">
                  <w:pPr>
                    <w:kinsoku w:val="0"/>
                    <w:overflowPunct w:val="0"/>
                    <w:spacing w:before="40"/>
                    <w:ind w:left="547" w:hanging="547"/>
                    <w:textAlignment w:val="baseline"/>
                    <w:rPr>
                      <w:rFonts w:ascii="Segoe UI" w:eastAsia="Segoe UI" w:hAnsi="Segoe UI" w:cs="Segoe UI"/>
                      <w:b/>
                      <w:color w:val="008080"/>
                      <w:kern w:val="24"/>
                      <w:sz w:val="16"/>
                    </w:rPr>
                  </w:pPr>
                </w:p>
                <w:p w:rsidR="003B131A" w:rsidRPr="00FE1137" w:rsidRDefault="003B131A" w:rsidP="00E55AED">
                  <w:pPr>
                    <w:kinsoku w:val="0"/>
                    <w:overflowPunct w:val="0"/>
                    <w:spacing w:before="40"/>
                    <w:ind w:left="547" w:hanging="547"/>
                    <w:textAlignment w:val="baseline"/>
                    <w:rPr>
                      <w:b/>
                      <w:color w:val="008080"/>
                      <w:sz w:val="16"/>
                    </w:rPr>
                  </w:pPr>
                </w:p>
              </w:txbxContent>
            </v:textbox>
          </v:rect>
        </w:pict>
      </w:r>
      <w:r w:rsidR="006313CE">
        <w:rPr>
          <w:rFonts w:ascii="Segoe UI" w:hAnsi="Segoe UI" w:cs="Segoe UI"/>
          <w:color w:val="000000" w:themeColor="text1"/>
          <w:kern w:val="24"/>
          <w:sz w:val="8"/>
          <w:szCs w:val="10"/>
          <w:vertAlign w:val="superscript"/>
        </w:rPr>
        <w:t xml:space="preserve">1 </w:t>
      </w:r>
      <w:r w:rsidR="005748DD" w:rsidRPr="005748DD">
        <w:rPr>
          <w:rFonts w:ascii="Segoe UI" w:hAnsi="Segoe UI" w:cs="Segoe UI"/>
          <w:color w:val="000000" w:themeColor="text1"/>
          <w:kern w:val="24"/>
          <w:sz w:val="8"/>
          <w:szCs w:val="10"/>
        </w:rPr>
        <w:t>Περιλαμβάνουν μη επαναλαμβανόμενα κέρδη σχετιζόμενα</w:t>
      </w:r>
      <w:r w:rsidR="0020487F">
        <w:rPr>
          <w:rFonts w:ascii="Segoe UI" w:hAnsi="Segoe UI" w:cs="Segoe UI"/>
          <w:color w:val="000000" w:themeColor="text1"/>
          <w:kern w:val="24"/>
          <w:sz w:val="8"/>
          <w:szCs w:val="10"/>
        </w:rPr>
        <w:t xml:space="preserve"> </w:t>
      </w:r>
      <w:r w:rsidR="0020487F" w:rsidRPr="005748DD">
        <w:rPr>
          <w:rFonts w:ascii="Segoe UI" w:hAnsi="Segoe UI" w:cs="Segoe UI"/>
          <w:color w:val="000000" w:themeColor="text1"/>
          <w:kern w:val="24"/>
          <w:sz w:val="8"/>
          <w:szCs w:val="10"/>
        </w:rPr>
        <w:t xml:space="preserve">με </w:t>
      </w:r>
      <w:r w:rsidR="0020487F">
        <w:rPr>
          <w:rFonts w:ascii="Segoe UI" w:hAnsi="Segoe UI" w:cs="Segoe UI"/>
          <w:color w:val="000000" w:themeColor="text1"/>
          <w:kern w:val="24"/>
          <w:sz w:val="8"/>
          <w:szCs w:val="10"/>
        </w:rPr>
        <w:t>(α)</w:t>
      </w:r>
      <w:r w:rsidR="005748DD" w:rsidRPr="005748DD">
        <w:rPr>
          <w:rFonts w:ascii="Segoe UI" w:hAnsi="Segoe UI" w:cs="Segoe UI"/>
          <w:color w:val="000000" w:themeColor="text1"/>
          <w:kern w:val="24"/>
          <w:sz w:val="8"/>
          <w:szCs w:val="10"/>
        </w:rPr>
        <w:t xml:space="preserve"> </w:t>
      </w:r>
      <w:r w:rsidR="00676B25" w:rsidRPr="0020487F">
        <w:rPr>
          <w:rFonts w:ascii="Segoe UI" w:hAnsi="Segoe UI" w:cs="Segoe UI"/>
          <w:color w:val="000000" w:themeColor="text1"/>
          <w:kern w:val="24"/>
          <w:sz w:val="8"/>
          <w:szCs w:val="10"/>
        </w:rPr>
        <w:t>τη</w:t>
      </w:r>
      <w:r w:rsidR="00676B25">
        <w:rPr>
          <w:rFonts w:ascii="Segoe UI" w:hAnsi="Segoe UI" w:cs="Segoe UI"/>
          <w:color w:val="000000" w:themeColor="text1"/>
          <w:kern w:val="24"/>
          <w:sz w:val="8"/>
          <w:szCs w:val="10"/>
        </w:rPr>
        <w:t>ν</w:t>
      </w:r>
      <w:r w:rsidR="00676B25" w:rsidRPr="0020487F">
        <w:rPr>
          <w:rFonts w:ascii="Segoe UI" w:hAnsi="Segoe UI" w:cs="Segoe UI"/>
          <w:color w:val="000000" w:themeColor="text1"/>
          <w:kern w:val="24"/>
          <w:sz w:val="8"/>
          <w:szCs w:val="10"/>
        </w:rPr>
        <w:t xml:space="preserve"> ανταλλαγή τριών υφιστάμενων ΟΕΔ που κατείχε η ΕΤΕ με ένα νέο ΟΕΔ </w:t>
      </w:r>
      <w:r w:rsidR="00676B25">
        <w:rPr>
          <w:rFonts w:ascii="Segoe UI" w:hAnsi="Segoe UI" w:cs="Segoe UI"/>
          <w:color w:val="000000" w:themeColor="text1"/>
          <w:kern w:val="24"/>
          <w:sz w:val="8"/>
          <w:szCs w:val="10"/>
        </w:rPr>
        <w:t xml:space="preserve">ύψους €515 εκατ. και την πώληση ΟΕΔ στο </w:t>
      </w:r>
      <w:r w:rsidR="00676B25" w:rsidRPr="006B19F6">
        <w:rPr>
          <w:rFonts w:ascii="Segoe UI" w:hAnsi="Segoe UI" w:cs="Segoe UI"/>
          <w:color w:val="000000" w:themeColor="text1"/>
          <w:kern w:val="24"/>
          <w:sz w:val="8"/>
          <w:szCs w:val="10"/>
        </w:rPr>
        <w:t>χαρτοφυλάκιο «διακρατούμενων για την είσπραξη συμβατικών ταμειακών ροών και για ενδεχόμενη πώληση» (HTCS)</w:t>
      </w:r>
      <w:r w:rsidR="00676B25">
        <w:rPr>
          <w:rFonts w:ascii="Segoe UI" w:hAnsi="Segoe UI" w:cs="Segoe UI"/>
          <w:color w:val="000000" w:themeColor="text1"/>
          <w:kern w:val="24"/>
          <w:sz w:val="8"/>
          <w:szCs w:val="10"/>
        </w:rPr>
        <w:t xml:space="preserve"> </w:t>
      </w:r>
      <w:r w:rsidR="00676B25" w:rsidRPr="007F54DF">
        <w:rPr>
          <w:rFonts w:ascii="Segoe UI" w:hAnsi="Segoe UI" w:cs="Segoe UI"/>
          <w:color w:val="000000" w:themeColor="text1"/>
          <w:kern w:val="24"/>
          <w:sz w:val="8"/>
          <w:szCs w:val="10"/>
        </w:rPr>
        <w:t xml:space="preserve">ύψους </w:t>
      </w:r>
      <w:r w:rsidR="00676B25">
        <w:rPr>
          <w:rFonts w:ascii="Segoe UI" w:hAnsi="Segoe UI" w:cs="Segoe UI"/>
          <w:color w:val="000000" w:themeColor="text1"/>
          <w:kern w:val="24"/>
          <w:sz w:val="8"/>
          <w:szCs w:val="10"/>
        </w:rPr>
        <w:t>€26</w:t>
      </w:r>
      <w:r w:rsidR="00676B25" w:rsidRPr="00D537BD">
        <w:rPr>
          <w:rFonts w:ascii="Segoe UI" w:hAnsi="Segoe UI" w:cs="Segoe UI"/>
          <w:color w:val="000000" w:themeColor="text1"/>
          <w:kern w:val="24"/>
          <w:sz w:val="8"/>
          <w:szCs w:val="10"/>
        </w:rPr>
        <w:t>4</w:t>
      </w:r>
      <w:r w:rsidR="00676B25">
        <w:rPr>
          <w:rFonts w:ascii="Segoe UI" w:hAnsi="Segoe UI" w:cs="Segoe UI"/>
          <w:color w:val="000000" w:themeColor="text1"/>
          <w:kern w:val="24"/>
          <w:sz w:val="8"/>
          <w:szCs w:val="10"/>
        </w:rPr>
        <w:t xml:space="preserve"> εκατ. το Α΄ </w:t>
      </w:r>
      <w:r w:rsidR="000B6DAB">
        <w:rPr>
          <w:rFonts w:ascii="Segoe UI" w:hAnsi="Segoe UI" w:cs="Segoe UI"/>
          <w:color w:val="000000" w:themeColor="text1"/>
          <w:kern w:val="24"/>
          <w:sz w:val="8"/>
          <w:szCs w:val="10"/>
        </w:rPr>
        <w:t>τρίμηνο</w:t>
      </w:r>
      <w:r w:rsidR="00676B25" w:rsidRPr="00FE5147">
        <w:rPr>
          <w:rFonts w:ascii="Segoe UI" w:hAnsi="Segoe UI" w:cs="Segoe UI"/>
          <w:color w:val="000000" w:themeColor="text1"/>
          <w:kern w:val="24"/>
          <w:sz w:val="8"/>
          <w:szCs w:val="10"/>
        </w:rPr>
        <w:t xml:space="preserve"> </w:t>
      </w:r>
      <w:r w:rsidR="00676B25">
        <w:rPr>
          <w:rFonts w:ascii="Segoe UI" w:hAnsi="Segoe UI" w:cs="Segoe UI"/>
          <w:color w:val="000000" w:themeColor="text1"/>
          <w:kern w:val="24"/>
          <w:sz w:val="8"/>
          <w:szCs w:val="10"/>
        </w:rPr>
        <w:t xml:space="preserve">2020 </w:t>
      </w:r>
      <w:r w:rsidR="0020487F">
        <w:rPr>
          <w:rFonts w:ascii="Segoe UI" w:hAnsi="Segoe UI" w:cs="Segoe UI"/>
          <w:color w:val="000000" w:themeColor="text1"/>
          <w:kern w:val="24"/>
          <w:sz w:val="8"/>
          <w:szCs w:val="10"/>
        </w:rPr>
        <w:t xml:space="preserve">και (β) </w:t>
      </w:r>
      <w:r w:rsidR="00676B25" w:rsidRPr="005748DD">
        <w:rPr>
          <w:rFonts w:ascii="Segoe UI" w:hAnsi="Segoe UI" w:cs="Segoe UI"/>
          <w:color w:val="000000" w:themeColor="text1"/>
          <w:kern w:val="24"/>
          <w:sz w:val="8"/>
          <w:szCs w:val="10"/>
        </w:rPr>
        <w:t>την αντικατάσταση της Συμφωνίας Ανταλλαγής Επιτοκίων με Ο</w:t>
      </w:r>
      <w:r w:rsidR="00676B25">
        <w:rPr>
          <w:rFonts w:ascii="Segoe UI" w:hAnsi="Segoe UI" w:cs="Segoe UI"/>
          <w:color w:val="000000" w:themeColor="text1"/>
          <w:kern w:val="24"/>
          <w:sz w:val="8"/>
          <w:szCs w:val="10"/>
        </w:rPr>
        <w:t xml:space="preserve">ΕΔ ύψους </w:t>
      </w:r>
      <w:r w:rsidR="00676B25" w:rsidRPr="005748DD">
        <w:rPr>
          <w:rFonts w:ascii="Segoe UI" w:hAnsi="Segoe UI" w:cs="Segoe UI"/>
          <w:color w:val="000000" w:themeColor="text1"/>
          <w:kern w:val="24"/>
          <w:sz w:val="8"/>
          <w:szCs w:val="10"/>
        </w:rPr>
        <w:t>€65 εκατ.</w:t>
      </w:r>
      <w:r w:rsidR="00676B25">
        <w:rPr>
          <w:rFonts w:ascii="Segoe UI" w:hAnsi="Segoe UI" w:cs="Segoe UI"/>
          <w:color w:val="000000" w:themeColor="text1"/>
          <w:kern w:val="24"/>
          <w:sz w:val="8"/>
          <w:szCs w:val="10"/>
        </w:rPr>
        <w:t xml:space="preserve"> </w:t>
      </w:r>
      <w:r w:rsidR="00C64509" w:rsidRPr="00C64509">
        <w:rPr>
          <w:rFonts w:ascii="Segoe UI" w:hAnsi="Segoe UI" w:cs="Segoe UI"/>
          <w:color w:val="000000" w:themeColor="text1"/>
          <w:kern w:val="24"/>
          <w:sz w:val="8"/>
          <w:szCs w:val="10"/>
        </w:rPr>
        <w:t xml:space="preserve">Α’ </w:t>
      </w:r>
      <w:r w:rsidR="00C64509">
        <w:rPr>
          <w:rFonts w:ascii="Segoe UI" w:hAnsi="Segoe UI" w:cs="Segoe UI"/>
          <w:color w:val="000000" w:themeColor="text1"/>
          <w:kern w:val="24"/>
          <w:sz w:val="8"/>
          <w:szCs w:val="10"/>
        </w:rPr>
        <w:t>τρίμηνο</w:t>
      </w:r>
      <w:r w:rsidR="00C64509" w:rsidRPr="00C64509">
        <w:rPr>
          <w:rFonts w:ascii="Segoe UI" w:hAnsi="Segoe UI" w:cs="Segoe UI"/>
          <w:color w:val="000000" w:themeColor="text1"/>
          <w:kern w:val="24"/>
          <w:sz w:val="8"/>
          <w:szCs w:val="10"/>
        </w:rPr>
        <w:t xml:space="preserve"> 2019 </w:t>
      </w:r>
      <w:r w:rsidR="00676B25">
        <w:rPr>
          <w:rFonts w:ascii="Segoe UI" w:hAnsi="Segoe UI" w:cs="Segoe UI"/>
          <w:color w:val="000000" w:themeColor="text1"/>
          <w:kern w:val="24"/>
          <w:sz w:val="8"/>
          <w:szCs w:val="10"/>
        </w:rPr>
        <w:t>και την</w:t>
      </w:r>
      <w:r w:rsidR="00676B25" w:rsidRPr="00FE5147">
        <w:rPr>
          <w:rFonts w:ascii="Segoe UI" w:hAnsi="Segoe UI" w:cs="Segoe UI"/>
          <w:color w:val="000000" w:themeColor="text1"/>
          <w:kern w:val="24"/>
          <w:sz w:val="8"/>
          <w:szCs w:val="10"/>
        </w:rPr>
        <w:t xml:space="preserve"> πώληση τ</w:t>
      </w:r>
      <w:r w:rsidR="00676B25">
        <w:rPr>
          <w:rFonts w:ascii="Segoe UI" w:hAnsi="Segoe UI" w:cs="Segoe UI"/>
          <w:color w:val="000000" w:themeColor="text1"/>
          <w:kern w:val="24"/>
          <w:sz w:val="8"/>
          <w:szCs w:val="10"/>
        </w:rPr>
        <w:t xml:space="preserve">ου ξενοδοχείου “Grand Hotel” ύψους </w:t>
      </w:r>
      <w:r w:rsidR="00676B25" w:rsidRPr="00FE5147">
        <w:rPr>
          <w:rFonts w:ascii="Segoe UI" w:hAnsi="Segoe UI" w:cs="Segoe UI"/>
          <w:color w:val="000000" w:themeColor="text1"/>
          <w:kern w:val="24"/>
          <w:sz w:val="8"/>
          <w:szCs w:val="10"/>
        </w:rPr>
        <w:t xml:space="preserve">€30 εκατ. </w:t>
      </w:r>
      <w:r w:rsidR="00676B25">
        <w:rPr>
          <w:rFonts w:ascii="Segoe UI" w:hAnsi="Segoe UI" w:cs="Segoe UI"/>
          <w:color w:val="000000" w:themeColor="text1"/>
          <w:kern w:val="24"/>
          <w:sz w:val="8"/>
          <w:szCs w:val="10"/>
        </w:rPr>
        <w:t xml:space="preserve">το </w:t>
      </w:r>
      <w:r w:rsidR="00C64509">
        <w:rPr>
          <w:rFonts w:ascii="Segoe UI" w:hAnsi="Segoe UI" w:cs="Segoe UI"/>
          <w:color w:val="000000" w:themeColor="text1"/>
          <w:kern w:val="24"/>
          <w:sz w:val="8"/>
          <w:szCs w:val="10"/>
        </w:rPr>
        <w:t>Β</w:t>
      </w:r>
      <w:r w:rsidR="00676B25">
        <w:rPr>
          <w:rFonts w:ascii="Segoe UI" w:hAnsi="Segoe UI" w:cs="Segoe UI"/>
          <w:color w:val="000000" w:themeColor="text1"/>
          <w:kern w:val="24"/>
          <w:sz w:val="8"/>
          <w:szCs w:val="10"/>
        </w:rPr>
        <w:t xml:space="preserve">’ </w:t>
      </w:r>
      <w:r w:rsidR="00C64509" w:rsidRPr="00C64509">
        <w:rPr>
          <w:rFonts w:ascii="Segoe UI" w:hAnsi="Segoe UI" w:cs="Segoe UI"/>
          <w:color w:val="000000" w:themeColor="text1"/>
          <w:kern w:val="24"/>
          <w:sz w:val="8"/>
          <w:szCs w:val="10"/>
        </w:rPr>
        <w:t xml:space="preserve">τρίμηνο </w:t>
      </w:r>
      <w:r w:rsidR="00676B25">
        <w:rPr>
          <w:rFonts w:ascii="Segoe UI" w:hAnsi="Segoe UI" w:cs="Segoe UI"/>
          <w:color w:val="000000" w:themeColor="text1"/>
          <w:kern w:val="24"/>
          <w:sz w:val="8"/>
          <w:szCs w:val="10"/>
        </w:rPr>
        <w:t>2019</w:t>
      </w:r>
      <w:r w:rsidR="00676B25" w:rsidRPr="009F27D9">
        <w:rPr>
          <w:rFonts w:ascii="Segoe UI" w:hAnsi="Segoe UI" w:cs="Segoe UI"/>
          <w:color w:val="000000" w:themeColor="text1"/>
          <w:kern w:val="24"/>
          <w:sz w:val="8"/>
          <w:szCs w:val="10"/>
        </w:rPr>
        <w:t xml:space="preserve"> </w:t>
      </w:r>
      <w:r w:rsidR="005748DD">
        <w:rPr>
          <w:rFonts w:ascii="Segoe UI" w:hAnsi="Segoe UI" w:cs="Segoe UI"/>
          <w:color w:val="000000" w:themeColor="text1"/>
          <w:kern w:val="24"/>
          <w:sz w:val="8"/>
          <w:szCs w:val="10"/>
        </w:rPr>
        <w:t>/</w:t>
      </w:r>
      <w:r w:rsidR="006313CE">
        <w:rPr>
          <w:rFonts w:ascii="Segoe UI" w:hAnsi="Segoe UI" w:cs="Segoe UI"/>
          <w:color w:val="000000" w:themeColor="text1"/>
          <w:kern w:val="24"/>
          <w:sz w:val="8"/>
          <w:szCs w:val="10"/>
        </w:rPr>
        <w:t xml:space="preserve"> </w:t>
      </w:r>
      <w:r w:rsidR="006313CE" w:rsidRPr="006313CE">
        <w:rPr>
          <w:rFonts w:ascii="Segoe UI" w:hAnsi="Segoe UI" w:cs="Segoe UI"/>
          <w:color w:val="000000" w:themeColor="text1"/>
          <w:kern w:val="24"/>
          <w:sz w:val="8"/>
          <w:szCs w:val="10"/>
          <w:vertAlign w:val="superscript"/>
        </w:rPr>
        <w:t>2</w:t>
      </w:r>
      <w:r w:rsidR="00924835">
        <w:rPr>
          <w:rFonts w:ascii="Segoe UI" w:hAnsi="Segoe UI" w:cs="Segoe UI"/>
          <w:color w:val="000000" w:themeColor="text1"/>
          <w:kern w:val="24"/>
          <w:sz w:val="8"/>
          <w:szCs w:val="10"/>
          <w:vertAlign w:val="superscript"/>
        </w:rPr>
        <w:t xml:space="preserve"> </w:t>
      </w:r>
      <w:r w:rsidR="006313CE" w:rsidRPr="006313CE">
        <w:rPr>
          <w:rFonts w:ascii="Segoe UI" w:hAnsi="Segoe UI" w:cs="Segoe UI"/>
          <w:color w:val="000000" w:themeColor="text1"/>
          <w:kern w:val="24"/>
          <w:sz w:val="8"/>
          <w:szCs w:val="10"/>
        </w:rPr>
        <w:t xml:space="preserve">Εξαιρούν </w:t>
      </w:r>
      <w:r w:rsidR="00286F74">
        <w:rPr>
          <w:rFonts w:ascii="Segoe UI" w:hAnsi="Segoe UI" w:cs="Segoe UI"/>
          <w:color w:val="000000" w:themeColor="text1"/>
          <w:kern w:val="24"/>
          <w:sz w:val="8"/>
          <w:szCs w:val="10"/>
        </w:rPr>
        <w:t>τα έ</w:t>
      </w:r>
      <w:r w:rsidR="00286F74" w:rsidRPr="00286F74">
        <w:rPr>
          <w:rFonts w:ascii="Segoe UI" w:hAnsi="Segoe UI" w:cs="Segoe UI"/>
          <w:color w:val="000000" w:themeColor="text1"/>
          <w:kern w:val="24"/>
          <w:sz w:val="8"/>
          <w:szCs w:val="10"/>
        </w:rPr>
        <w:t>σοδα από χρηματοοικονομικές πράξεις και λοιπά έσοδα</w:t>
      </w:r>
      <w:r w:rsidR="008F40B2">
        <w:rPr>
          <w:rFonts w:ascii="Segoe UI" w:hAnsi="Segoe UI" w:cs="Segoe UI"/>
          <w:color w:val="000000" w:themeColor="text1"/>
          <w:kern w:val="24"/>
          <w:sz w:val="8"/>
          <w:szCs w:val="10"/>
        </w:rPr>
        <w:t xml:space="preserve"> </w:t>
      </w:r>
      <w:r w:rsidR="00F2105E">
        <w:rPr>
          <w:rFonts w:ascii="Segoe UI" w:hAnsi="Segoe UI" w:cs="Segoe UI"/>
          <w:color w:val="000000" w:themeColor="text1"/>
          <w:kern w:val="24"/>
          <w:sz w:val="8"/>
          <w:szCs w:val="10"/>
        </w:rPr>
        <w:t>και τ</w:t>
      </w:r>
      <w:r w:rsidR="006313CE" w:rsidRPr="006313CE">
        <w:rPr>
          <w:rFonts w:ascii="Segoe UI" w:hAnsi="Segoe UI" w:cs="Segoe UI"/>
          <w:color w:val="000000" w:themeColor="text1"/>
          <w:kern w:val="24"/>
          <w:sz w:val="8"/>
          <w:szCs w:val="10"/>
        </w:rPr>
        <w:t xml:space="preserve">ις προβλέψεις </w:t>
      </w:r>
      <w:r w:rsidR="00467E58" w:rsidRPr="006313CE">
        <w:rPr>
          <w:rFonts w:ascii="Segoe UI" w:hAnsi="Segoe UI" w:cs="Segoe UI"/>
          <w:color w:val="000000" w:themeColor="text1"/>
          <w:kern w:val="24"/>
          <w:sz w:val="8"/>
          <w:szCs w:val="10"/>
        </w:rPr>
        <w:t xml:space="preserve">σχετιζόμενες με την πανδημία του κορωνοϊού </w:t>
      </w:r>
      <w:r w:rsidR="006313CE" w:rsidRPr="006313CE">
        <w:rPr>
          <w:rFonts w:ascii="Segoe UI" w:hAnsi="Segoe UI" w:cs="Segoe UI"/>
          <w:color w:val="000000" w:themeColor="text1"/>
          <w:kern w:val="24"/>
          <w:sz w:val="8"/>
          <w:szCs w:val="10"/>
        </w:rPr>
        <w:t xml:space="preserve">ύψους €416 εκατ. </w:t>
      </w:r>
      <w:r w:rsidR="00D80DC8">
        <w:rPr>
          <w:rFonts w:ascii="Segoe UI" w:hAnsi="Segoe UI" w:cs="Segoe UI"/>
          <w:color w:val="000000" w:themeColor="text1"/>
          <w:kern w:val="24"/>
          <w:sz w:val="8"/>
          <w:szCs w:val="10"/>
        </w:rPr>
        <w:t>το Α’ τρίμηνο 2020</w:t>
      </w:r>
      <w:r w:rsidR="00951E6F">
        <w:rPr>
          <w:rFonts w:ascii="Segoe UI" w:hAnsi="Segoe UI" w:cs="Segoe UI"/>
          <w:color w:val="000000" w:themeColor="text1"/>
          <w:kern w:val="24"/>
          <w:sz w:val="8"/>
          <w:szCs w:val="10"/>
        </w:rPr>
        <w:t xml:space="preserve"> </w:t>
      </w:r>
      <w:r w:rsidR="00467E58">
        <w:rPr>
          <w:rFonts w:ascii="Segoe UI" w:hAnsi="Segoe UI" w:cs="Segoe UI"/>
          <w:color w:val="000000" w:themeColor="text1"/>
          <w:kern w:val="24"/>
          <w:sz w:val="8"/>
          <w:szCs w:val="10"/>
        </w:rPr>
        <w:t xml:space="preserve">και €10 εκατ. το Β’ τρίμηνο 2020 </w:t>
      </w:r>
      <w:r w:rsidR="006313CE">
        <w:rPr>
          <w:rFonts w:ascii="Segoe UI" w:hAnsi="Segoe UI" w:cs="Segoe UI"/>
          <w:color w:val="000000" w:themeColor="text1"/>
          <w:kern w:val="24"/>
          <w:sz w:val="8"/>
          <w:szCs w:val="10"/>
        </w:rPr>
        <w:t>/</w:t>
      </w:r>
      <w:r w:rsidR="00125A73">
        <w:rPr>
          <w:rFonts w:ascii="Segoe UI" w:hAnsi="Segoe UI" w:cs="Segoe UI"/>
          <w:color w:val="000000" w:themeColor="text1"/>
          <w:kern w:val="24"/>
          <w:sz w:val="8"/>
          <w:szCs w:val="10"/>
        </w:rPr>
        <w:t xml:space="preserve"> </w:t>
      </w:r>
      <w:r w:rsidR="006313CE">
        <w:rPr>
          <w:rFonts w:ascii="Segoe UI" w:hAnsi="Segoe UI" w:cs="Segoe UI"/>
          <w:color w:val="000000" w:themeColor="text1"/>
          <w:kern w:val="24"/>
          <w:sz w:val="8"/>
          <w:szCs w:val="10"/>
          <w:vertAlign w:val="superscript"/>
        </w:rPr>
        <w:t>3</w:t>
      </w:r>
      <w:r w:rsidR="00924835">
        <w:rPr>
          <w:rFonts w:ascii="Segoe UI" w:hAnsi="Segoe UI" w:cs="Segoe UI"/>
          <w:color w:val="000000" w:themeColor="text1"/>
          <w:kern w:val="24"/>
          <w:sz w:val="8"/>
          <w:szCs w:val="10"/>
          <w:vertAlign w:val="superscript"/>
        </w:rPr>
        <w:t xml:space="preserve"> </w:t>
      </w:r>
      <w:r w:rsidR="004949C1" w:rsidRPr="004949C1">
        <w:rPr>
          <w:rFonts w:ascii="Segoe UI" w:hAnsi="Segoe UI" w:cs="Segoe UI"/>
          <w:color w:val="000000" w:themeColor="text1"/>
          <w:kern w:val="24"/>
          <w:sz w:val="8"/>
          <w:szCs w:val="10"/>
        </w:rPr>
        <w:t>Κόστος Εθελουσίας Εξόδου Προσωπικού (€9</w:t>
      </w:r>
      <w:r w:rsidR="0020487F">
        <w:rPr>
          <w:rFonts w:ascii="Segoe UI" w:hAnsi="Segoe UI" w:cs="Segoe UI"/>
          <w:color w:val="000000" w:themeColor="text1"/>
          <w:kern w:val="24"/>
          <w:sz w:val="8"/>
          <w:szCs w:val="10"/>
        </w:rPr>
        <w:t>0 εκατ.), κόστη αναδιάρθρωσης (€</w:t>
      </w:r>
      <w:r w:rsidR="001233CA">
        <w:rPr>
          <w:rFonts w:ascii="Segoe UI" w:hAnsi="Segoe UI" w:cs="Segoe UI"/>
          <w:color w:val="000000" w:themeColor="text1"/>
          <w:kern w:val="24"/>
          <w:sz w:val="8"/>
          <w:szCs w:val="10"/>
        </w:rPr>
        <w:t>4</w:t>
      </w:r>
      <w:r w:rsidR="004949C1" w:rsidRPr="004949C1">
        <w:rPr>
          <w:rFonts w:ascii="Segoe UI" w:hAnsi="Segoe UI" w:cs="Segoe UI"/>
          <w:color w:val="000000" w:themeColor="text1"/>
          <w:kern w:val="24"/>
          <w:sz w:val="8"/>
          <w:szCs w:val="10"/>
        </w:rPr>
        <w:t xml:space="preserve"> εκατ.)</w:t>
      </w:r>
      <w:r w:rsidR="000201BD">
        <w:rPr>
          <w:rFonts w:ascii="Segoe UI" w:hAnsi="Segoe UI" w:cs="Segoe UI"/>
          <w:color w:val="000000" w:themeColor="text1"/>
          <w:kern w:val="24"/>
          <w:sz w:val="8"/>
          <w:szCs w:val="10"/>
        </w:rPr>
        <w:t xml:space="preserve"> </w:t>
      </w:r>
      <w:r w:rsidR="0020487F" w:rsidRPr="0020487F">
        <w:rPr>
          <w:rFonts w:ascii="Segoe UI" w:hAnsi="Segoe UI" w:cs="Segoe UI"/>
          <w:color w:val="000000" w:themeColor="text1"/>
          <w:kern w:val="24"/>
          <w:sz w:val="8"/>
          <w:szCs w:val="10"/>
        </w:rPr>
        <w:t>και λοιπές μη επαναλαμβανόμενες δαπάνες</w:t>
      </w:r>
      <w:r w:rsidR="0020487F">
        <w:rPr>
          <w:rFonts w:ascii="Segoe UI" w:hAnsi="Segoe UI" w:cs="Segoe UI"/>
          <w:color w:val="000000" w:themeColor="text1"/>
          <w:kern w:val="24"/>
          <w:sz w:val="8"/>
          <w:szCs w:val="10"/>
        </w:rPr>
        <w:t xml:space="preserve"> (€</w:t>
      </w:r>
      <w:r w:rsidR="001233CA">
        <w:rPr>
          <w:rFonts w:ascii="Segoe UI" w:hAnsi="Segoe UI" w:cs="Segoe UI"/>
          <w:color w:val="000000" w:themeColor="text1"/>
          <w:kern w:val="24"/>
          <w:sz w:val="8"/>
          <w:szCs w:val="10"/>
        </w:rPr>
        <w:t>5</w:t>
      </w:r>
      <w:r w:rsidR="0020487F">
        <w:rPr>
          <w:rFonts w:ascii="Segoe UI" w:hAnsi="Segoe UI" w:cs="Segoe UI"/>
          <w:color w:val="000000" w:themeColor="text1"/>
          <w:kern w:val="24"/>
          <w:sz w:val="8"/>
          <w:szCs w:val="10"/>
        </w:rPr>
        <w:t xml:space="preserve"> εκατ.) </w:t>
      </w:r>
      <w:r w:rsidR="00BA3768">
        <w:rPr>
          <w:rFonts w:ascii="Segoe UI" w:hAnsi="Segoe UI" w:cs="Segoe UI"/>
          <w:color w:val="000000" w:themeColor="text1"/>
          <w:kern w:val="24"/>
          <w:sz w:val="8"/>
          <w:szCs w:val="10"/>
        </w:rPr>
        <w:t xml:space="preserve">για </w:t>
      </w:r>
      <w:r w:rsidR="0020487F">
        <w:rPr>
          <w:rFonts w:ascii="Segoe UI" w:hAnsi="Segoe UI" w:cs="Segoe UI"/>
          <w:color w:val="000000" w:themeColor="text1"/>
          <w:kern w:val="24"/>
          <w:sz w:val="8"/>
          <w:szCs w:val="10"/>
        </w:rPr>
        <w:t xml:space="preserve">το Α’ </w:t>
      </w:r>
      <w:r w:rsidR="003B1279">
        <w:rPr>
          <w:rFonts w:ascii="Segoe UI" w:hAnsi="Segoe UI" w:cs="Segoe UI"/>
          <w:color w:val="000000" w:themeColor="text1"/>
          <w:kern w:val="24"/>
          <w:sz w:val="8"/>
          <w:szCs w:val="10"/>
        </w:rPr>
        <w:t>εξάμηνο</w:t>
      </w:r>
      <w:r w:rsidR="0020487F">
        <w:rPr>
          <w:rFonts w:ascii="Segoe UI" w:hAnsi="Segoe UI" w:cs="Segoe UI"/>
          <w:color w:val="000000" w:themeColor="text1"/>
          <w:kern w:val="24"/>
          <w:sz w:val="8"/>
          <w:szCs w:val="10"/>
        </w:rPr>
        <w:t xml:space="preserve"> 2020</w:t>
      </w:r>
      <w:r w:rsidR="004949C1" w:rsidRPr="004949C1">
        <w:rPr>
          <w:rFonts w:ascii="Segoe UI" w:hAnsi="Segoe UI" w:cs="Segoe UI"/>
          <w:color w:val="000000" w:themeColor="text1"/>
          <w:kern w:val="24"/>
          <w:sz w:val="8"/>
          <w:szCs w:val="10"/>
        </w:rPr>
        <w:t xml:space="preserve">, </w:t>
      </w:r>
      <w:r w:rsidR="003B1279">
        <w:rPr>
          <w:rFonts w:ascii="Segoe UI" w:hAnsi="Segoe UI" w:cs="Segoe UI"/>
          <w:color w:val="000000" w:themeColor="text1"/>
          <w:kern w:val="24"/>
          <w:sz w:val="8"/>
          <w:szCs w:val="10"/>
        </w:rPr>
        <w:t xml:space="preserve">καθώς και το </w:t>
      </w:r>
      <w:r w:rsidR="00924835" w:rsidRPr="00C56174">
        <w:rPr>
          <w:rFonts w:ascii="Segoe UI" w:hAnsi="Segoe UI" w:cs="Segoe UI"/>
          <w:color w:val="000000" w:themeColor="text1"/>
          <w:kern w:val="24"/>
          <w:sz w:val="8"/>
          <w:szCs w:val="10"/>
        </w:rPr>
        <w:t xml:space="preserve">κόστος Εθελουσίας Εξόδου Προσωπικού </w:t>
      </w:r>
      <w:r w:rsidR="00924835">
        <w:rPr>
          <w:rFonts w:ascii="Segoe UI" w:hAnsi="Segoe UI" w:cs="Segoe UI"/>
          <w:color w:val="000000" w:themeColor="text1"/>
          <w:kern w:val="24"/>
          <w:sz w:val="8"/>
          <w:szCs w:val="10"/>
        </w:rPr>
        <w:t>(</w:t>
      </w:r>
      <w:r w:rsidR="00924835" w:rsidRPr="004949C1">
        <w:rPr>
          <w:rFonts w:ascii="Segoe UI" w:hAnsi="Segoe UI" w:cs="Segoe UI"/>
          <w:color w:val="000000" w:themeColor="text1"/>
          <w:kern w:val="24"/>
          <w:sz w:val="8"/>
          <w:szCs w:val="10"/>
        </w:rPr>
        <w:t>€</w:t>
      </w:r>
      <w:r w:rsidR="00924835">
        <w:rPr>
          <w:rFonts w:ascii="Segoe UI" w:hAnsi="Segoe UI" w:cs="Segoe UI"/>
          <w:color w:val="000000" w:themeColor="text1"/>
          <w:kern w:val="24"/>
          <w:sz w:val="8"/>
          <w:szCs w:val="10"/>
        </w:rPr>
        <w:t>94</w:t>
      </w:r>
      <w:r w:rsidR="00924835" w:rsidRPr="004949C1">
        <w:rPr>
          <w:rFonts w:ascii="Segoe UI" w:hAnsi="Segoe UI" w:cs="Segoe UI"/>
          <w:color w:val="000000" w:themeColor="text1"/>
          <w:kern w:val="24"/>
          <w:sz w:val="8"/>
          <w:szCs w:val="10"/>
        </w:rPr>
        <w:t xml:space="preserve"> εκατ.</w:t>
      </w:r>
      <w:r w:rsidR="00924835">
        <w:rPr>
          <w:rFonts w:ascii="Segoe UI" w:hAnsi="Segoe UI" w:cs="Segoe UI"/>
          <w:color w:val="000000" w:themeColor="text1"/>
          <w:kern w:val="24"/>
          <w:sz w:val="8"/>
          <w:szCs w:val="10"/>
        </w:rPr>
        <w:t>)</w:t>
      </w:r>
      <w:r w:rsidR="00924835" w:rsidRPr="004949C1">
        <w:rPr>
          <w:rFonts w:ascii="Segoe UI" w:hAnsi="Segoe UI" w:cs="Segoe UI"/>
          <w:color w:val="000000" w:themeColor="text1"/>
          <w:kern w:val="24"/>
          <w:sz w:val="8"/>
          <w:szCs w:val="10"/>
        </w:rPr>
        <w:t xml:space="preserve"> και κόστη αναδιάρθρωσης </w:t>
      </w:r>
      <w:r w:rsidR="00924835">
        <w:rPr>
          <w:rFonts w:ascii="Segoe UI" w:hAnsi="Segoe UI" w:cs="Segoe UI"/>
          <w:color w:val="000000" w:themeColor="text1"/>
          <w:kern w:val="24"/>
          <w:sz w:val="8"/>
          <w:szCs w:val="10"/>
        </w:rPr>
        <w:t>(</w:t>
      </w:r>
      <w:r w:rsidR="00924835" w:rsidRPr="004949C1">
        <w:rPr>
          <w:rFonts w:ascii="Segoe UI" w:hAnsi="Segoe UI" w:cs="Segoe UI"/>
          <w:color w:val="000000" w:themeColor="text1"/>
          <w:kern w:val="24"/>
          <w:sz w:val="8"/>
          <w:szCs w:val="10"/>
        </w:rPr>
        <w:t>€</w:t>
      </w:r>
      <w:r w:rsidR="003B1279">
        <w:rPr>
          <w:rFonts w:ascii="Segoe UI" w:hAnsi="Segoe UI" w:cs="Segoe UI"/>
          <w:color w:val="000000" w:themeColor="text1"/>
          <w:kern w:val="24"/>
          <w:sz w:val="8"/>
          <w:szCs w:val="10"/>
        </w:rPr>
        <w:t>11</w:t>
      </w:r>
      <w:r w:rsidR="00924835" w:rsidRPr="004949C1">
        <w:rPr>
          <w:rFonts w:ascii="Segoe UI" w:hAnsi="Segoe UI" w:cs="Segoe UI"/>
          <w:color w:val="000000" w:themeColor="text1"/>
          <w:kern w:val="24"/>
          <w:sz w:val="8"/>
          <w:szCs w:val="10"/>
        </w:rPr>
        <w:t xml:space="preserve"> εκατ.</w:t>
      </w:r>
      <w:r w:rsidR="00924835">
        <w:rPr>
          <w:rFonts w:ascii="Segoe UI" w:hAnsi="Segoe UI" w:cs="Segoe UI"/>
          <w:color w:val="000000" w:themeColor="text1"/>
          <w:kern w:val="24"/>
          <w:sz w:val="8"/>
          <w:szCs w:val="10"/>
        </w:rPr>
        <w:t>)</w:t>
      </w:r>
      <w:r w:rsidR="00924835" w:rsidRPr="004949C1">
        <w:rPr>
          <w:rFonts w:ascii="Segoe UI" w:hAnsi="Segoe UI" w:cs="Segoe UI"/>
          <w:color w:val="000000" w:themeColor="text1"/>
          <w:kern w:val="24"/>
          <w:sz w:val="8"/>
          <w:szCs w:val="10"/>
        </w:rPr>
        <w:t xml:space="preserve"> για το </w:t>
      </w:r>
      <w:r w:rsidR="00924835">
        <w:rPr>
          <w:rFonts w:ascii="Segoe UI" w:hAnsi="Segoe UI" w:cs="Segoe UI"/>
          <w:color w:val="000000" w:themeColor="text1"/>
          <w:kern w:val="24"/>
          <w:sz w:val="8"/>
          <w:szCs w:val="10"/>
        </w:rPr>
        <w:t xml:space="preserve">Α’ </w:t>
      </w:r>
      <w:r w:rsidR="003B1279">
        <w:rPr>
          <w:rFonts w:ascii="Segoe UI" w:hAnsi="Segoe UI" w:cs="Segoe UI"/>
          <w:color w:val="000000" w:themeColor="text1"/>
          <w:kern w:val="24"/>
          <w:sz w:val="8"/>
          <w:szCs w:val="10"/>
        </w:rPr>
        <w:t>εξάμηνο 2019</w:t>
      </w:r>
    </w:p>
    <w:p w:rsidR="00907DAB" w:rsidRPr="00F10BBE" w:rsidRDefault="00907DAB" w:rsidP="00BE6158">
      <w:pPr>
        <w:jc w:val="both"/>
        <w:textAlignment w:val="baseline"/>
        <w:rPr>
          <w:rFonts w:ascii="Segoe UI" w:hAnsi="Segoe UI" w:cs="Segoe UI"/>
          <w:b/>
          <w:sz w:val="10"/>
          <w:szCs w:val="10"/>
        </w:rPr>
      </w:pPr>
    </w:p>
    <w:p w:rsidR="00E55AED" w:rsidRPr="005E09DA" w:rsidRDefault="00C00739" w:rsidP="00E55AED">
      <w:pPr>
        <w:jc w:val="both"/>
        <w:rPr>
          <w:rFonts w:ascii="Segoe UI" w:hAnsi="Segoe UI" w:cs="Segoe UI"/>
          <w:b/>
          <w:sz w:val="18"/>
          <w:szCs w:val="20"/>
        </w:rPr>
      </w:pPr>
      <w:r w:rsidRPr="00C00739">
        <w:rPr>
          <w:rFonts w:ascii="Segoe UI" w:hAnsi="Segoe UI" w:cs="Segoe UI"/>
          <w:noProof/>
          <w:sz w:val="12"/>
          <w:szCs w:val="14"/>
          <w:lang w:eastAsia="el-GR"/>
        </w:rPr>
        <w:pict>
          <v:roundrect id="_x0000_s1061" style="position:absolute;left:0;text-align:left;margin-left:217.45pt;margin-top:11.55pt;width:48.2pt;height:130.35pt;z-index:2516802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" filled="f" strokecolor="#ff7415">
            <v:path arrowok="t"/>
          </v:roundrect>
        </w:pict>
      </w:r>
    </w:p>
    <w:tbl>
      <w:tblPr>
        <w:tblW w:w="5000" w:type="pct"/>
        <w:tblCellMar>
          <w:left w:w="0" w:type="dxa"/>
          <w:right w:w="0" w:type="dxa"/>
        </w:tblCellMar>
        <w:tblLook w:val="0420"/>
      </w:tblPr>
      <w:tblGrid>
        <w:gridCol w:w="4364"/>
        <w:gridCol w:w="981"/>
        <w:gridCol w:w="979"/>
        <w:gridCol w:w="979"/>
        <w:gridCol w:w="979"/>
        <w:gridCol w:w="979"/>
        <w:gridCol w:w="979"/>
      </w:tblGrid>
      <w:tr w:rsidR="00F7726A" w:rsidRPr="006B4FB1" w:rsidTr="005610B3">
        <w:trPr>
          <w:trHeight w:val="287"/>
        </w:trPr>
        <w:tc>
          <w:tcPr>
            <w:tcW w:w="2131"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F7726A" w:rsidRPr="006B4FB1" w:rsidRDefault="00F7726A" w:rsidP="00E55AED">
            <w:pPr>
              <w:spacing w:before="38"/>
              <w:textAlignment w:val="baseline"/>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εκατ.</w:t>
            </w:r>
          </w:p>
        </w:tc>
        <w:tc>
          <w:tcPr>
            <w:tcW w:w="479" w:type="pct"/>
            <w:tcBorders>
              <w:top w:val="single" w:sz="8" w:space="0" w:color="000000"/>
              <w:left w:val="nil"/>
              <w:bottom w:val="single" w:sz="8" w:space="0" w:color="000000"/>
              <w:right w:val="nil"/>
            </w:tcBorders>
          </w:tcPr>
          <w:p w:rsidR="00F7726A" w:rsidRDefault="00F7726A" w:rsidP="00C02F1B">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478" w:type="pct"/>
            <w:tcBorders>
              <w:top w:val="single" w:sz="8" w:space="0" w:color="000000"/>
              <w:left w:val="nil"/>
              <w:bottom w:val="single" w:sz="8" w:space="0" w:color="000000"/>
              <w:right w:val="nil"/>
            </w:tcBorders>
          </w:tcPr>
          <w:p w:rsidR="00F7726A" w:rsidRDefault="00F7726A" w:rsidP="00476559">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478" w:type="pct"/>
            <w:tcBorders>
              <w:top w:val="single" w:sz="8" w:space="0" w:color="000000"/>
              <w:left w:val="nil"/>
              <w:bottom w:val="single" w:sz="8" w:space="0" w:color="000000"/>
              <w:right w:val="nil"/>
            </w:tcBorders>
            <w:vAlign w:val="center"/>
          </w:tcPr>
          <w:p w:rsidR="00F7726A" w:rsidRPr="006B4FB1" w:rsidRDefault="00F7726A"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Δ‘ τρίμηνο 2019</w:t>
            </w:r>
          </w:p>
        </w:tc>
        <w:tc>
          <w:tcPr>
            <w:tcW w:w="478" w:type="pct"/>
            <w:tcBorders>
              <w:top w:val="single" w:sz="8" w:space="0" w:color="000000"/>
              <w:left w:val="nil"/>
              <w:bottom w:val="single" w:sz="8" w:space="0" w:color="000000"/>
              <w:right w:val="nil"/>
            </w:tcBorders>
            <w:vAlign w:val="center"/>
          </w:tcPr>
          <w:p w:rsidR="00F7726A" w:rsidRPr="006B4FB1" w:rsidRDefault="00F7726A"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Γ‘ τρίμηνο 2019</w:t>
            </w:r>
          </w:p>
        </w:tc>
        <w:tc>
          <w:tcPr>
            <w:tcW w:w="478" w:type="pct"/>
            <w:tcBorders>
              <w:top w:val="single" w:sz="8" w:space="0" w:color="000000"/>
              <w:left w:val="nil"/>
              <w:bottom w:val="single" w:sz="8" w:space="0" w:color="000000"/>
              <w:right w:val="nil"/>
            </w:tcBorders>
            <w:vAlign w:val="center"/>
          </w:tcPr>
          <w:p w:rsidR="00F7726A" w:rsidRPr="006B4FB1" w:rsidRDefault="00F7726A"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Β‘ τρίμηνο 2019</w:t>
            </w:r>
          </w:p>
        </w:tc>
        <w:tc>
          <w:tcPr>
            <w:tcW w:w="478" w:type="pct"/>
            <w:tcBorders>
              <w:top w:val="single" w:sz="8" w:space="0" w:color="000000"/>
              <w:left w:val="nil"/>
              <w:bottom w:val="single" w:sz="8" w:space="0" w:color="000000"/>
              <w:right w:val="nil"/>
            </w:tcBorders>
            <w:vAlign w:val="center"/>
          </w:tcPr>
          <w:p w:rsidR="00F7726A" w:rsidRPr="006B4FB1" w:rsidRDefault="00F7726A" w:rsidP="00C20AFC">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Α‘ τρίμηνο 2019</w:t>
            </w:r>
          </w:p>
        </w:tc>
      </w:tr>
      <w:tr w:rsidR="005610B3" w:rsidRPr="006B4FB1" w:rsidTr="005610B3">
        <w:trPr>
          <w:trHeight w:val="227"/>
        </w:trPr>
        <w:tc>
          <w:tcPr>
            <w:tcW w:w="2131" w:type="pct"/>
            <w:tcBorders>
              <w:top w:val="single" w:sz="8" w:space="0" w:color="000000"/>
              <w:left w:val="nil"/>
              <w:bottom w:val="nil"/>
              <w:right w:val="nil"/>
            </w:tcBorders>
            <w:shd w:val="clear" w:color="auto" w:fill="F2F2F2"/>
            <w:tcMar>
              <w:top w:w="15" w:type="dxa"/>
              <w:left w:w="42" w:type="dxa"/>
              <w:bottom w:w="0" w:type="dxa"/>
              <w:right w:w="15" w:type="dxa"/>
            </w:tcMar>
            <w:vAlign w:val="center"/>
          </w:tcPr>
          <w:p w:rsidR="005610B3" w:rsidRPr="006B4FB1" w:rsidRDefault="005610B3">
            <w:pPr>
              <w:textAlignment w:val="center"/>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xml:space="preserve">Σύνολο Ενεργητικού </w:t>
            </w:r>
          </w:p>
        </w:tc>
        <w:tc>
          <w:tcPr>
            <w:tcW w:w="479" w:type="pct"/>
            <w:tcBorders>
              <w:top w:val="single" w:sz="8" w:space="0" w:color="000000"/>
              <w:left w:val="nil"/>
              <w:bottom w:val="nil"/>
              <w:right w:val="nil"/>
            </w:tcBorders>
            <w:shd w:val="clear" w:color="auto" w:fill="F2F2F2"/>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74</w:t>
            </w:r>
            <w:r w:rsidR="00A46ABB">
              <w:rPr>
                <w:rFonts w:ascii="Segoe UI" w:eastAsia="Times New Roman" w:hAnsi="Segoe UI" w:cs="Segoe UI"/>
                <w:b/>
                <w:bCs/>
                <w:color w:val="000000" w:themeColor="text1"/>
                <w:kern w:val="24"/>
                <w:sz w:val="14"/>
                <w:szCs w:val="16"/>
                <w:lang w:eastAsia="el-GR"/>
              </w:rPr>
              <w:t>.</w:t>
            </w:r>
            <w:r w:rsidRPr="005610B3">
              <w:rPr>
                <w:rFonts w:ascii="Segoe UI" w:eastAsia="Times New Roman" w:hAnsi="Segoe UI" w:cs="Segoe UI"/>
                <w:b/>
                <w:bCs/>
                <w:color w:val="000000" w:themeColor="text1"/>
                <w:kern w:val="24"/>
                <w:sz w:val="14"/>
                <w:szCs w:val="16"/>
                <w:lang w:eastAsia="el-GR"/>
              </w:rPr>
              <w:t>160</w:t>
            </w:r>
          </w:p>
        </w:tc>
        <w:tc>
          <w:tcPr>
            <w:tcW w:w="478" w:type="pct"/>
            <w:tcBorders>
              <w:top w:val="single" w:sz="8" w:space="0" w:color="000000"/>
              <w:left w:val="nil"/>
              <w:bottom w:val="nil"/>
              <w:right w:val="nil"/>
            </w:tcBorders>
            <w:shd w:val="clear" w:color="auto" w:fill="F2F2F2"/>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69</w:t>
            </w:r>
            <w:r w:rsidR="00A46ABB">
              <w:rPr>
                <w:rFonts w:ascii="Segoe UI" w:eastAsia="Times New Roman" w:hAnsi="Segoe UI" w:cs="Segoe UI"/>
                <w:b/>
                <w:bCs/>
                <w:color w:val="000000" w:themeColor="text1"/>
                <w:kern w:val="24"/>
                <w:sz w:val="14"/>
                <w:szCs w:val="16"/>
                <w:lang w:eastAsia="el-GR"/>
              </w:rPr>
              <w:t>.</w:t>
            </w:r>
            <w:r w:rsidRPr="005610B3">
              <w:rPr>
                <w:rFonts w:ascii="Segoe UI" w:eastAsia="Times New Roman" w:hAnsi="Segoe UI" w:cs="Segoe UI"/>
                <w:b/>
                <w:bCs/>
                <w:color w:val="000000" w:themeColor="text1"/>
                <w:kern w:val="24"/>
                <w:sz w:val="14"/>
                <w:szCs w:val="16"/>
                <w:lang w:eastAsia="el-GR"/>
              </w:rPr>
              <w:t>168</w:t>
            </w:r>
          </w:p>
        </w:tc>
        <w:tc>
          <w:tcPr>
            <w:tcW w:w="478" w:type="pct"/>
            <w:tcBorders>
              <w:top w:val="single" w:sz="8" w:space="0" w:color="000000"/>
              <w:left w:val="nil"/>
              <w:bottom w:val="nil"/>
              <w:right w:val="nil"/>
            </w:tcBorders>
            <w:shd w:val="clear" w:color="auto" w:fill="F2F2F2"/>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6</w:t>
            </w:r>
            <w:r w:rsidRPr="005610B3">
              <w:rPr>
                <w:rFonts w:ascii="Segoe UI" w:eastAsia="Times New Roman" w:hAnsi="Segoe UI" w:cs="Segoe UI"/>
                <w:b/>
                <w:bCs/>
                <w:color w:val="000000" w:themeColor="text1"/>
                <w:kern w:val="24"/>
                <w:sz w:val="14"/>
                <w:szCs w:val="16"/>
                <w:lang w:val="en-US" w:eastAsia="el-GR"/>
              </w:rPr>
              <w:t>4</w:t>
            </w:r>
            <w:r w:rsidR="00A46ABB">
              <w:rPr>
                <w:rFonts w:ascii="Segoe UI" w:eastAsia="Times New Roman" w:hAnsi="Segoe UI" w:cs="Segoe UI"/>
                <w:b/>
                <w:bCs/>
                <w:color w:val="000000" w:themeColor="text1"/>
                <w:kern w:val="24"/>
                <w:sz w:val="14"/>
                <w:szCs w:val="16"/>
                <w:lang w:val="en-US" w:eastAsia="el-GR"/>
              </w:rPr>
              <w:t>.</w:t>
            </w:r>
            <w:r w:rsidRPr="005610B3">
              <w:rPr>
                <w:rFonts w:ascii="Segoe UI" w:eastAsia="Times New Roman" w:hAnsi="Segoe UI" w:cs="Segoe UI"/>
                <w:b/>
                <w:bCs/>
                <w:color w:val="000000" w:themeColor="text1"/>
                <w:kern w:val="24"/>
                <w:sz w:val="14"/>
                <w:szCs w:val="16"/>
                <w:lang w:val="en-US" w:eastAsia="el-GR"/>
              </w:rPr>
              <w:t>248</w:t>
            </w:r>
          </w:p>
        </w:tc>
        <w:tc>
          <w:tcPr>
            <w:tcW w:w="478" w:type="pct"/>
            <w:tcBorders>
              <w:top w:val="single" w:sz="8" w:space="0" w:color="000000"/>
              <w:left w:val="nil"/>
              <w:bottom w:val="nil"/>
              <w:right w:val="nil"/>
            </w:tcBorders>
            <w:shd w:val="clear" w:color="auto" w:fill="F2F2F2"/>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65</w:t>
            </w:r>
            <w:r w:rsidR="00A46ABB">
              <w:rPr>
                <w:rFonts w:ascii="Segoe UI" w:eastAsia="Times New Roman" w:hAnsi="Segoe UI" w:cs="Segoe UI"/>
                <w:b/>
                <w:bCs/>
                <w:color w:val="000000" w:themeColor="text1"/>
                <w:kern w:val="24"/>
                <w:sz w:val="14"/>
                <w:szCs w:val="16"/>
                <w:lang w:val="en-US" w:eastAsia="el-GR"/>
              </w:rPr>
              <w:t>.</w:t>
            </w:r>
            <w:r w:rsidRPr="005610B3">
              <w:rPr>
                <w:rFonts w:ascii="Segoe UI" w:eastAsia="Times New Roman" w:hAnsi="Segoe UI" w:cs="Segoe UI"/>
                <w:b/>
                <w:bCs/>
                <w:color w:val="000000" w:themeColor="text1"/>
                <w:kern w:val="24"/>
                <w:sz w:val="14"/>
                <w:szCs w:val="16"/>
                <w:lang w:eastAsia="el-GR"/>
              </w:rPr>
              <w:t>828</w:t>
            </w:r>
          </w:p>
        </w:tc>
        <w:tc>
          <w:tcPr>
            <w:tcW w:w="478" w:type="pct"/>
            <w:tcBorders>
              <w:top w:val="single" w:sz="8" w:space="0" w:color="000000"/>
              <w:left w:val="nil"/>
              <w:bottom w:val="nil"/>
              <w:right w:val="nil"/>
            </w:tcBorders>
            <w:shd w:val="clear" w:color="auto" w:fill="F2F2F2"/>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65</w:t>
            </w:r>
            <w:r w:rsidR="00A46ABB">
              <w:rPr>
                <w:rFonts w:ascii="Segoe UI" w:eastAsia="Times New Roman" w:hAnsi="Segoe UI" w:cs="Segoe UI"/>
                <w:b/>
                <w:bCs/>
                <w:color w:val="000000" w:themeColor="text1"/>
                <w:kern w:val="24"/>
                <w:sz w:val="14"/>
                <w:szCs w:val="16"/>
                <w:lang w:val="en-US" w:eastAsia="el-GR"/>
              </w:rPr>
              <w:t>.</w:t>
            </w:r>
            <w:r w:rsidRPr="005610B3">
              <w:rPr>
                <w:rFonts w:ascii="Segoe UI" w:eastAsia="Times New Roman" w:hAnsi="Segoe UI" w:cs="Segoe UI"/>
                <w:b/>
                <w:bCs/>
                <w:color w:val="000000" w:themeColor="text1"/>
                <w:kern w:val="24"/>
                <w:sz w:val="14"/>
                <w:szCs w:val="16"/>
                <w:lang w:eastAsia="el-GR"/>
              </w:rPr>
              <w:t>131</w:t>
            </w:r>
          </w:p>
        </w:tc>
        <w:tc>
          <w:tcPr>
            <w:tcW w:w="478" w:type="pct"/>
            <w:tcBorders>
              <w:top w:val="single" w:sz="8" w:space="0" w:color="000000"/>
              <w:left w:val="nil"/>
              <w:bottom w:val="nil"/>
              <w:right w:val="nil"/>
            </w:tcBorders>
            <w:shd w:val="clear" w:color="auto" w:fill="F2F2F2"/>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64</w:t>
            </w:r>
            <w:r w:rsidR="00A46ABB">
              <w:rPr>
                <w:rFonts w:ascii="Segoe UI" w:eastAsia="Times New Roman" w:hAnsi="Segoe UI" w:cs="Segoe UI"/>
                <w:b/>
                <w:bCs/>
                <w:color w:val="000000" w:themeColor="text1"/>
                <w:kern w:val="24"/>
                <w:sz w:val="14"/>
                <w:szCs w:val="16"/>
                <w:lang w:val="en-US" w:eastAsia="el-GR"/>
              </w:rPr>
              <w:t>.</w:t>
            </w:r>
            <w:r w:rsidRPr="005610B3">
              <w:rPr>
                <w:rFonts w:ascii="Segoe UI" w:eastAsia="Times New Roman" w:hAnsi="Segoe UI" w:cs="Segoe UI"/>
                <w:b/>
                <w:bCs/>
                <w:color w:val="000000" w:themeColor="text1"/>
                <w:kern w:val="24"/>
                <w:sz w:val="14"/>
                <w:szCs w:val="16"/>
                <w:lang w:eastAsia="el-GR"/>
              </w:rPr>
              <w:t>217</w:t>
            </w:r>
          </w:p>
        </w:tc>
      </w:tr>
      <w:tr w:rsidR="005610B3" w:rsidRPr="006B4FB1" w:rsidTr="005610B3">
        <w:trPr>
          <w:trHeight w:val="227"/>
        </w:trPr>
        <w:tc>
          <w:tcPr>
            <w:tcW w:w="2131" w:type="pct"/>
            <w:tcBorders>
              <w:top w:val="nil"/>
              <w:left w:val="nil"/>
              <w:bottom w:val="nil"/>
              <w:right w:val="nil"/>
            </w:tcBorders>
            <w:shd w:val="clear" w:color="auto" w:fill="auto"/>
            <w:tcMar>
              <w:top w:w="15" w:type="dxa"/>
              <w:left w:w="42" w:type="dxa"/>
              <w:bottom w:w="0" w:type="dxa"/>
              <w:right w:w="15" w:type="dxa"/>
            </w:tcMar>
            <w:vAlign w:val="center"/>
            <w:hideMark/>
          </w:tcPr>
          <w:p w:rsidR="005610B3" w:rsidRPr="006B4FB1" w:rsidRDefault="005610B3">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Δάνεια </w:t>
            </w:r>
            <w:r w:rsidRPr="006B4FB1">
              <w:rPr>
                <w:rFonts w:ascii="Segoe UI" w:eastAsia="Segoe UI" w:hAnsi="Segoe UI" w:cs="Segoe UI"/>
                <w:color w:val="000000"/>
                <w:kern w:val="24"/>
                <w:sz w:val="14"/>
                <w:szCs w:val="14"/>
                <w:lang w:val="en-US" w:eastAsia="el-GR"/>
              </w:rPr>
              <w:t>(</w:t>
            </w:r>
            <w:r w:rsidRPr="006B4FB1">
              <w:rPr>
                <w:rFonts w:ascii="Segoe UI" w:eastAsia="Segoe UI" w:hAnsi="Segoe UI" w:cs="Segoe UI"/>
                <w:color w:val="000000"/>
                <w:kern w:val="24"/>
                <w:sz w:val="14"/>
                <w:szCs w:val="14"/>
                <w:lang w:eastAsia="el-GR"/>
              </w:rPr>
              <w:t>προ προβλέψεων</w:t>
            </w:r>
            <w:r w:rsidRPr="006B4FB1">
              <w:rPr>
                <w:rFonts w:ascii="Segoe UI" w:eastAsia="Segoe UI" w:hAnsi="Segoe UI" w:cs="Segoe UI"/>
                <w:color w:val="000000"/>
                <w:kern w:val="24"/>
                <w:sz w:val="14"/>
                <w:szCs w:val="14"/>
                <w:lang w:val="en-US" w:eastAsia="el-GR"/>
              </w:rPr>
              <w:t>)</w:t>
            </w:r>
          </w:p>
        </w:tc>
        <w:tc>
          <w:tcPr>
            <w:tcW w:w="479"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34</w:t>
            </w:r>
            <w:r w:rsidR="00A46ABB">
              <w:rPr>
                <w:rFonts w:ascii="Segoe UI" w:hAnsi="Segoe UI" w:cs="Segoe UI"/>
                <w:sz w:val="14"/>
                <w:szCs w:val="16"/>
                <w:lang w:val="en-US"/>
              </w:rPr>
              <w:t>.</w:t>
            </w:r>
            <w:r w:rsidRPr="005610B3">
              <w:rPr>
                <w:rFonts w:ascii="Segoe UI" w:hAnsi="Segoe UI" w:cs="Segoe UI"/>
                <w:sz w:val="14"/>
                <w:szCs w:val="16"/>
                <w:lang w:val="en-US"/>
              </w:rPr>
              <w:t>755</w:t>
            </w:r>
          </w:p>
        </w:tc>
        <w:tc>
          <w:tcPr>
            <w:tcW w:w="478"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34</w:t>
            </w:r>
            <w:r w:rsidR="00A46ABB">
              <w:rPr>
                <w:rFonts w:ascii="Segoe UI" w:hAnsi="Segoe UI" w:cs="Segoe UI"/>
                <w:sz w:val="14"/>
                <w:szCs w:val="16"/>
                <w:lang w:val="en-US"/>
              </w:rPr>
              <w:t>.</w:t>
            </w:r>
            <w:r w:rsidRPr="005610B3">
              <w:rPr>
                <w:rFonts w:ascii="Segoe UI" w:hAnsi="Segoe UI" w:cs="Segoe UI"/>
                <w:sz w:val="14"/>
                <w:szCs w:val="16"/>
                <w:lang w:val="en-US"/>
              </w:rPr>
              <w:t xml:space="preserve">917 </w:t>
            </w:r>
          </w:p>
        </w:tc>
        <w:tc>
          <w:tcPr>
            <w:tcW w:w="478"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34</w:t>
            </w:r>
            <w:r w:rsidR="00A46ABB">
              <w:rPr>
                <w:rFonts w:ascii="Segoe UI" w:hAnsi="Segoe UI" w:cs="Segoe UI"/>
                <w:sz w:val="14"/>
                <w:szCs w:val="16"/>
                <w:lang w:val="en-US"/>
              </w:rPr>
              <w:t>.</w:t>
            </w:r>
            <w:r w:rsidRPr="005610B3">
              <w:rPr>
                <w:rFonts w:ascii="Segoe UI" w:hAnsi="Segoe UI" w:cs="Segoe UI"/>
                <w:sz w:val="14"/>
                <w:szCs w:val="16"/>
                <w:lang w:val="en-US"/>
              </w:rPr>
              <w:t xml:space="preserve">983 </w:t>
            </w:r>
          </w:p>
        </w:tc>
        <w:tc>
          <w:tcPr>
            <w:tcW w:w="478"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35</w:t>
            </w:r>
            <w:r w:rsidR="00A46ABB">
              <w:rPr>
                <w:rFonts w:ascii="Segoe UI" w:hAnsi="Segoe UI" w:cs="Segoe UI"/>
                <w:sz w:val="14"/>
                <w:szCs w:val="16"/>
                <w:lang w:val="en-US"/>
              </w:rPr>
              <w:t>.</w:t>
            </w:r>
            <w:r w:rsidRPr="005610B3">
              <w:rPr>
                <w:rFonts w:ascii="Segoe UI" w:hAnsi="Segoe UI" w:cs="Segoe UI"/>
                <w:sz w:val="14"/>
                <w:szCs w:val="16"/>
                <w:lang w:val="en-US"/>
              </w:rPr>
              <w:t xml:space="preserve">372 </w:t>
            </w:r>
          </w:p>
        </w:tc>
        <w:tc>
          <w:tcPr>
            <w:tcW w:w="478"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37</w:t>
            </w:r>
            <w:r w:rsidR="00A46ABB">
              <w:rPr>
                <w:rFonts w:ascii="Segoe UI" w:hAnsi="Segoe UI" w:cs="Segoe UI"/>
                <w:sz w:val="14"/>
                <w:szCs w:val="16"/>
                <w:lang w:val="en-US"/>
              </w:rPr>
              <w:t>.</w:t>
            </w:r>
            <w:r w:rsidRPr="005610B3">
              <w:rPr>
                <w:rFonts w:ascii="Segoe UI" w:hAnsi="Segoe UI" w:cs="Segoe UI"/>
                <w:sz w:val="14"/>
                <w:szCs w:val="16"/>
                <w:lang w:val="en-US"/>
              </w:rPr>
              <w:t>228</w:t>
            </w:r>
          </w:p>
        </w:tc>
        <w:tc>
          <w:tcPr>
            <w:tcW w:w="478"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38</w:t>
            </w:r>
            <w:r w:rsidR="00A46ABB">
              <w:rPr>
                <w:rFonts w:ascii="Segoe UI" w:hAnsi="Segoe UI" w:cs="Segoe UI"/>
                <w:sz w:val="14"/>
                <w:szCs w:val="16"/>
                <w:lang w:val="en-US"/>
              </w:rPr>
              <w:t>.</w:t>
            </w:r>
            <w:r w:rsidRPr="005610B3">
              <w:rPr>
                <w:rFonts w:ascii="Segoe UI" w:hAnsi="Segoe UI" w:cs="Segoe UI"/>
                <w:sz w:val="14"/>
                <w:szCs w:val="16"/>
                <w:lang w:val="en-US"/>
              </w:rPr>
              <w:t>537</w:t>
            </w:r>
          </w:p>
        </w:tc>
      </w:tr>
      <w:tr w:rsidR="005610B3" w:rsidRPr="006B4FB1" w:rsidTr="005610B3">
        <w:trPr>
          <w:trHeight w:val="227"/>
        </w:trPr>
        <w:tc>
          <w:tcPr>
            <w:tcW w:w="2131" w:type="pct"/>
            <w:tcBorders>
              <w:top w:val="nil"/>
              <w:left w:val="nil"/>
              <w:bottom w:val="nil"/>
              <w:right w:val="nil"/>
            </w:tcBorders>
            <w:shd w:val="clear" w:color="auto" w:fill="auto"/>
            <w:tcMar>
              <w:top w:w="15" w:type="dxa"/>
              <w:left w:w="42" w:type="dxa"/>
              <w:bottom w:w="0" w:type="dxa"/>
              <w:right w:w="15" w:type="dxa"/>
            </w:tcMar>
            <w:vAlign w:val="center"/>
            <w:hideMark/>
          </w:tcPr>
          <w:p w:rsidR="005610B3" w:rsidRPr="006B4FB1" w:rsidRDefault="005610B3">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Σωρευμένες προβλέψεις </w:t>
            </w:r>
          </w:p>
        </w:tc>
        <w:tc>
          <w:tcPr>
            <w:tcW w:w="479"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(5</w:t>
            </w:r>
            <w:r w:rsidR="00A46ABB">
              <w:rPr>
                <w:rFonts w:ascii="Segoe UI" w:hAnsi="Segoe UI" w:cs="Segoe UI"/>
                <w:sz w:val="14"/>
                <w:szCs w:val="16"/>
                <w:lang w:val="en-US"/>
              </w:rPr>
              <w:t>.</w:t>
            </w:r>
            <w:r w:rsidRPr="005610B3">
              <w:rPr>
                <w:rFonts w:ascii="Segoe UI" w:hAnsi="Segoe UI" w:cs="Segoe UI"/>
                <w:sz w:val="14"/>
                <w:szCs w:val="16"/>
                <w:lang w:val="en-US"/>
              </w:rPr>
              <w:t>864)</w:t>
            </w:r>
          </w:p>
        </w:tc>
        <w:tc>
          <w:tcPr>
            <w:tcW w:w="478"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(5</w:t>
            </w:r>
            <w:r w:rsidR="00A46ABB">
              <w:rPr>
                <w:rFonts w:ascii="Segoe UI" w:hAnsi="Segoe UI" w:cs="Segoe UI"/>
                <w:sz w:val="14"/>
                <w:szCs w:val="16"/>
                <w:lang w:val="en-US"/>
              </w:rPr>
              <w:t>.</w:t>
            </w:r>
            <w:r w:rsidRPr="005610B3">
              <w:rPr>
                <w:rFonts w:ascii="Segoe UI" w:hAnsi="Segoe UI" w:cs="Segoe UI"/>
                <w:sz w:val="14"/>
                <w:szCs w:val="16"/>
                <w:lang w:val="en-US"/>
              </w:rPr>
              <w:t>961)</w:t>
            </w:r>
          </w:p>
        </w:tc>
        <w:tc>
          <w:tcPr>
            <w:tcW w:w="478"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(5</w:t>
            </w:r>
            <w:r w:rsidR="00A46ABB">
              <w:rPr>
                <w:rFonts w:ascii="Segoe UI" w:hAnsi="Segoe UI" w:cs="Segoe UI"/>
                <w:sz w:val="14"/>
                <w:szCs w:val="16"/>
                <w:lang w:val="en-US"/>
              </w:rPr>
              <w:t>.</w:t>
            </w:r>
            <w:r w:rsidRPr="005610B3">
              <w:rPr>
                <w:rFonts w:ascii="Segoe UI" w:hAnsi="Segoe UI" w:cs="Segoe UI"/>
                <w:sz w:val="14"/>
                <w:szCs w:val="16"/>
                <w:lang w:val="en-US"/>
              </w:rPr>
              <w:t>761)</w:t>
            </w:r>
          </w:p>
        </w:tc>
        <w:tc>
          <w:tcPr>
            <w:tcW w:w="478"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(6</w:t>
            </w:r>
            <w:r w:rsidR="00A46ABB">
              <w:rPr>
                <w:rFonts w:ascii="Segoe UI" w:hAnsi="Segoe UI" w:cs="Segoe UI"/>
                <w:sz w:val="14"/>
                <w:szCs w:val="16"/>
                <w:lang w:val="en-US"/>
              </w:rPr>
              <w:t>.</w:t>
            </w:r>
            <w:r w:rsidRPr="005610B3">
              <w:rPr>
                <w:rFonts w:ascii="Segoe UI" w:hAnsi="Segoe UI" w:cs="Segoe UI"/>
                <w:sz w:val="14"/>
                <w:szCs w:val="16"/>
                <w:lang w:val="en-US"/>
              </w:rPr>
              <w:t>354)</w:t>
            </w:r>
          </w:p>
        </w:tc>
        <w:tc>
          <w:tcPr>
            <w:tcW w:w="478"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(7</w:t>
            </w:r>
            <w:r w:rsidR="00A46ABB">
              <w:rPr>
                <w:rFonts w:ascii="Segoe UI" w:hAnsi="Segoe UI" w:cs="Segoe UI"/>
                <w:sz w:val="14"/>
                <w:szCs w:val="16"/>
                <w:lang w:val="en-US"/>
              </w:rPr>
              <w:t>.</w:t>
            </w:r>
            <w:r w:rsidRPr="005610B3">
              <w:rPr>
                <w:rFonts w:ascii="Segoe UI" w:hAnsi="Segoe UI" w:cs="Segoe UI"/>
                <w:sz w:val="14"/>
                <w:szCs w:val="16"/>
                <w:lang w:val="en-US"/>
              </w:rPr>
              <w:t>378)</w:t>
            </w:r>
          </w:p>
        </w:tc>
        <w:tc>
          <w:tcPr>
            <w:tcW w:w="478"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sz w:val="14"/>
                <w:szCs w:val="16"/>
                <w:lang w:val="en-US"/>
              </w:rPr>
            </w:pPr>
            <w:r w:rsidRPr="005610B3">
              <w:rPr>
                <w:rFonts w:ascii="Segoe UI" w:hAnsi="Segoe UI" w:cs="Segoe UI"/>
                <w:sz w:val="14"/>
                <w:szCs w:val="16"/>
                <w:lang w:val="en-US"/>
              </w:rPr>
              <w:t>(8</w:t>
            </w:r>
            <w:r w:rsidR="00A46ABB">
              <w:rPr>
                <w:rFonts w:ascii="Segoe UI" w:hAnsi="Segoe UI" w:cs="Segoe UI"/>
                <w:sz w:val="14"/>
                <w:szCs w:val="16"/>
                <w:lang w:val="en-US"/>
              </w:rPr>
              <w:t>.</w:t>
            </w:r>
            <w:r w:rsidRPr="005610B3">
              <w:rPr>
                <w:rFonts w:ascii="Segoe UI" w:hAnsi="Segoe UI" w:cs="Segoe UI"/>
                <w:sz w:val="14"/>
                <w:szCs w:val="16"/>
                <w:lang w:val="en-US"/>
              </w:rPr>
              <w:t>568)</w:t>
            </w:r>
          </w:p>
        </w:tc>
      </w:tr>
      <w:tr w:rsidR="005610B3" w:rsidRPr="006B4FB1" w:rsidTr="005610B3">
        <w:trPr>
          <w:trHeight w:val="227"/>
        </w:trPr>
        <w:tc>
          <w:tcPr>
            <w:tcW w:w="2131" w:type="pct"/>
            <w:tcBorders>
              <w:top w:val="nil"/>
              <w:left w:val="nil"/>
              <w:bottom w:val="nil"/>
              <w:right w:val="nil"/>
            </w:tcBorders>
            <w:shd w:val="clear" w:color="auto" w:fill="auto"/>
            <w:tcMar>
              <w:top w:w="15" w:type="dxa"/>
              <w:left w:w="42" w:type="dxa"/>
              <w:bottom w:w="0" w:type="dxa"/>
              <w:right w:w="15" w:type="dxa"/>
            </w:tcMar>
            <w:vAlign w:val="center"/>
          </w:tcPr>
          <w:p w:rsidR="005610B3" w:rsidRPr="006B4FB1" w:rsidRDefault="005610B3" w:rsidP="009E3668">
            <w:pPr>
              <w:textAlignment w:val="center"/>
              <w:rPr>
                <w:rFonts w:ascii="Segoe UI" w:eastAsia="Segoe UI" w:hAnsi="Segoe UI" w:cs="Segoe UI"/>
                <w:b/>
                <w:color w:val="000000"/>
                <w:kern w:val="24"/>
                <w:sz w:val="14"/>
                <w:szCs w:val="14"/>
                <w:lang w:eastAsia="el-GR"/>
              </w:rPr>
            </w:pPr>
            <w:r w:rsidRPr="006B4FB1">
              <w:rPr>
                <w:rFonts w:ascii="Segoe UI" w:eastAsia="Segoe UI" w:hAnsi="Segoe UI" w:cs="Segoe UI"/>
                <w:b/>
                <w:color w:val="000000"/>
                <w:kern w:val="24"/>
                <w:sz w:val="14"/>
                <w:szCs w:val="14"/>
                <w:lang w:eastAsia="el-GR"/>
              </w:rPr>
              <w:t xml:space="preserve">Δάνεια </w:t>
            </w:r>
            <w:r w:rsidRPr="006B4FB1">
              <w:rPr>
                <w:rFonts w:ascii="Segoe UI" w:eastAsia="Segoe UI" w:hAnsi="Segoe UI" w:cs="Segoe UI"/>
                <w:b/>
                <w:color w:val="000000"/>
                <w:kern w:val="24"/>
                <w:sz w:val="14"/>
                <w:szCs w:val="14"/>
                <w:lang w:val="en-US" w:eastAsia="el-GR"/>
              </w:rPr>
              <w:t>(</w:t>
            </w:r>
            <w:r w:rsidRPr="006B4FB1">
              <w:rPr>
                <w:rFonts w:ascii="Segoe UI" w:eastAsia="Segoe UI" w:hAnsi="Segoe UI" w:cs="Segoe UI"/>
                <w:b/>
                <w:color w:val="000000"/>
                <w:kern w:val="24"/>
                <w:sz w:val="14"/>
                <w:szCs w:val="14"/>
                <w:lang w:eastAsia="el-GR"/>
              </w:rPr>
              <w:t xml:space="preserve">μετά </w:t>
            </w:r>
            <w:r w:rsidR="009E3668">
              <w:rPr>
                <w:rFonts w:ascii="Segoe UI" w:eastAsia="Segoe UI" w:hAnsi="Segoe UI" w:cs="Segoe UI"/>
                <w:b/>
                <w:color w:val="000000"/>
                <w:kern w:val="24"/>
                <w:sz w:val="14"/>
                <w:szCs w:val="14"/>
                <w:lang w:eastAsia="el-GR"/>
              </w:rPr>
              <w:t xml:space="preserve">από </w:t>
            </w:r>
            <w:r w:rsidRPr="006B4FB1">
              <w:rPr>
                <w:rFonts w:ascii="Segoe UI" w:eastAsia="Segoe UI" w:hAnsi="Segoe UI" w:cs="Segoe UI"/>
                <w:b/>
                <w:color w:val="000000"/>
                <w:kern w:val="24"/>
                <w:sz w:val="14"/>
                <w:szCs w:val="14"/>
                <w:lang w:eastAsia="el-GR"/>
              </w:rPr>
              <w:t>προβλέψε</w:t>
            </w:r>
            <w:r w:rsidR="009E3668">
              <w:rPr>
                <w:rFonts w:ascii="Segoe UI" w:eastAsia="Segoe UI" w:hAnsi="Segoe UI" w:cs="Segoe UI"/>
                <w:b/>
                <w:color w:val="000000"/>
                <w:kern w:val="24"/>
                <w:sz w:val="14"/>
                <w:szCs w:val="14"/>
                <w:lang w:eastAsia="el-GR"/>
              </w:rPr>
              <w:t>ις</w:t>
            </w:r>
            <w:r w:rsidRPr="006B4FB1">
              <w:rPr>
                <w:rFonts w:ascii="Segoe UI" w:eastAsia="Segoe UI" w:hAnsi="Segoe UI" w:cs="Segoe UI"/>
                <w:b/>
                <w:color w:val="000000"/>
                <w:kern w:val="24"/>
                <w:sz w:val="14"/>
                <w:szCs w:val="14"/>
                <w:lang w:val="en-US" w:eastAsia="el-GR"/>
              </w:rPr>
              <w:t>)</w:t>
            </w:r>
          </w:p>
        </w:tc>
        <w:tc>
          <w:tcPr>
            <w:tcW w:w="479" w:type="pct"/>
            <w:tcBorders>
              <w:top w:val="nil"/>
              <w:left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28</w:t>
            </w:r>
            <w:r w:rsidR="00A46ABB">
              <w:rPr>
                <w:rFonts w:ascii="Segoe UI" w:hAnsi="Segoe UI" w:cs="Segoe UI"/>
                <w:b/>
                <w:sz w:val="14"/>
                <w:szCs w:val="16"/>
                <w:lang w:val="en-US"/>
              </w:rPr>
              <w:t>.</w:t>
            </w:r>
            <w:r w:rsidRPr="005610B3">
              <w:rPr>
                <w:rFonts w:ascii="Segoe UI" w:hAnsi="Segoe UI" w:cs="Segoe UI"/>
                <w:b/>
                <w:sz w:val="14"/>
                <w:szCs w:val="16"/>
                <w:lang w:val="en-US"/>
              </w:rPr>
              <w:t>891</w:t>
            </w:r>
          </w:p>
        </w:tc>
        <w:tc>
          <w:tcPr>
            <w:tcW w:w="478" w:type="pct"/>
            <w:tcBorders>
              <w:top w:val="nil"/>
              <w:left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28</w:t>
            </w:r>
            <w:r w:rsidR="00A46ABB">
              <w:rPr>
                <w:rFonts w:ascii="Segoe UI" w:hAnsi="Segoe UI" w:cs="Segoe UI"/>
                <w:b/>
                <w:sz w:val="14"/>
                <w:szCs w:val="16"/>
                <w:lang w:val="en-US"/>
              </w:rPr>
              <w:t>.</w:t>
            </w:r>
            <w:r w:rsidRPr="005610B3">
              <w:rPr>
                <w:rFonts w:ascii="Segoe UI" w:hAnsi="Segoe UI" w:cs="Segoe UI"/>
                <w:b/>
                <w:sz w:val="14"/>
                <w:szCs w:val="16"/>
                <w:lang w:val="en-US"/>
              </w:rPr>
              <w:t xml:space="preserve">955 </w:t>
            </w:r>
          </w:p>
        </w:tc>
        <w:tc>
          <w:tcPr>
            <w:tcW w:w="478" w:type="pct"/>
            <w:tcBorders>
              <w:top w:val="nil"/>
              <w:left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29</w:t>
            </w:r>
            <w:r w:rsidR="00A46ABB">
              <w:rPr>
                <w:rFonts w:ascii="Segoe UI" w:hAnsi="Segoe UI" w:cs="Segoe UI"/>
                <w:b/>
                <w:sz w:val="14"/>
                <w:szCs w:val="16"/>
                <w:lang w:val="en-US"/>
              </w:rPr>
              <w:t>.</w:t>
            </w:r>
            <w:r w:rsidRPr="005610B3">
              <w:rPr>
                <w:rFonts w:ascii="Segoe UI" w:hAnsi="Segoe UI" w:cs="Segoe UI"/>
                <w:b/>
                <w:sz w:val="14"/>
                <w:szCs w:val="16"/>
                <w:lang w:val="en-US"/>
              </w:rPr>
              <w:t xml:space="preserve">222 </w:t>
            </w:r>
          </w:p>
        </w:tc>
        <w:tc>
          <w:tcPr>
            <w:tcW w:w="478" w:type="pct"/>
            <w:tcBorders>
              <w:top w:val="nil"/>
              <w:left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29</w:t>
            </w:r>
            <w:r w:rsidR="00A46ABB">
              <w:rPr>
                <w:rFonts w:ascii="Segoe UI" w:hAnsi="Segoe UI" w:cs="Segoe UI"/>
                <w:b/>
                <w:sz w:val="14"/>
                <w:szCs w:val="16"/>
                <w:lang w:val="en-US"/>
              </w:rPr>
              <w:t>.</w:t>
            </w:r>
            <w:r w:rsidRPr="005610B3">
              <w:rPr>
                <w:rFonts w:ascii="Segoe UI" w:hAnsi="Segoe UI" w:cs="Segoe UI"/>
                <w:b/>
                <w:sz w:val="14"/>
                <w:szCs w:val="16"/>
                <w:lang w:val="en-US"/>
              </w:rPr>
              <w:t xml:space="preserve">018 </w:t>
            </w:r>
          </w:p>
        </w:tc>
        <w:tc>
          <w:tcPr>
            <w:tcW w:w="478" w:type="pct"/>
            <w:tcBorders>
              <w:top w:val="nil"/>
              <w:left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29</w:t>
            </w:r>
            <w:r w:rsidR="00A46ABB">
              <w:rPr>
                <w:rFonts w:ascii="Segoe UI" w:hAnsi="Segoe UI" w:cs="Segoe UI"/>
                <w:b/>
                <w:sz w:val="14"/>
                <w:szCs w:val="16"/>
                <w:lang w:val="en-US"/>
              </w:rPr>
              <w:t>.</w:t>
            </w:r>
            <w:r w:rsidRPr="005610B3">
              <w:rPr>
                <w:rFonts w:ascii="Segoe UI" w:hAnsi="Segoe UI" w:cs="Segoe UI"/>
                <w:b/>
                <w:sz w:val="14"/>
                <w:szCs w:val="16"/>
                <w:lang w:val="en-US"/>
              </w:rPr>
              <w:t xml:space="preserve">849 </w:t>
            </w:r>
          </w:p>
        </w:tc>
        <w:tc>
          <w:tcPr>
            <w:tcW w:w="478" w:type="pct"/>
            <w:tcBorders>
              <w:top w:val="nil"/>
              <w:left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29</w:t>
            </w:r>
            <w:r w:rsidR="00A46ABB">
              <w:rPr>
                <w:rFonts w:ascii="Segoe UI" w:hAnsi="Segoe UI" w:cs="Segoe UI"/>
                <w:b/>
                <w:sz w:val="14"/>
                <w:szCs w:val="16"/>
                <w:lang w:val="en-US"/>
              </w:rPr>
              <w:t>.</w:t>
            </w:r>
            <w:r w:rsidRPr="005610B3">
              <w:rPr>
                <w:rFonts w:ascii="Segoe UI" w:hAnsi="Segoe UI" w:cs="Segoe UI"/>
                <w:b/>
                <w:sz w:val="14"/>
                <w:szCs w:val="16"/>
                <w:lang w:val="en-US"/>
              </w:rPr>
              <w:t>969</w:t>
            </w:r>
          </w:p>
        </w:tc>
      </w:tr>
      <w:tr w:rsidR="005610B3" w:rsidRPr="006B4FB1" w:rsidTr="005610B3">
        <w:trPr>
          <w:trHeight w:val="227"/>
        </w:trPr>
        <w:tc>
          <w:tcPr>
            <w:tcW w:w="2131" w:type="pct"/>
            <w:tcBorders>
              <w:top w:val="nil"/>
              <w:left w:val="nil"/>
              <w:bottom w:val="nil"/>
              <w:right w:val="nil"/>
            </w:tcBorders>
            <w:shd w:val="clear" w:color="auto" w:fill="auto"/>
            <w:tcMar>
              <w:top w:w="15" w:type="dxa"/>
              <w:left w:w="42" w:type="dxa"/>
              <w:bottom w:w="0" w:type="dxa"/>
              <w:right w:w="15" w:type="dxa"/>
            </w:tcMar>
            <w:vAlign w:val="center"/>
          </w:tcPr>
          <w:p w:rsidR="005610B3" w:rsidRPr="00DC2500" w:rsidRDefault="005610B3">
            <w:pPr>
              <w:textAlignment w:val="center"/>
              <w:rPr>
                <w:rFonts w:ascii="Segoe UI" w:eastAsia="Segoe UI" w:hAnsi="Segoe UI" w:cs="Segoe UI"/>
                <w:b/>
                <w:color w:val="000000"/>
                <w:kern w:val="24"/>
                <w:sz w:val="14"/>
                <w:szCs w:val="14"/>
                <w:lang w:val="en-US" w:eastAsia="el-GR"/>
              </w:rPr>
            </w:pPr>
            <w:r w:rsidRPr="006B4FB1">
              <w:rPr>
                <w:rFonts w:ascii="Segoe UI" w:eastAsia="Segoe UI" w:hAnsi="Segoe UI" w:cs="Segoe UI"/>
                <w:b/>
                <w:color w:val="000000"/>
                <w:kern w:val="24"/>
                <w:sz w:val="14"/>
                <w:szCs w:val="14"/>
                <w:lang w:eastAsia="el-GR"/>
              </w:rPr>
              <w:t>Εξυπηρετούμενα δάνεια</w:t>
            </w:r>
            <w:r w:rsidRPr="00DC2500">
              <w:rPr>
                <w:rFonts w:ascii="Segoe UI" w:eastAsia="Segoe UI" w:hAnsi="Segoe UI" w:cs="Segoe UI"/>
                <w:b/>
                <w:color w:val="000000"/>
                <w:kern w:val="24"/>
                <w:sz w:val="14"/>
                <w:szCs w:val="14"/>
                <w:vertAlign w:val="superscript"/>
                <w:lang w:val="en-US" w:eastAsia="el-GR"/>
              </w:rPr>
              <w:t>2</w:t>
            </w:r>
          </w:p>
        </w:tc>
        <w:tc>
          <w:tcPr>
            <w:tcW w:w="479" w:type="pct"/>
            <w:tcBorders>
              <w:top w:val="nil"/>
              <w:left w:val="nil"/>
              <w:bottom w:val="nil"/>
              <w:right w:val="nil"/>
            </w:tcBorders>
            <w:vAlign w:val="center"/>
          </w:tcPr>
          <w:p w:rsidR="005610B3" w:rsidRPr="005610B3" w:rsidRDefault="005610B3" w:rsidP="002C6796">
            <w:pPr>
              <w:pStyle w:val="Web"/>
              <w:spacing w:before="0" w:beforeAutospacing="0" w:after="0" w:afterAutospacing="0"/>
              <w:ind w:right="148"/>
              <w:jc w:val="right"/>
              <w:textAlignment w:val="center"/>
              <w:rPr>
                <w:rFonts w:ascii="Segoe UI" w:hAnsi="Segoe UI" w:cs="Segoe UI"/>
                <w:b/>
                <w:sz w:val="14"/>
                <w:szCs w:val="16"/>
                <w:highlight w:val="yellow"/>
                <w:lang w:val="en-US"/>
              </w:rPr>
            </w:pPr>
            <w:r w:rsidRPr="005610B3">
              <w:rPr>
                <w:rFonts w:ascii="Segoe UI" w:hAnsi="Segoe UI" w:cs="Segoe UI"/>
                <w:b/>
                <w:sz w:val="14"/>
                <w:szCs w:val="16"/>
                <w:lang w:val="en-US"/>
              </w:rPr>
              <w:t>24</w:t>
            </w:r>
            <w:r w:rsidR="00A46ABB">
              <w:rPr>
                <w:rFonts w:ascii="Segoe UI" w:hAnsi="Segoe UI" w:cs="Segoe UI"/>
                <w:b/>
                <w:sz w:val="14"/>
                <w:szCs w:val="16"/>
                <w:lang w:val="en-US"/>
              </w:rPr>
              <w:t>.</w:t>
            </w:r>
            <w:r w:rsidRPr="005610B3">
              <w:rPr>
                <w:rFonts w:ascii="Segoe UI" w:hAnsi="Segoe UI" w:cs="Segoe UI"/>
                <w:b/>
                <w:sz w:val="14"/>
                <w:szCs w:val="16"/>
                <w:lang w:val="en-US"/>
              </w:rPr>
              <w:t>3</w:t>
            </w:r>
            <w:r w:rsidR="002C6796">
              <w:rPr>
                <w:rFonts w:ascii="Segoe UI" w:hAnsi="Segoe UI" w:cs="Segoe UI"/>
                <w:b/>
                <w:sz w:val="14"/>
                <w:szCs w:val="16"/>
                <w:lang w:val="en-US"/>
              </w:rPr>
              <w:t>46</w:t>
            </w:r>
          </w:p>
        </w:tc>
        <w:tc>
          <w:tcPr>
            <w:tcW w:w="478" w:type="pct"/>
            <w:tcBorders>
              <w:top w:val="nil"/>
              <w:left w:val="nil"/>
              <w:bottom w:val="nil"/>
              <w:right w:val="nil"/>
            </w:tcBorders>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24</w:t>
            </w:r>
            <w:r w:rsidR="00A46ABB">
              <w:rPr>
                <w:rFonts w:ascii="Segoe UI" w:hAnsi="Segoe UI" w:cs="Segoe UI"/>
                <w:b/>
                <w:sz w:val="14"/>
                <w:szCs w:val="16"/>
                <w:lang w:val="en-US"/>
              </w:rPr>
              <w:t>.</w:t>
            </w:r>
            <w:r w:rsidRPr="005610B3">
              <w:rPr>
                <w:rFonts w:ascii="Segoe UI" w:hAnsi="Segoe UI" w:cs="Segoe UI"/>
                <w:b/>
                <w:sz w:val="14"/>
                <w:szCs w:val="16"/>
                <w:lang w:val="en-US"/>
              </w:rPr>
              <w:t>148</w:t>
            </w:r>
          </w:p>
        </w:tc>
        <w:tc>
          <w:tcPr>
            <w:tcW w:w="478" w:type="pct"/>
            <w:tcBorders>
              <w:top w:val="nil"/>
              <w:left w:val="nil"/>
              <w:bottom w:val="nil"/>
              <w:right w:val="nil"/>
            </w:tcBorders>
            <w:shd w:val="clear" w:color="auto" w:fill="auto"/>
            <w:vAlign w:val="center"/>
          </w:tcPr>
          <w:p w:rsidR="005610B3" w:rsidRPr="005610B3" w:rsidRDefault="005610B3" w:rsidP="00C02F1B">
            <w:pPr>
              <w:pStyle w:val="Web"/>
              <w:spacing w:before="0" w:beforeAutospacing="0" w:after="0" w:afterAutospacing="0"/>
              <w:ind w:right="148"/>
              <w:jc w:val="right"/>
              <w:textAlignment w:val="center"/>
              <w:rPr>
                <w:rFonts w:ascii="Segoe UI" w:hAnsi="Segoe UI" w:cs="Segoe UI"/>
                <w:b/>
                <w:sz w:val="14"/>
                <w:szCs w:val="16"/>
                <w:lang w:val="en-US"/>
              </w:rPr>
            </w:pPr>
            <w:r w:rsidRPr="005610B3">
              <w:rPr>
                <w:rFonts w:ascii="Segoe UI" w:hAnsi="Segoe UI" w:cs="Segoe UI"/>
                <w:b/>
                <w:sz w:val="14"/>
                <w:szCs w:val="16"/>
                <w:lang w:val="en-US"/>
              </w:rPr>
              <w:t>24</w:t>
            </w:r>
            <w:r w:rsidR="00A46ABB">
              <w:rPr>
                <w:rFonts w:ascii="Segoe UI" w:hAnsi="Segoe UI" w:cs="Segoe UI"/>
                <w:b/>
                <w:sz w:val="14"/>
                <w:szCs w:val="16"/>
                <w:lang w:val="en-US"/>
              </w:rPr>
              <w:t>.</w:t>
            </w:r>
            <w:r w:rsidRPr="005610B3">
              <w:rPr>
                <w:rFonts w:ascii="Segoe UI" w:hAnsi="Segoe UI" w:cs="Segoe UI"/>
                <w:b/>
                <w:sz w:val="14"/>
                <w:szCs w:val="16"/>
                <w:lang w:val="en-US"/>
              </w:rPr>
              <w:t>044</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val="en-US" w:eastAsia="el-GR"/>
              </w:rPr>
            </w:pPr>
            <w:r w:rsidRPr="005610B3">
              <w:rPr>
                <w:rFonts w:ascii="Segoe UI" w:eastAsia="Times New Roman" w:hAnsi="Segoe UI" w:cs="Segoe UI"/>
                <w:b/>
                <w:bCs/>
                <w:color w:val="000000" w:themeColor="text1"/>
                <w:kern w:val="24"/>
                <w:sz w:val="14"/>
                <w:szCs w:val="16"/>
                <w:lang w:val="en-US" w:eastAsia="el-GR"/>
              </w:rPr>
              <w:t>23</w:t>
            </w:r>
            <w:r w:rsidR="00A46ABB">
              <w:rPr>
                <w:rFonts w:ascii="Segoe UI" w:eastAsia="Times New Roman" w:hAnsi="Segoe UI" w:cs="Segoe UI"/>
                <w:b/>
                <w:bCs/>
                <w:color w:val="000000" w:themeColor="text1"/>
                <w:kern w:val="24"/>
                <w:sz w:val="14"/>
                <w:szCs w:val="16"/>
                <w:lang w:val="en-US" w:eastAsia="el-GR"/>
              </w:rPr>
              <w:t>.</w:t>
            </w:r>
            <w:r w:rsidRPr="005610B3">
              <w:rPr>
                <w:rFonts w:ascii="Segoe UI" w:eastAsia="Times New Roman" w:hAnsi="Segoe UI" w:cs="Segoe UI"/>
                <w:b/>
                <w:bCs/>
                <w:color w:val="000000" w:themeColor="text1"/>
                <w:kern w:val="24"/>
                <w:sz w:val="14"/>
                <w:szCs w:val="16"/>
                <w:lang w:val="en-US" w:eastAsia="el-GR"/>
              </w:rPr>
              <w:t>519</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val="en-US" w:eastAsia="el-GR"/>
              </w:rPr>
            </w:pPr>
            <w:r w:rsidRPr="005610B3">
              <w:rPr>
                <w:rFonts w:ascii="Segoe UI" w:eastAsia="Times New Roman" w:hAnsi="Segoe UI" w:cs="Segoe UI"/>
                <w:b/>
                <w:bCs/>
                <w:color w:val="000000" w:themeColor="text1"/>
                <w:kern w:val="24"/>
                <w:sz w:val="14"/>
                <w:szCs w:val="16"/>
                <w:lang w:val="en-US" w:eastAsia="el-GR"/>
              </w:rPr>
              <w:t>23</w:t>
            </w:r>
            <w:r w:rsidR="00A46ABB">
              <w:rPr>
                <w:rFonts w:ascii="Segoe UI" w:eastAsia="Times New Roman" w:hAnsi="Segoe UI" w:cs="Segoe UI"/>
                <w:b/>
                <w:bCs/>
                <w:color w:val="000000" w:themeColor="text1"/>
                <w:kern w:val="24"/>
                <w:sz w:val="14"/>
                <w:szCs w:val="16"/>
                <w:lang w:val="en-US" w:eastAsia="el-GR"/>
              </w:rPr>
              <w:t>.</w:t>
            </w:r>
            <w:r w:rsidRPr="005610B3">
              <w:rPr>
                <w:rFonts w:ascii="Segoe UI" w:eastAsia="Times New Roman" w:hAnsi="Segoe UI" w:cs="Segoe UI"/>
                <w:b/>
                <w:bCs/>
                <w:color w:val="000000" w:themeColor="text1"/>
                <w:kern w:val="24"/>
                <w:sz w:val="14"/>
                <w:szCs w:val="16"/>
                <w:lang w:val="en-US" w:eastAsia="el-GR"/>
              </w:rPr>
              <w:t>856</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val="en-US" w:eastAsia="el-GR"/>
              </w:rPr>
            </w:pPr>
            <w:r w:rsidRPr="005610B3">
              <w:rPr>
                <w:rFonts w:ascii="Segoe UI" w:eastAsia="Times New Roman" w:hAnsi="Segoe UI" w:cs="Segoe UI"/>
                <w:b/>
                <w:bCs/>
                <w:color w:val="000000" w:themeColor="text1"/>
                <w:kern w:val="24"/>
                <w:sz w:val="14"/>
                <w:szCs w:val="16"/>
                <w:lang w:val="en-US" w:eastAsia="el-GR"/>
              </w:rPr>
              <w:t>23</w:t>
            </w:r>
            <w:r w:rsidR="00A46ABB">
              <w:rPr>
                <w:rFonts w:ascii="Segoe UI" w:eastAsia="Times New Roman" w:hAnsi="Segoe UI" w:cs="Segoe UI"/>
                <w:b/>
                <w:bCs/>
                <w:color w:val="000000" w:themeColor="text1"/>
                <w:kern w:val="24"/>
                <w:sz w:val="14"/>
                <w:szCs w:val="16"/>
                <w:lang w:val="en-US" w:eastAsia="el-GR"/>
              </w:rPr>
              <w:t>.</w:t>
            </w:r>
            <w:r w:rsidRPr="005610B3">
              <w:rPr>
                <w:rFonts w:ascii="Segoe UI" w:eastAsia="Times New Roman" w:hAnsi="Segoe UI" w:cs="Segoe UI"/>
                <w:b/>
                <w:bCs/>
                <w:color w:val="000000" w:themeColor="text1"/>
                <w:kern w:val="24"/>
                <w:sz w:val="14"/>
                <w:szCs w:val="16"/>
                <w:lang w:val="en-US" w:eastAsia="el-GR"/>
              </w:rPr>
              <w:t>759</w:t>
            </w:r>
          </w:p>
        </w:tc>
      </w:tr>
      <w:tr w:rsidR="005610B3" w:rsidRPr="006B4FB1" w:rsidTr="005610B3">
        <w:trPr>
          <w:trHeight w:val="227"/>
        </w:trPr>
        <w:tc>
          <w:tcPr>
            <w:tcW w:w="2131" w:type="pct"/>
            <w:tcBorders>
              <w:top w:val="nil"/>
              <w:left w:val="nil"/>
              <w:bottom w:val="nil"/>
              <w:right w:val="nil"/>
            </w:tcBorders>
            <w:shd w:val="clear" w:color="auto" w:fill="auto"/>
            <w:tcMar>
              <w:top w:w="15" w:type="dxa"/>
              <w:left w:w="42" w:type="dxa"/>
              <w:bottom w:w="0" w:type="dxa"/>
              <w:right w:w="15" w:type="dxa"/>
            </w:tcMar>
            <w:vAlign w:val="center"/>
          </w:tcPr>
          <w:p w:rsidR="005610B3" w:rsidRPr="006B4FB1" w:rsidRDefault="005610B3">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Χαρτοφυλάκιο επενδύσεων </w:t>
            </w:r>
          </w:p>
        </w:tc>
        <w:tc>
          <w:tcPr>
            <w:tcW w:w="479"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276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11</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586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9</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408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9</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051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10</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209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9</w:t>
            </w:r>
            <w:r w:rsidR="00A46ABB">
              <w:rPr>
                <w:rFonts w:ascii="Segoe UI" w:eastAsia="Times New Roman" w:hAnsi="Segoe UI" w:cs="Segoe UI"/>
                <w:bCs/>
                <w:color w:val="000000" w:themeColor="text1"/>
                <w:kern w:val="24"/>
                <w:sz w:val="14"/>
                <w:szCs w:val="16"/>
                <w:lang w:val="en-US" w:eastAsia="el-GR"/>
              </w:rPr>
              <w:t>.</w:t>
            </w:r>
            <w:r w:rsidRPr="005610B3">
              <w:rPr>
                <w:rFonts w:ascii="Segoe UI" w:eastAsia="Times New Roman" w:hAnsi="Segoe UI" w:cs="Segoe UI"/>
                <w:bCs/>
                <w:color w:val="000000" w:themeColor="text1"/>
                <w:kern w:val="24"/>
                <w:sz w:val="14"/>
                <w:szCs w:val="16"/>
                <w:lang w:eastAsia="el-GR"/>
              </w:rPr>
              <w:t>172</w:t>
            </w:r>
          </w:p>
        </w:tc>
      </w:tr>
      <w:tr w:rsidR="005610B3" w:rsidRPr="006B4FB1" w:rsidTr="005610B3">
        <w:trPr>
          <w:trHeight w:val="227"/>
        </w:trPr>
        <w:tc>
          <w:tcPr>
            <w:tcW w:w="2131" w:type="pct"/>
            <w:tcBorders>
              <w:top w:val="nil"/>
              <w:left w:val="nil"/>
              <w:bottom w:val="nil"/>
              <w:right w:val="nil"/>
            </w:tcBorders>
            <w:shd w:val="clear" w:color="auto" w:fill="auto"/>
            <w:tcMar>
              <w:top w:w="15" w:type="dxa"/>
              <w:left w:w="42" w:type="dxa"/>
              <w:bottom w:w="0" w:type="dxa"/>
              <w:right w:w="15" w:type="dxa"/>
            </w:tcMar>
            <w:vAlign w:val="center"/>
            <w:hideMark/>
          </w:tcPr>
          <w:p w:rsidR="005610B3" w:rsidRPr="006B4FB1" w:rsidRDefault="005610B3">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val="en-US" w:eastAsia="el-GR"/>
              </w:rPr>
              <w:t>Καταθέσεις</w:t>
            </w:r>
          </w:p>
        </w:tc>
        <w:tc>
          <w:tcPr>
            <w:tcW w:w="479"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44</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763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45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463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43</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748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42</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917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43</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046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42</w:t>
            </w:r>
            <w:r w:rsidR="00A46ABB">
              <w:rPr>
                <w:rFonts w:ascii="Segoe UI" w:eastAsia="Times New Roman" w:hAnsi="Segoe UI" w:cs="Segoe UI"/>
                <w:bCs/>
                <w:color w:val="000000" w:themeColor="text1"/>
                <w:kern w:val="24"/>
                <w:sz w:val="14"/>
                <w:szCs w:val="16"/>
                <w:lang w:val="en-US" w:eastAsia="el-GR"/>
              </w:rPr>
              <w:t>.</w:t>
            </w:r>
            <w:r w:rsidRPr="005610B3">
              <w:rPr>
                <w:rFonts w:ascii="Segoe UI" w:eastAsia="Times New Roman" w:hAnsi="Segoe UI" w:cs="Segoe UI"/>
                <w:bCs/>
                <w:color w:val="000000" w:themeColor="text1"/>
                <w:kern w:val="24"/>
                <w:sz w:val="14"/>
                <w:szCs w:val="16"/>
                <w:lang w:val="en-US" w:eastAsia="el-GR"/>
              </w:rPr>
              <w:t>603</w:t>
            </w:r>
          </w:p>
        </w:tc>
      </w:tr>
      <w:tr w:rsidR="005610B3" w:rsidRPr="006B4FB1" w:rsidTr="005610B3">
        <w:trPr>
          <w:trHeight w:val="227"/>
        </w:trPr>
        <w:tc>
          <w:tcPr>
            <w:tcW w:w="2131" w:type="pct"/>
            <w:tcBorders>
              <w:top w:val="nil"/>
              <w:left w:val="nil"/>
              <w:right w:val="nil"/>
            </w:tcBorders>
            <w:shd w:val="clear" w:color="auto" w:fill="auto"/>
            <w:tcMar>
              <w:top w:w="15" w:type="dxa"/>
              <w:left w:w="42" w:type="dxa"/>
              <w:bottom w:w="0" w:type="dxa"/>
              <w:right w:w="15" w:type="dxa"/>
            </w:tcMar>
            <w:vAlign w:val="center"/>
            <w:hideMark/>
          </w:tcPr>
          <w:p w:rsidR="005610B3" w:rsidRPr="006B4FB1" w:rsidRDefault="005610B3">
            <w:pPr>
              <w:textAlignment w:val="center"/>
              <w:rPr>
                <w:rFonts w:ascii="Segoe UI" w:eastAsia="Times New Roman" w:hAnsi="Segoe UI" w:cs="Segoe UI"/>
                <w:b/>
                <w:sz w:val="14"/>
                <w:szCs w:val="14"/>
                <w:lang w:eastAsia="el-GR"/>
              </w:rPr>
            </w:pPr>
            <w:r w:rsidRPr="006B4FB1">
              <w:rPr>
                <w:rFonts w:ascii="Segoe UI" w:eastAsia="Segoe UI" w:hAnsi="Segoe UI" w:cs="Segoe UI"/>
                <w:b/>
                <w:color w:val="000000"/>
                <w:kern w:val="24"/>
                <w:sz w:val="14"/>
                <w:szCs w:val="14"/>
                <w:lang w:eastAsia="el-GR"/>
              </w:rPr>
              <w:t xml:space="preserve">Ίδια κεφάλαια </w:t>
            </w:r>
          </w:p>
        </w:tc>
        <w:tc>
          <w:tcPr>
            <w:tcW w:w="479"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5</w:t>
            </w:r>
            <w:r w:rsidR="00A46ABB">
              <w:rPr>
                <w:rFonts w:ascii="Segoe UI" w:eastAsia="Times New Roman" w:hAnsi="Segoe UI" w:cs="Segoe UI"/>
                <w:b/>
                <w:bCs/>
                <w:color w:val="000000" w:themeColor="text1"/>
                <w:kern w:val="24"/>
                <w:sz w:val="14"/>
                <w:szCs w:val="16"/>
                <w:lang w:eastAsia="el-GR"/>
              </w:rPr>
              <w:t>.</w:t>
            </w:r>
            <w:r w:rsidRPr="005610B3">
              <w:rPr>
                <w:rFonts w:ascii="Segoe UI" w:eastAsia="Times New Roman" w:hAnsi="Segoe UI" w:cs="Segoe UI"/>
                <w:b/>
                <w:bCs/>
                <w:color w:val="000000" w:themeColor="text1"/>
                <w:kern w:val="24"/>
                <w:sz w:val="14"/>
                <w:szCs w:val="16"/>
                <w:lang w:eastAsia="el-GR"/>
              </w:rPr>
              <w:t xml:space="preserve">314 </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5</w:t>
            </w:r>
            <w:r w:rsidR="00A46ABB">
              <w:rPr>
                <w:rFonts w:ascii="Segoe UI" w:eastAsia="Times New Roman" w:hAnsi="Segoe UI" w:cs="Segoe UI"/>
                <w:b/>
                <w:bCs/>
                <w:color w:val="000000" w:themeColor="text1"/>
                <w:kern w:val="24"/>
                <w:sz w:val="14"/>
                <w:szCs w:val="16"/>
                <w:lang w:eastAsia="el-GR"/>
              </w:rPr>
              <w:t>.</w:t>
            </w:r>
            <w:r w:rsidRPr="005610B3">
              <w:rPr>
                <w:rFonts w:ascii="Segoe UI" w:eastAsia="Times New Roman" w:hAnsi="Segoe UI" w:cs="Segoe UI"/>
                <w:b/>
                <w:bCs/>
                <w:color w:val="000000" w:themeColor="text1"/>
                <w:kern w:val="24"/>
                <w:sz w:val="14"/>
                <w:szCs w:val="16"/>
                <w:lang w:eastAsia="el-GR"/>
              </w:rPr>
              <w:t xml:space="preserve">140 </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5</w:t>
            </w:r>
            <w:r w:rsidR="00A46ABB">
              <w:rPr>
                <w:rFonts w:ascii="Segoe UI" w:eastAsia="Times New Roman" w:hAnsi="Segoe UI" w:cs="Segoe UI"/>
                <w:b/>
                <w:bCs/>
                <w:color w:val="000000" w:themeColor="text1"/>
                <w:kern w:val="24"/>
                <w:sz w:val="14"/>
                <w:szCs w:val="16"/>
                <w:lang w:eastAsia="el-GR"/>
              </w:rPr>
              <w:t>.</w:t>
            </w:r>
            <w:r w:rsidRPr="005610B3">
              <w:rPr>
                <w:rFonts w:ascii="Segoe UI" w:eastAsia="Times New Roman" w:hAnsi="Segoe UI" w:cs="Segoe UI"/>
                <w:b/>
                <w:bCs/>
                <w:color w:val="000000" w:themeColor="text1"/>
                <w:kern w:val="24"/>
                <w:sz w:val="14"/>
                <w:szCs w:val="16"/>
                <w:lang w:eastAsia="el-GR"/>
              </w:rPr>
              <w:t xml:space="preserve">259 </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5</w:t>
            </w:r>
            <w:r w:rsidR="00A46ABB">
              <w:rPr>
                <w:rFonts w:ascii="Segoe UI" w:eastAsia="Times New Roman" w:hAnsi="Segoe UI" w:cs="Segoe UI"/>
                <w:b/>
                <w:bCs/>
                <w:color w:val="000000" w:themeColor="text1"/>
                <w:kern w:val="24"/>
                <w:sz w:val="14"/>
                <w:szCs w:val="16"/>
                <w:lang w:eastAsia="el-GR"/>
              </w:rPr>
              <w:t>.</w:t>
            </w:r>
            <w:r w:rsidRPr="005610B3">
              <w:rPr>
                <w:rFonts w:ascii="Segoe UI" w:eastAsia="Times New Roman" w:hAnsi="Segoe UI" w:cs="Segoe UI"/>
                <w:b/>
                <w:bCs/>
                <w:color w:val="000000" w:themeColor="text1"/>
                <w:kern w:val="24"/>
                <w:sz w:val="14"/>
                <w:szCs w:val="16"/>
                <w:lang w:eastAsia="el-GR"/>
              </w:rPr>
              <w:t xml:space="preserve">880 </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5</w:t>
            </w:r>
            <w:r w:rsidR="00A46ABB">
              <w:rPr>
                <w:rFonts w:ascii="Segoe UI" w:eastAsia="Times New Roman" w:hAnsi="Segoe UI" w:cs="Segoe UI"/>
                <w:b/>
                <w:bCs/>
                <w:color w:val="000000" w:themeColor="text1"/>
                <w:kern w:val="24"/>
                <w:sz w:val="14"/>
                <w:szCs w:val="16"/>
                <w:lang w:eastAsia="el-GR"/>
              </w:rPr>
              <w:t>.</w:t>
            </w:r>
            <w:r w:rsidRPr="005610B3">
              <w:rPr>
                <w:rFonts w:ascii="Segoe UI" w:eastAsia="Times New Roman" w:hAnsi="Segoe UI" w:cs="Segoe UI"/>
                <w:b/>
                <w:bCs/>
                <w:color w:val="000000" w:themeColor="text1"/>
                <w:kern w:val="24"/>
                <w:sz w:val="14"/>
                <w:szCs w:val="16"/>
                <w:lang w:eastAsia="el-GR"/>
              </w:rPr>
              <w:t xml:space="preserve">550 </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
                <w:bCs/>
                <w:color w:val="000000" w:themeColor="text1"/>
                <w:kern w:val="24"/>
                <w:sz w:val="14"/>
                <w:szCs w:val="16"/>
                <w:lang w:eastAsia="el-GR"/>
              </w:rPr>
            </w:pPr>
            <w:r w:rsidRPr="005610B3">
              <w:rPr>
                <w:rFonts w:ascii="Segoe UI" w:eastAsia="Times New Roman" w:hAnsi="Segoe UI" w:cs="Segoe UI"/>
                <w:b/>
                <w:bCs/>
                <w:color w:val="000000" w:themeColor="text1"/>
                <w:kern w:val="24"/>
                <w:sz w:val="14"/>
                <w:szCs w:val="16"/>
                <w:lang w:eastAsia="el-GR"/>
              </w:rPr>
              <w:t>5</w:t>
            </w:r>
            <w:r w:rsidR="00A46ABB">
              <w:rPr>
                <w:rFonts w:ascii="Segoe UI" w:eastAsia="Times New Roman" w:hAnsi="Segoe UI" w:cs="Segoe UI"/>
                <w:b/>
                <w:bCs/>
                <w:color w:val="000000" w:themeColor="text1"/>
                <w:kern w:val="24"/>
                <w:sz w:val="14"/>
                <w:szCs w:val="16"/>
                <w:lang w:val="en-US" w:eastAsia="el-GR"/>
              </w:rPr>
              <w:t>.</w:t>
            </w:r>
            <w:r w:rsidRPr="005610B3">
              <w:rPr>
                <w:rFonts w:ascii="Segoe UI" w:eastAsia="Times New Roman" w:hAnsi="Segoe UI" w:cs="Segoe UI"/>
                <w:b/>
                <w:bCs/>
                <w:color w:val="000000" w:themeColor="text1"/>
                <w:kern w:val="24"/>
                <w:sz w:val="14"/>
                <w:szCs w:val="16"/>
                <w:lang w:eastAsia="el-GR"/>
              </w:rPr>
              <w:t>078</w:t>
            </w:r>
          </w:p>
        </w:tc>
      </w:tr>
      <w:tr w:rsidR="005610B3" w:rsidRPr="006B4FB1" w:rsidTr="005610B3">
        <w:trPr>
          <w:trHeight w:val="227"/>
        </w:trPr>
        <w:tc>
          <w:tcPr>
            <w:tcW w:w="2131" w:type="pct"/>
            <w:tcBorders>
              <w:top w:val="nil"/>
              <w:left w:val="nil"/>
              <w:bottom w:val="single" w:sz="12" w:space="0" w:color="auto"/>
              <w:right w:val="nil"/>
            </w:tcBorders>
            <w:shd w:val="clear" w:color="auto" w:fill="auto"/>
            <w:tcMar>
              <w:top w:w="15" w:type="dxa"/>
              <w:left w:w="42" w:type="dxa"/>
              <w:bottom w:w="0" w:type="dxa"/>
              <w:right w:w="15" w:type="dxa"/>
            </w:tcMar>
            <w:vAlign w:val="center"/>
          </w:tcPr>
          <w:p w:rsidR="005610B3" w:rsidRPr="006B4FB1" w:rsidRDefault="005610B3">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Ενσώματα Ίδια κεφάλαια</w:t>
            </w:r>
          </w:p>
        </w:tc>
        <w:tc>
          <w:tcPr>
            <w:tcW w:w="479" w:type="pct"/>
            <w:tcBorders>
              <w:top w:val="nil"/>
              <w:left w:val="nil"/>
              <w:bottom w:val="single" w:sz="12" w:space="0" w:color="auto"/>
              <w:right w:val="nil"/>
            </w:tcBorders>
            <w:vAlign w:val="bottom"/>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078</w:t>
            </w:r>
          </w:p>
        </w:tc>
        <w:tc>
          <w:tcPr>
            <w:tcW w:w="478" w:type="pct"/>
            <w:tcBorders>
              <w:top w:val="nil"/>
              <w:left w:val="nil"/>
              <w:bottom w:val="single" w:sz="12" w:space="0" w:color="auto"/>
              <w:right w:val="nil"/>
            </w:tcBorders>
            <w:vAlign w:val="bottom"/>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4</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926 </w:t>
            </w:r>
          </w:p>
        </w:tc>
        <w:tc>
          <w:tcPr>
            <w:tcW w:w="478" w:type="pct"/>
            <w:tcBorders>
              <w:top w:val="nil"/>
              <w:left w:val="nil"/>
              <w:bottom w:val="single" w:sz="12" w:space="0" w:color="auto"/>
              <w:right w:val="nil"/>
            </w:tcBorders>
            <w:vAlign w:val="bottom"/>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057 </w:t>
            </w:r>
          </w:p>
        </w:tc>
        <w:tc>
          <w:tcPr>
            <w:tcW w:w="478" w:type="pct"/>
            <w:tcBorders>
              <w:top w:val="nil"/>
              <w:left w:val="nil"/>
              <w:bottom w:val="single" w:sz="12" w:space="0" w:color="auto"/>
              <w:right w:val="nil"/>
            </w:tcBorders>
            <w:vAlign w:val="bottom"/>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704 </w:t>
            </w:r>
          </w:p>
        </w:tc>
        <w:tc>
          <w:tcPr>
            <w:tcW w:w="478" w:type="pct"/>
            <w:tcBorders>
              <w:top w:val="nil"/>
              <w:left w:val="nil"/>
              <w:bottom w:val="single" w:sz="12" w:space="0" w:color="auto"/>
              <w:right w:val="nil"/>
            </w:tcBorders>
            <w:vAlign w:val="bottom"/>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390 </w:t>
            </w:r>
          </w:p>
        </w:tc>
        <w:tc>
          <w:tcPr>
            <w:tcW w:w="478" w:type="pct"/>
            <w:tcBorders>
              <w:top w:val="nil"/>
              <w:left w:val="nil"/>
              <w:bottom w:val="single" w:sz="12" w:space="0" w:color="auto"/>
              <w:right w:val="nil"/>
            </w:tcBorders>
            <w:vAlign w:val="center"/>
          </w:tcPr>
          <w:p w:rsidR="005610B3" w:rsidRPr="005B4164" w:rsidRDefault="005610B3" w:rsidP="00FE669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4</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93</w:t>
            </w:r>
            <w:r w:rsidR="00FE669B">
              <w:rPr>
                <w:rFonts w:ascii="Segoe UI" w:eastAsia="Times New Roman" w:hAnsi="Segoe UI" w:cs="Segoe UI"/>
                <w:bCs/>
                <w:color w:val="000000" w:themeColor="text1"/>
                <w:kern w:val="24"/>
                <w:sz w:val="14"/>
                <w:szCs w:val="16"/>
                <w:lang w:val="en-US" w:eastAsia="el-GR"/>
              </w:rPr>
              <w:t>2</w:t>
            </w:r>
          </w:p>
        </w:tc>
      </w:tr>
    </w:tbl>
    <w:p w:rsidR="00771556" w:rsidRPr="00201DF8" w:rsidRDefault="00771556" w:rsidP="00A4654D">
      <w:pPr>
        <w:jc w:val="both"/>
        <w:textAlignment w:val="baseline"/>
        <w:rPr>
          <w:rFonts w:ascii="Segoe UI" w:hAnsi="Segoe UI" w:cs="Segoe UI"/>
          <w:color w:val="000000" w:themeColor="text1"/>
          <w:kern w:val="24"/>
          <w:sz w:val="8"/>
          <w:szCs w:val="10"/>
        </w:rPr>
      </w:pPr>
      <w:r w:rsidRPr="00771556">
        <w:rPr>
          <w:rFonts w:ascii="Segoe UI" w:hAnsi="Segoe UI" w:cs="Segoe UI"/>
          <w:color w:val="000000" w:themeColor="text1"/>
          <w:kern w:val="24"/>
          <w:sz w:val="8"/>
          <w:szCs w:val="10"/>
          <w:vertAlign w:val="superscript"/>
        </w:rPr>
        <w:t>1</w:t>
      </w:r>
      <w:r w:rsidR="003B1578">
        <w:rPr>
          <w:rFonts w:ascii="Segoe UI" w:hAnsi="Segoe UI" w:cs="Segoe UI"/>
          <w:color w:val="000000" w:themeColor="text1"/>
          <w:kern w:val="24"/>
          <w:sz w:val="8"/>
          <w:szCs w:val="10"/>
          <w:vertAlign w:val="superscript"/>
        </w:rPr>
        <w:t xml:space="preserve"> </w:t>
      </w:r>
      <w:r w:rsidRPr="00771556">
        <w:rPr>
          <w:rFonts w:ascii="Segoe UI" w:hAnsi="Segoe UI" w:cs="Segoe UI"/>
          <w:color w:val="000000" w:themeColor="text1"/>
          <w:kern w:val="24"/>
          <w:sz w:val="8"/>
          <w:szCs w:val="10"/>
        </w:rPr>
        <w:t>Η Κατάσταση Χρηματοο</w:t>
      </w:r>
      <w:r w:rsidRPr="00A4654D">
        <w:rPr>
          <w:rFonts w:ascii="Segoe UI" w:hAnsi="Segoe UI" w:cs="Segoe UI"/>
          <w:color w:val="000000" w:themeColor="text1"/>
          <w:kern w:val="24"/>
          <w:sz w:val="8"/>
          <w:szCs w:val="10"/>
        </w:rPr>
        <w:t xml:space="preserve">ικονομικής Θέσης του Ομίλου </w:t>
      </w:r>
      <w:r w:rsidRPr="00771556">
        <w:rPr>
          <w:rFonts w:ascii="Segoe UI" w:hAnsi="Segoe UI" w:cs="Segoe UI"/>
          <w:color w:val="000000" w:themeColor="text1"/>
          <w:kern w:val="24"/>
          <w:sz w:val="8"/>
          <w:szCs w:val="10"/>
        </w:rPr>
        <w:t>έχει αναπροσαρμοστεί για τις αποεπενδύσεις της ΕΤΕ σε Κύπρο, Αίγυπτο, Ρουμανία, καθώς και Εθνική Ασφαλιστική, οι οποίες έχουν ταξινομηθεί ως μη κυκλοφορούντα περιουσιακά στοιχεία προοριζόμενα προς πώληση και υποχρεώσεις σχετιζόμενες με μη κυκλοφορούντα περιουσιακά στοιχεία προοριζόμενα προς πώληση</w:t>
      </w:r>
      <w:r w:rsidR="00DC2500" w:rsidRPr="00201DF8">
        <w:rPr>
          <w:rFonts w:ascii="Segoe UI" w:hAnsi="Segoe UI" w:cs="Segoe UI"/>
          <w:color w:val="000000" w:themeColor="text1"/>
          <w:kern w:val="24"/>
          <w:sz w:val="8"/>
          <w:szCs w:val="10"/>
        </w:rPr>
        <w:t xml:space="preserve"> / </w:t>
      </w:r>
      <w:r w:rsidR="00DC2500" w:rsidRPr="003B1578">
        <w:rPr>
          <w:rFonts w:ascii="Segoe UI" w:hAnsi="Segoe UI" w:cs="Segoe UI"/>
          <w:color w:val="000000" w:themeColor="text1"/>
          <w:kern w:val="24"/>
          <w:sz w:val="8"/>
          <w:szCs w:val="10"/>
          <w:vertAlign w:val="superscript"/>
        </w:rPr>
        <w:t>2</w:t>
      </w:r>
      <w:r w:rsidR="00DC2500" w:rsidRPr="00201DF8">
        <w:rPr>
          <w:rFonts w:ascii="Segoe UI" w:hAnsi="Segoe UI" w:cs="Segoe UI"/>
          <w:color w:val="000000" w:themeColor="text1"/>
          <w:kern w:val="24"/>
          <w:sz w:val="8"/>
          <w:szCs w:val="10"/>
        </w:rPr>
        <w:t xml:space="preserve"> Εξυπηρετούμενα δάνεια = Δάνεια (προ προβλέψεων) - </w:t>
      </w:r>
      <w:r w:rsidR="00DC2500">
        <w:rPr>
          <w:rFonts w:ascii="Segoe UI" w:hAnsi="Segoe UI" w:cs="Segoe UI"/>
          <w:color w:val="000000" w:themeColor="text1"/>
          <w:kern w:val="24"/>
          <w:sz w:val="8"/>
          <w:szCs w:val="10"/>
          <w:lang w:val="en-US"/>
        </w:rPr>
        <w:t>MEA</w:t>
      </w:r>
    </w:p>
    <w:p w:rsidR="00CE61AB" w:rsidRPr="00F10BBE" w:rsidRDefault="00C00739" w:rsidP="00E55AED">
      <w:pPr>
        <w:jc w:val="both"/>
        <w:rPr>
          <w:rFonts w:ascii="Segoe UI" w:eastAsia="Times New Roman" w:hAnsi="Segoe UI" w:cs="Segoe UI"/>
          <w:color w:val="000000" w:themeColor="text1"/>
          <w:kern w:val="24"/>
          <w:sz w:val="10"/>
          <w:lang w:eastAsia="el-GR"/>
        </w:rPr>
      </w:pPr>
      <w:r w:rsidRPr="00C00739">
        <w:rPr>
          <w:rFonts w:ascii="Segoe UI" w:hAnsi="Segoe UI" w:cs="Segoe UI"/>
          <w:noProof/>
          <w:sz w:val="18"/>
          <w:highlight w:val="yellow"/>
          <w:lang w:eastAsia="el-GR"/>
        </w:rPr>
        <w:pict>
          <v:rect id="Rectangle 5" o:spid="_x0000_s1033" style="position:absolute;left:0;text-align:left;margin-left:-2.1pt;margin-top:.6pt;width:164.75pt;height:23.3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" filled="f" stroked="f">
            <v:path arrowok="t"/>
            <o:lock v:ext="edit" grouping="t"/>
            <v:textbox inset="1.2699mm,1.2699mm,1.2699mm,1.2699mm">
              <w:txbxContent>
                <w:p w:rsidR="003B131A" w:rsidRPr="00D46FEC" w:rsidRDefault="003B131A" w:rsidP="00E55AED">
                  <w:pPr>
                    <w:kinsoku w:val="0"/>
                    <w:overflowPunct w:val="0"/>
                    <w:spacing w:before="40"/>
                    <w:ind w:left="547" w:hanging="547"/>
                    <w:textAlignment w:val="baseline"/>
                    <w:rPr>
                      <w:rFonts w:ascii="Segoe UI" w:eastAsia="Segoe UI" w:hAnsi="Segoe UI" w:cs="Segoe UI"/>
                      <w:b/>
                      <w:color w:val="008080"/>
                      <w:kern w:val="24"/>
                      <w:sz w:val="16"/>
                    </w:rPr>
                  </w:pPr>
                  <w:r w:rsidRPr="00421869">
                    <w:rPr>
                      <w:rFonts w:ascii="Segoe UI" w:eastAsia="Segoe UI" w:hAnsi="Segoe UI" w:cs="Segoe UI"/>
                      <w:b/>
                      <w:color w:val="008080"/>
                      <w:kern w:val="24"/>
                      <w:sz w:val="20"/>
                    </w:rPr>
                    <w:t>Κύριοι Δείκτες | Όμιλος</w:t>
                  </w:r>
                </w:p>
                <w:p w:rsidR="003B131A" w:rsidRPr="00D46FEC" w:rsidRDefault="003B131A" w:rsidP="00E55AED">
                  <w:pPr>
                    <w:kinsoku w:val="0"/>
                    <w:overflowPunct w:val="0"/>
                    <w:spacing w:before="40"/>
                    <w:ind w:left="547" w:hanging="547"/>
                    <w:textAlignment w:val="baseline"/>
                    <w:rPr>
                      <w:rFonts w:ascii="Segoe UI" w:eastAsia="Segoe UI" w:hAnsi="Segoe UI" w:cs="Segoe UI"/>
                      <w:b/>
                      <w:color w:val="008080"/>
                      <w:kern w:val="24"/>
                      <w:sz w:val="16"/>
                    </w:rPr>
                  </w:pPr>
                </w:p>
                <w:p w:rsidR="003B131A" w:rsidRPr="00D46FEC" w:rsidRDefault="003B131A" w:rsidP="00E55AED">
                  <w:pPr>
                    <w:kinsoku w:val="0"/>
                    <w:overflowPunct w:val="0"/>
                    <w:spacing w:before="40"/>
                    <w:ind w:left="547" w:hanging="547"/>
                    <w:textAlignment w:val="baseline"/>
                    <w:rPr>
                      <w:rFonts w:ascii="Segoe UI" w:eastAsia="Segoe UI" w:hAnsi="Segoe UI" w:cs="Segoe UI"/>
                      <w:b/>
                      <w:color w:val="008080"/>
                      <w:kern w:val="24"/>
                      <w:sz w:val="16"/>
                    </w:rPr>
                  </w:pPr>
                </w:p>
                <w:p w:rsidR="003B131A" w:rsidRPr="00FE1137" w:rsidRDefault="003B131A" w:rsidP="00E55AED">
                  <w:pPr>
                    <w:kinsoku w:val="0"/>
                    <w:overflowPunct w:val="0"/>
                    <w:spacing w:before="40"/>
                    <w:ind w:left="547" w:hanging="547"/>
                    <w:textAlignment w:val="baseline"/>
                    <w:rPr>
                      <w:b/>
                      <w:color w:val="008080"/>
                      <w:sz w:val="16"/>
                    </w:rPr>
                  </w:pPr>
                </w:p>
              </w:txbxContent>
            </v:textbox>
          </v:rect>
        </w:pict>
      </w:r>
    </w:p>
    <w:p w:rsidR="00E55AED" w:rsidRPr="009F1D86" w:rsidRDefault="00C00739" w:rsidP="00CE61AB">
      <w:pPr>
        <w:jc w:val="both"/>
        <w:rPr>
          <w:rFonts w:ascii="Segoe UI" w:hAnsi="Segoe UI" w:cs="Segoe UI"/>
          <w:noProof/>
          <w:sz w:val="22"/>
          <w:lang w:eastAsia="el-GR"/>
        </w:rPr>
      </w:pPr>
      <w:r>
        <w:rPr>
          <w:rFonts w:ascii="Segoe UI" w:hAnsi="Segoe UI" w:cs="Segoe UI"/>
          <w:noProof/>
          <w:sz w:val="22"/>
          <w:lang w:eastAsia="el-GR"/>
        </w:rPr>
        <w:pict>
          <v:roundrect id="_x0000_s1060" style="position:absolute;left:0;text-align:left;margin-left:216.8pt;margin-top:14.05pt;width:48.2pt;height:215.4pt;z-index:2516608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" filled="f" strokecolor="#ff7415">
            <v:path arrowok="t"/>
          </v:roundrect>
        </w:pict>
      </w:r>
    </w:p>
    <w:tbl>
      <w:tblPr>
        <w:tblW w:w="5000" w:type="pct"/>
        <w:tblCellMar>
          <w:left w:w="0" w:type="dxa"/>
          <w:right w:w="0" w:type="dxa"/>
        </w:tblCellMar>
        <w:tblLook w:val="0420"/>
      </w:tblPr>
      <w:tblGrid>
        <w:gridCol w:w="4365"/>
        <w:gridCol w:w="979"/>
        <w:gridCol w:w="979"/>
        <w:gridCol w:w="979"/>
        <w:gridCol w:w="979"/>
        <w:gridCol w:w="979"/>
        <w:gridCol w:w="979"/>
      </w:tblGrid>
      <w:tr w:rsidR="00F7726A" w:rsidRPr="006B4FB1" w:rsidTr="005610B3">
        <w:trPr>
          <w:trHeight w:val="289"/>
        </w:trPr>
        <w:tc>
          <w:tcPr>
            <w:tcW w:w="2132" w:type="pct"/>
            <w:tcBorders>
              <w:top w:val="single" w:sz="8" w:space="0" w:color="000000"/>
              <w:left w:val="nil"/>
              <w:bottom w:val="single" w:sz="8" w:space="0" w:color="000000"/>
              <w:right w:val="nil"/>
            </w:tcBorders>
            <w:shd w:val="clear" w:color="auto" w:fill="auto"/>
            <w:tcMar>
              <w:top w:w="15" w:type="dxa"/>
              <w:left w:w="41" w:type="dxa"/>
              <w:bottom w:w="0" w:type="dxa"/>
              <w:right w:w="15" w:type="dxa"/>
            </w:tcMar>
            <w:vAlign w:val="center"/>
            <w:hideMark/>
          </w:tcPr>
          <w:p w:rsidR="00F7726A" w:rsidRPr="006B4FB1" w:rsidRDefault="00F7726A" w:rsidP="00E55AED">
            <w:pPr>
              <w:rPr>
                <w:rFonts w:ascii="Segoe UI" w:eastAsia="Times New Roman" w:hAnsi="Segoe UI" w:cs="Segoe UI"/>
                <w:sz w:val="14"/>
                <w:szCs w:val="14"/>
                <w:lang w:eastAsia="el-GR"/>
              </w:rPr>
            </w:pPr>
          </w:p>
        </w:tc>
        <w:tc>
          <w:tcPr>
            <w:tcW w:w="478" w:type="pct"/>
            <w:tcBorders>
              <w:top w:val="single" w:sz="8" w:space="0" w:color="000000"/>
              <w:left w:val="nil"/>
              <w:bottom w:val="single" w:sz="8" w:space="0" w:color="000000"/>
              <w:right w:val="nil"/>
            </w:tcBorders>
          </w:tcPr>
          <w:p w:rsidR="00F7726A" w:rsidRDefault="00F7726A" w:rsidP="00C02F1B">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478" w:type="pct"/>
            <w:tcBorders>
              <w:top w:val="single" w:sz="8" w:space="0" w:color="000000"/>
              <w:left w:val="nil"/>
              <w:bottom w:val="single" w:sz="8" w:space="0" w:color="000000"/>
              <w:right w:val="nil"/>
            </w:tcBorders>
          </w:tcPr>
          <w:p w:rsidR="00F7726A" w:rsidRPr="006B4FB1" w:rsidRDefault="00F7726A" w:rsidP="00476559">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p>
        </w:tc>
        <w:tc>
          <w:tcPr>
            <w:tcW w:w="478" w:type="pct"/>
            <w:tcBorders>
              <w:top w:val="single" w:sz="8" w:space="0" w:color="000000"/>
              <w:left w:val="nil"/>
              <w:bottom w:val="single" w:sz="8" w:space="0" w:color="000000"/>
              <w:right w:val="nil"/>
            </w:tcBorders>
            <w:vAlign w:val="center"/>
          </w:tcPr>
          <w:p w:rsidR="00F7726A" w:rsidRPr="006B4FB1" w:rsidRDefault="00F7726A" w:rsidP="00B5579A">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Δ‘ τρίμηνο 2019</w:t>
            </w:r>
          </w:p>
        </w:tc>
        <w:tc>
          <w:tcPr>
            <w:tcW w:w="478" w:type="pct"/>
            <w:tcBorders>
              <w:top w:val="single" w:sz="8" w:space="0" w:color="000000"/>
              <w:left w:val="nil"/>
              <w:bottom w:val="single" w:sz="8" w:space="0" w:color="000000"/>
              <w:right w:val="nil"/>
            </w:tcBorders>
            <w:vAlign w:val="center"/>
          </w:tcPr>
          <w:p w:rsidR="00F7726A" w:rsidRPr="006B4FB1" w:rsidRDefault="00F7726A" w:rsidP="00B5579A">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Γ‘ τρίμηνο 2019</w:t>
            </w:r>
          </w:p>
        </w:tc>
        <w:tc>
          <w:tcPr>
            <w:tcW w:w="478" w:type="pct"/>
            <w:tcBorders>
              <w:top w:val="single" w:sz="8" w:space="0" w:color="000000"/>
              <w:left w:val="nil"/>
              <w:bottom w:val="single" w:sz="8" w:space="0" w:color="000000"/>
              <w:right w:val="nil"/>
            </w:tcBorders>
            <w:vAlign w:val="center"/>
          </w:tcPr>
          <w:p w:rsidR="00F7726A" w:rsidRPr="006B4FB1" w:rsidRDefault="00F7726A" w:rsidP="00B5579A">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Β‘ τρίμηνο 2019</w:t>
            </w:r>
          </w:p>
        </w:tc>
        <w:tc>
          <w:tcPr>
            <w:tcW w:w="478" w:type="pct"/>
            <w:tcBorders>
              <w:top w:val="single" w:sz="8" w:space="0" w:color="000000"/>
              <w:left w:val="nil"/>
              <w:bottom w:val="single" w:sz="8" w:space="0" w:color="000000"/>
              <w:right w:val="nil"/>
            </w:tcBorders>
            <w:vAlign w:val="center"/>
          </w:tcPr>
          <w:p w:rsidR="00F7726A" w:rsidRPr="006B4FB1" w:rsidRDefault="00F7726A" w:rsidP="00B5579A">
            <w:pPr>
              <w:ind w:right="148"/>
              <w:jc w:val="right"/>
              <w:rPr>
                <w:rFonts w:ascii="Segoe UI" w:eastAsia="Times New Roman" w:hAnsi="Segoe UI" w:cs="Segoe UI"/>
                <w:b/>
                <w:bCs/>
                <w:color w:val="000000" w:themeColor="text1"/>
                <w:kern w:val="24"/>
                <w:sz w:val="14"/>
                <w:szCs w:val="14"/>
                <w:lang w:eastAsia="el-GR"/>
              </w:rPr>
            </w:pPr>
            <w:r w:rsidRPr="006B4FB1">
              <w:rPr>
                <w:rFonts w:ascii="Segoe UI" w:eastAsia="Times New Roman" w:hAnsi="Segoe UI" w:cs="Segoe UI"/>
                <w:b/>
                <w:bCs/>
                <w:color w:val="000000" w:themeColor="text1"/>
                <w:kern w:val="24"/>
                <w:sz w:val="14"/>
                <w:szCs w:val="14"/>
                <w:lang w:eastAsia="el-GR"/>
              </w:rPr>
              <w:t>Α‘ τρίμηνο 2019</w:t>
            </w:r>
          </w:p>
        </w:tc>
      </w:tr>
      <w:tr w:rsidR="00F7726A" w:rsidRPr="006B4FB1" w:rsidTr="005610B3">
        <w:trPr>
          <w:trHeight w:val="227"/>
        </w:trPr>
        <w:tc>
          <w:tcPr>
            <w:tcW w:w="2132" w:type="pct"/>
            <w:tcBorders>
              <w:top w:val="single" w:sz="8" w:space="0" w:color="000000"/>
              <w:left w:val="nil"/>
              <w:bottom w:val="nil"/>
              <w:right w:val="nil"/>
            </w:tcBorders>
            <w:shd w:val="clear" w:color="auto" w:fill="F2F2F2" w:themeFill="background1" w:themeFillShade="F2"/>
            <w:tcMar>
              <w:top w:w="15" w:type="dxa"/>
              <w:left w:w="41" w:type="dxa"/>
              <w:bottom w:w="0" w:type="dxa"/>
              <w:right w:w="15" w:type="dxa"/>
            </w:tcMar>
            <w:vAlign w:val="center"/>
          </w:tcPr>
          <w:p w:rsidR="00F7726A" w:rsidRPr="006B4FB1" w:rsidRDefault="00F7726A">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Ρευστότητα</w:t>
            </w:r>
          </w:p>
        </w:tc>
        <w:tc>
          <w:tcPr>
            <w:tcW w:w="478" w:type="pct"/>
            <w:tcBorders>
              <w:top w:val="single" w:sz="8" w:space="0" w:color="000000"/>
              <w:left w:val="nil"/>
              <w:bottom w:val="nil"/>
              <w:right w:val="nil"/>
            </w:tcBorders>
            <w:shd w:val="clear" w:color="auto" w:fill="F2F2F2" w:themeFill="background1" w:themeFillShade="F2"/>
            <w:vAlign w:val="center"/>
          </w:tcPr>
          <w:p w:rsidR="00F7726A" w:rsidRPr="004152D9" w:rsidRDefault="00F7726A" w:rsidP="00C02F1B">
            <w:pPr>
              <w:ind w:right="148"/>
              <w:jc w:val="right"/>
              <w:rPr>
                <w:rFonts w:ascii="Segoe UI" w:eastAsia="Times New Roman" w:hAnsi="Segoe UI" w:cs="Segoe UI"/>
                <w:b/>
                <w:bCs/>
                <w:color w:val="000000" w:themeColor="text1"/>
                <w:kern w:val="24"/>
                <w:sz w:val="14"/>
                <w:szCs w:val="16"/>
                <w:lang w:eastAsia="el-GR"/>
              </w:rPr>
            </w:pPr>
          </w:p>
        </w:tc>
        <w:tc>
          <w:tcPr>
            <w:tcW w:w="478" w:type="pct"/>
            <w:tcBorders>
              <w:top w:val="single" w:sz="8" w:space="0" w:color="000000"/>
              <w:left w:val="nil"/>
              <w:bottom w:val="nil"/>
              <w:right w:val="nil"/>
            </w:tcBorders>
            <w:shd w:val="clear" w:color="auto" w:fill="F2F2F2" w:themeFill="background1" w:themeFillShade="F2"/>
          </w:tcPr>
          <w:p w:rsidR="00F7726A" w:rsidRPr="006B4FB1" w:rsidRDefault="00F7726A" w:rsidP="00931D2C">
            <w:pPr>
              <w:ind w:right="126"/>
              <w:jc w:val="right"/>
              <w:rPr>
                <w:rFonts w:ascii="Segoe UI" w:eastAsia="Times New Roman" w:hAnsi="Segoe UI" w:cs="Segoe UI"/>
                <w:kern w:val="24"/>
                <w:sz w:val="14"/>
                <w:szCs w:val="14"/>
                <w:highlight w:val="yellow"/>
                <w:lang w:eastAsia="el-GR"/>
              </w:rPr>
            </w:pPr>
          </w:p>
        </w:tc>
        <w:tc>
          <w:tcPr>
            <w:tcW w:w="478" w:type="pct"/>
            <w:tcBorders>
              <w:top w:val="single" w:sz="8" w:space="0" w:color="000000"/>
              <w:left w:val="nil"/>
              <w:bottom w:val="nil"/>
              <w:right w:val="nil"/>
            </w:tcBorders>
            <w:shd w:val="clear" w:color="auto" w:fill="F2F2F2" w:themeFill="background1" w:themeFillShade="F2"/>
            <w:vAlign w:val="center"/>
          </w:tcPr>
          <w:p w:rsidR="00F7726A" w:rsidRPr="006B4FB1" w:rsidRDefault="00F7726A" w:rsidP="00931D2C">
            <w:pPr>
              <w:ind w:right="126"/>
              <w:jc w:val="right"/>
              <w:rPr>
                <w:rFonts w:ascii="Segoe UI" w:eastAsia="Times New Roman" w:hAnsi="Segoe UI" w:cs="Segoe UI"/>
                <w:kern w:val="24"/>
                <w:sz w:val="14"/>
                <w:szCs w:val="14"/>
                <w:highlight w:val="yellow"/>
                <w:lang w:eastAsia="el-GR"/>
              </w:rPr>
            </w:pPr>
          </w:p>
        </w:tc>
        <w:tc>
          <w:tcPr>
            <w:tcW w:w="478" w:type="pct"/>
            <w:tcBorders>
              <w:top w:val="single" w:sz="8" w:space="0" w:color="000000"/>
              <w:left w:val="nil"/>
              <w:bottom w:val="nil"/>
              <w:right w:val="nil"/>
            </w:tcBorders>
            <w:shd w:val="clear" w:color="auto" w:fill="F2F2F2" w:themeFill="background1" w:themeFillShade="F2"/>
            <w:vAlign w:val="center"/>
          </w:tcPr>
          <w:p w:rsidR="00F7726A" w:rsidRPr="006B4FB1" w:rsidRDefault="00F7726A" w:rsidP="00931D2C">
            <w:pPr>
              <w:ind w:right="241"/>
              <w:jc w:val="right"/>
              <w:rPr>
                <w:rFonts w:ascii="Segoe UI" w:eastAsia="Times New Roman" w:hAnsi="Segoe UI" w:cs="Segoe UI"/>
                <w:kern w:val="24"/>
                <w:sz w:val="14"/>
                <w:szCs w:val="14"/>
                <w:highlight w:val="yellow"/>
                <w:lang w:eastAsia="el-GR"/>
              </w:rPr>
            </w:pPr>
          </w:p>
        </w:tc>
        <w:tc>
          <w:tcPr>
            <w:tcW w:w="478" w:type="pct"/>
            <w:tcBorders>
              <w:top w:val="single" w:sz="8" w:space="0" w:color="000000"/>
              <w:left w:val="nil"/>
              <w:bottom w:val="nil"/>
              <w:right w:val="nil"/>
            </w:tcBorders>
            <w:shd w:val="clear" w:color="auto" w:fill="F2F2F2" w:themeFill="background1" w:themeFillShade="F2"/>
            <w:vAlign w:val="center"/>
          </w:tcPr>
          <w:p w:rsidR="00F7726A" w:rsidRPr="006B4FB1" w:rsidRDefault="00F7726A" w:rsidP="00931D2C">
            <w:pPr>
              <w:ind w:right="241"/>
              <w:jc w:val="right"/>
              <w:rPr>
                <w:rFonts w:ascii="Segoe UI" w:eastAsia="Times New Roman" w:hAnsi="Segoe UI" w:cs="Segoe UI"/>
                <w:kern w:val="24"/>
                <w:sz w:val="14"/>
                <w:szCs w:val="14"/>
                <w:highlight w:val="yellow"/>
                <w:lang w:eastAsia="el-GR"/>
              </w:rPr>
            </w:pPr>
          </w:p>
        </w:tc>
        <w:tc>
          <w:tcPr>
            <w:tcW w:w="478" w:type="pct"/>
            <w:tcBorders>
              <w:top w:val="single" w:sz="8" w:space="0" w:color="000000"/>
              <w:left w:val="nil"/>
              <w:bottom w:val="nil"/>
              <w:right w:val="nil"/>
            </w:tcBorders>
            <w:shd w:val="clear" w:color="auto" w:fill="F2F2F2" w:themeFill="background1" w:themeFillShade="F2"/>
            <w:vAlign w:val="center"/>
          </w:tcPr>
          <w:p w:rsidR="00F7726A" w:rsidRPr="006B4FB1" w:rsidRDefault="00F7726A" w:rsidP="00931D2C">
            <w:pPr>
              <w:ind w:right="241"/>
              <w:jc w:val="right"/>
              <w:rPr>
                <w:rFonts w:ascii="Segoe UI" w:eastAsia="Times New Roman" w:hAnsi="Segoe UI" w:cs="Segoe UI"/>
                <w:kern w:val="24"/>
                <w:sz w:val="14"/>
                <w:szCs w:val="14"/>
                <w:highlight w:val="yellow"/>
                <w:lang w:eastAsia="el-GR"/>
              </w:rPr>
            </w:pPr>
          </w:p>
        </w:tc>
      </w:tr>
      <w:tr w:rsidR="005610B3" w:rsidRPr="006B4FB1" w:rsidTr="005610B3">
        <w:trPr>
          <w:trHeight w:val="227"/>
        </w:trPr>
        <w:tc>
          <w:tcPr>
            <w:tcW w:w="2132" w:type="pct"/>
            <w:tcBorders>
              <w:top w:val="nil"/>
              <w:left w:val="nil"/>
              <w:bottom w:val="nil"/>
              <w:right w:val="nil"/>
            </w:tcBorders>
            <w:shd w:val="clear" w:color="auto" w:fill="auto"/>
            <w:tcMar>
              <w:top w:w="15" w:type="dxa"/>
              <w:left w:w="41" w:type="dxa"/>
              <w:bottom w:w="0" w:type="dxa"/>
              <w:right w:w="15" w:type="dxa"/>
            </w:tcMar>
            <w:vAlign w:val="center"/>
            <w:hideMark/>
          </w:tcPr>
          <w:p w:rsidR="005610B3" w:rsidRPr="006B4FB1" w:rsidRDefault="005610B3" w:rsidP="00976026">
            <w:pPr>
              <w:rPr>
                <w:rFonts w:ascii="Segoe UI" w:eastAsia="Times New Roman" w:hAnsi="Segoe UI" w:cs="Segoe UI"/>
                <w:sz w:val="14"/>
                <w:szCs w:val="14"/>
                <w:lang w:eastAsia="el-GR"/>
              </w:rPr>
            </w:pPr>
            <w:r w:rsidRPr="006B4FB1">
              <w:rPr>
                <w:rFonts w:ascii="Segoe UI" w:eastAsia="Times New Roman" w:hAnsi="Segoe UI" w:cs="Segoe UI"/>
                <w:color w:val="000000" w:themeColor="text1"/>
                <w:kern w:val="24"/>
                <w:sz w:val="14"/>
                <w:szCs w:val="14"/>
                <w:lang w:eastAsia="el-GR"/>
              </w:rPr>
              <w:t xml:space="preserve">Δάνεια (μετά </w:t>
            </w:r>
            <w:r w:rsidR="00976026">
              <w:rPr>
                <w:rFonts w:ascii="Segoe UI" w:eastAsia="Times New Roman" w:hAnsi="Segoe UI" w:cs="Segoe UI"/>
                <w:color w:val="000000" w:themeColor="text1"/>
                <w:kern w:val="24"/>
                <w:sz w:val="14"/>
                <w:szCs w:val="14"/>
                <w:lang w:eastAsia="el-GR"/>
              </w:rPr>
              <w:t xml:space="preserve">από </w:t>
            </w:r>
            <w:r w:rsidRPr="006B4FB1">
              <w:rPr>
                <w:rFonts w:ascii="Segoe UI" w:eastAsia="Times New Roman" w:hAnsi="Segoe UI" w:cs="Segoe UI"/>
                <w:color w:val="000000" w:themeColor="text1"/>
                <w:kern w:val="24"/>
                <w:sz w:val="14"/>
                <w:szCs w:val="14"/>
                <w:lang w:eastAsia="el-GR"/>
              </w:rPr>
              <w:t>προβλέψε</w:t>
            </w:r>
            <w:r w:rsidR="00976026">
              <w:rPr>
                <w:rFonts w:ascii="Segoe UI" w:eastAsia="Times New Roman" w:hAnsi="Segoe UI" w:cs="Segoe UI"/>
                <w:color w:val="000000" w:themeColor="text1"/>
                <w:kern w:val="24"/>
                <w:sz w:val="14"/>
                <w:szCs w:val="14"/>
                <w:lang w:eastAsia="el-GR"/>
              </w:rPr>
              <w:t>ις</w:t>
            </w:r>
            <w:r w:rsidRPr="006B4FB1">
              <w:rPr>
                <w:rFonts w:ascii="Segoe UI" w:eastAsia="Times New Roman" w:hAnsi="Segoe UI" w:cs="Segoe UI"/>
                <w:color w:val="000000" w:themeColor="text1"/>
                <w:kern w:val="24"/>
                <w:sz w:val="14"/>
                <w:szCs w:val="14"/>
                <w:lang w:eastAsia="el-GR"/>
              </w:rPr>
              <w:t xml:space="preserve">) προς καταθέσεις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65%</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64%</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67%</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68%</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69%</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70%</w:t>
            </w:r>
          </w:p>
        </w:tc>
      </w:tr>
      <w:tr w:rsidR="005610B3" w:rsidRPr="006B4FB1" w:rsidTr="005610B3">
        <w:trPr>
          <w:trHeight w:val="227"/>
        </w:trPr>
        <w:tc>
          <w:tcPr>
            <w:tcW w:w="2132" w:type="pct"/>
            <w:tcBorders>
              <w:top w:val="nil"/>
              <w:left w:val="nil"/>
              <w:bottom w:val="nil"/>
              <w:right w:val="nil"/>
            </w:tcBorders>
            <w:shd w:val="clear" w:color="auto" w:fill="auto"/>
            <w:tcMar>
              <w:top w:w="15" w:type="dxa"/>
              <w:left w:w="41" w:type="dxa"/>
              <w:bottom w:w="0" w:type="dxa"/>
              <w:right w:w="15" w:type="dxa"/>
            </w:tcMar>
            <w:vAlign w:val="center"/>
          </w:tcPr>
          <w:p w:rsidR="005610B3" w:rsidRPr="006B4FB1" w:rsidRDefault="005610B3">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Δείκτης Κάλυψης Ρευστότητας (</w:t>
            </w:r>
            <w:r w:rsidRPr="006B4FB1">
              <w:rPr>
                <w:rFonts w:ascii="Segoe UI" w:eastAsia="Segoe UI" w:hAnsi="Segoe UI" w:cs="Segoe UI"/>
                <w:color w:val="000000"/>
                <w:kern w:val="24"/>
                <w:sz w:val="14"/>
                <w:szCs w:val="14"/>
                <w:lang w:val="en-US" w:eastAsia="el-GR"/>
              </w:rPr>
              <w:t>LCR</w:t>
            </w:r>
            <w:r w:rsidRPr="006B4FB1">
              <w:rPr>
                <w:rFonts w:ascii="Segoe UI" w:eastAsia="Segoe UI" w:hAnsi="Segoe UI" w:cs="Segoe UI"/>
                <w:color w:val="000000"/>
                <w:kern w:val="24"/>
                <w:sz w:val="14"/>
                <w:szCs w:val="14"/>
                <w:lang w:eastAsia="el-GR"/>
              </w:rPr>
              <w:t>)</w:t>
            </w:r>
          </w:p>
        </w:tc>
        <w:tc>
          <w:tcPr>
            <w:tcW w:w="478" w:type="pct"/>
            <w:tcBorders>
              <w:top w:val="nil"/>
              <w:left w:val="nil"/>
              <w:bottom w:val="nil"/>
              <w:right w:val="nil"/>
            </w:tcBorders>
            <w:vAlign w:val="center"/>
          </w:tcPr>
          <w:p w:rsidR="005610B3" w:rsidRPr="00CC318B" w:rsidRDefault="00CC318B" w:rsidP="00C02F1B">
            <w:pPr>
              <w:ind w:right="148"/>
              <w:jc w:val="right"/>
              <w:rPr>
                <w:rFonts w:ascii="Segoe UI" w:eastAsia="Times New Roman" w:hAnsi="Segoe UI" w:cs="Segoe UI"/>
                <w:bCs/>
                <w:color w:val="000000" w:themeColor="text1"/>
                <w:kern w:val="24"/>
                <w:sz w:val="14"/>
                <w:szCs w:val="16"/>
                <w:lang w:val="en-US" w:eastAsia="el-GR"/>
              </w:rPr>
            </w:pPr>
            <w:r>
              <w:rPr>
                <w:rFonts w:ascii="Segoe UI" w:eastAsia="Times New Roman" w:hAnsi="Segoe UI" w:cs="Segoe UI"/>
                <w:bCs/>
                <w:color w:val="000000" w:themeColor="text1"/>
                <w:kern w:val="24"/>
                <w:sz w:val="14"/>
                <w:szCs w:val="16"/>
                <w:lang w:val="en-US" w:eastAsia="el-GR"/>
              </w:rPr>
              <w:t>216%</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171%</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207%</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198%</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171%</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151%</w:t>
            </w:r>
          </w:p>
        </w:tc>
      </w:tr>
      <w:tr w:rsidR="005610B3" w:rsidRPr="006B4FB1" w:rsidTr="005610B3">
        <w:trPr>
          <w:trHeight w:val="227"/>
        </w:trPr>
        <w:tc>
          <w:tcPr>
            <w:tcW w:w="2132"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5610B3" w:rsidRPr="006B4FB1" w:rsidRDefault="005610B3">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Κε</w:t>
            </w:r>
            <w:r w:rsidRPr="006B4FB1">
              <w:rPr>
                <w:rFonts w:ascii="Segoe UI" w:eastAsia="Times New Roman" w:hAnsi="Segoe UI" w:cs="Segoe UI"/>
                <w:b/>
                <w:bCs/>
                <w:color w:val="000000" w:themeColor="text1"/>
                <w:kern w:val="24"/>
                <w:sz w:val="14"/>
                <w:szCs w:val="14"/>
                <w:shd w:val="clear" w:color="auto" w:fill="F2F2F2" w:themeFill="background1" w:themeFillShade="F2"/>
                <w:lang w:eastAsia="el-GR"/>
              </w:rPr>
              <w:t>ρδοφορία</w:t>
            </w: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jc w:val="right"/>
              <w:rPr>
                <w:rFonts w:ascii="Segoe UI" w:hAnsi="Segoe UI" w:cs="Segoe UI"/>
                <w:sz w:val="14"/>
                <w:szCs w:val="16"/>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jc w:val="right"/>
              <w:rPr>
                <w:rFonts w:ascii="Segoe UI" w:hAnsi="Segoe UI" w:cs="Segoe UI"/>
                <w:sz w:val="14"/>
                <w:szCs w:val="16"/>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jc w:val="right"/>
              <w:rPr>
                <w:rFonts w:ascii="Segoe UI" w:hAnsi="Segoe UI" w:cs="Segoe UI"/>
                <w:sz w:val="14"/>
                <w:szCs w:val="16"/>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jc w:val="right"/>
              <w:rPr>
                <w:rFonts w:ascii="Segoe UI" w:hAnsi="Segoe UI" w:cs="Segoe UI"/>
                <w:sz w:val="14"/>
                <w:szCs w:val="16"/>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jc w:val="right"/>
              <w:rPr>
                <w:rFonts w:ascii="Segoe UI" w:hAnsi="Segoe UI" w:cs="Segoe UI"/>
                <w:sz w:val="14"/>
                <w:szCs w:val="16"/>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jc w:val="right"/>
              <w:rPr>
                <w:rFonts w:ascii="Segoe UI" w:hAnsi="Segoe UI" w:cs="Segoe UI"/>
                <w:sz w:val="14"/>
                <w:szCs w:val="16"/>
              </w:rPr>
            </w:pPr>
          </w:p>
        </w:tc>
      </w:tr>
      <w:tr w:rsidR="00E9061A" w:rsidRPr="006B4FB1" w:rsidTr="005610B3">
        <w:trPr>
          <w:trHeight w:val="227"/>
        </w:trPr>
        <w:tc>
          <w:tcPr>
            <w:tcW w:w="2132" w:type="pct"/>
            <w:tcBorders>
              <w:top w:val="nil"/>
              <w:left w:val="nil"/>
              <w:bottom w:val="nil"/>
              <w:right w:val="nil"/>
            </w:tcBorders>
            <w:shd w:val="clear" w:color="auto" w:fill="auto"/>
            <w:tcMar>
              <w:top w:w="15" w:type="dxa"/>
              <w:left w:w="41" w:type="dxa"/>
              <w:bottom w:w="0" w:type="dxa"/>
              <w:right w:w="15" w:type="dxa"/>
            </w:tcMar>
            <w:vAlign w:val="center"/>
            <w:hideMark/>
          </w:tcPr>
          <w:p w:rsidR="00E9061A" w:rsidRPr="006B4FB1" w:rsidRDefault="00E9061A" w:rsidP="00E9061A">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Καθαρό επιτοκιακό περιθώριο</w:t>
            </w:r>
            <w:r w:rsidR="00A06532" w:rsidRPr="00A06532">
              <w:rPr>
                <w:rFonts w:ascii="Segoe UI" w:eastAsia="Segoe UI" w:hAnsi="Segoe UI" w:cs="Segoe UI"/>
                <w:color w:val="000000"/>
                <w:kern w:val="24"/>
                <w:sz w:val="14"/>
                <w:szCs w:val="14"/>
                <w:vertAlign w:val="superscript"/>
                <w:lang w:eastAsia="el-GR"/>
              </w:rPr>
              <w:t>1</w:t>
            </w:r>
            <w:r w:rsidRPr="006B4FB1">
              <w:rPr>
                <w:rFonts w:ascii="Segoe UI" w:eastAsia="Segoe UI" w:hAnsi="Segoe UI" w:cs="Segoe UI"/>
                <w:color w:val="000000"/>
                <w:kern w:val="24"/>
                <w:sz w:val="14"/>
                <w:szCs w:val="14"/>
                <w:lang w:eastAsia="el-GR"/>
              </w:rPr>
              <w:t xml:space="preserve"> (μ.β.)</w:t>
            </w:r>
          </w:p>
        </w:tc>
        <w:tc>
          <w:tcPr>
            <w:tcW w:w="478" w:type="pct"/>
            <w:tcBorders>
              <w:top w:val="nil"/>
              <w:left w:val="nil"/>
              <w:bottom w:val="nil"/>
              <w:right w:val="nil"/>
            </w:tcBorders>
            <w:vAlign w:val="center"/>
          </w:tcPr>
          <w:p w:rsidR="00E9061A" w:rsidRPr="00E9061A" w:rsidRDefault="00E9061A" w:rsidP="00E9061A">
            <w:pPr>
              <w:ind w:right="148"/>
              <w:jc w:val="right"/>
              <w:rPr>
                <w:rFonts w:ascii="Segoe UI" w:eastAsia="Times New Roman" w:hAnsi="Segoe UI" w:cs="Segoe UI"/>
                <w:bCs/>
                <w:color w:val="000000" w:themeColor="text1"/>
                <w:kern w:val="24"/>
                <w:sz w:val="14"/>
                <w:szCs w:val="16"/>
                <w:lang w:eastAsia="el-GR"/>
              </w:rPr>
            </w:pPr>
            <w:r w:rsidRPr="00E9061A">
              <w:rPr>
                <w:rFonts w:ascii="Segoe UI" w:eastAsia="Times New Roman" w:hAnsi="Segoe UI" w:cs="Segoe UI"/>
                <w:bCs/>
                <w:color w:val="000000" w:themeColor="text1"/>
                <w:kern w:val="24"/>
                <w:sz w:val="14"/>
                <w:szCs w:val="16"/>
                <w:lang w:eastAsia="el-GR"/>
              </w:rPr>
              <w:t xml:space="preserve">216 </w:t>
            </w:r>
          </w:p>
        </w:tc>
        <w:tc>
          <w:tcPr>
            <w:tcW w:w="478" w:type="pct"/>
            <w:tcBorders>
              <w:top w:val="nil"/>
              <w:left w:val="nil"/>
              <w:bottom w:val="nil"/>
              <w:right w:val="nil"/>
            </w:tcBorders>
            <w:vAlign w:val="center"/>
          </w:tcPr>
          <w:p w:rsidR="00E9061A" w:rsidRPr="00E9061A" w:rsidRDefault="00E9061A" w:rsidP="00E9061A">
            <w:pPr>
              <w:ind w:right="148"/>
              <w:jc w:val="right"/>
              <w:rPr>
                <w:rFonts w:ascii="Segoe UI" w:eastAsia="Times New Roman" w:hAnsi="Segoe UI" w:cs="Segoe UI"/>
                <w:bCs/>
                <w:color w:val="000000" w:themeColor="text1"/>
                <w:kern w:val="24"/>
                <w:sz w:val="14"/>
                <w:szCs w:val="16"/>
                <w:lang w:eastAsia="el-GR"/>
              </w:rPr>
            </w:pPr>
            <w:r w:rsidRPr="00E9061A">
              <w:rPr>
                <w:rFonts w:ascii="Segoe UI" w:eastAsia="Times New Roman" w:hAnsi="Segoe UI" w:cs="Segoe UI"/>
                <w:bCs/>
                <w:color w:val="000000" w:themeColor="text1"/>
                <w:kern w:val="24"/>
                <w:sz w:val="14"/>
                <w:szCs w:val="16"/>
                <w:lang w:eastAsia="el-GR"/>
              </w:rPr>
              <w:t xml:space="preserve">236 </w:t>
            </w:r>
          </w:p>
        </w:tc>
        <w:tc>
          <w:tcPr>
            <w:tcW w:w="478" w:type="pct"/>
            <w:tcBorders>
              <w:top w:val="nil"/>
              <w:left w:val="nil"/>
              <w:bottom w:val="nil"/>
              <w:right w:val="nil"/>
            </w:tcBorders>
            <w:shd w:val="clear" w:color="auto" w:fill="auto"/>
            <w:vAlign w:val="center"/>
          </w:tcPr>
          <w:p w:rsidR="00E9061A" w:rsidRPr="00E9061A" w:rsidRDefault="00E9061A" w:rsidP="00E9061A">
            <w:pPr>
              <w:ind w:right="148"/>
              <w:jc w:val="right"/>
              <w:rPr>
                <w:rFonts w:ascii="Segoe UI" w:eastAsia="Times New Roman" w:hAnsi="Segoe UI" w:cs="Segoe UI"/>
                <w:bCs/>
                <w:color w:val="000000" w:themeColor="text1"/>
                <w:kern w:val="24"/>
                <w:sz w:val="14"/>
                <w:szCs w:val="16"/>
                <w:lang w:eastAsia="el-GR"/>
              </w:rPr>
            </w:pPr>
            <w:r w:rsidRPr="00E9061A">
              <w:rPr>
                <w:rFonts w:ascii="Segoe UI" w:eastAsia="Times New Roman" w:hAnsi="Segoe UI" w:cs="Segoe UI"/>
                <w:bCs/>
                <w:color w:val="000000" w:themeColor="text1"/>
                <w:kern w:val="24"/>
                <w:sz w:val="14"/>
                <w:szCs w:val="16"/>
                <w:lang w:eastAsia="el-GR"/>
              </w:rPr>
              <w:t xml:space="preserve">261 </w:t>
            </w:r>
          </w:p>
        </w:tc>
        <w:tc>
          <w:tcPr>
            <w:tcW w:w="478" w:type="pct"/>
            <w:tcBorders>
              <w:top w:val="nil"/>
              <w:left w:val="nil"/>
              <w:bottom w:val="nil"/>
              <w:right w:val="nil"/>
            </w:tcBorders>
            <w:shd w:val="clear" w:color="auto" w:fill="auto"/>
            <w:vAlign w:val="center"/>
          </w:tcPr>
          <w:p w:rsidR="00E9061A" w:rsidRPr="00E9061A" w:rsidRDefault="00E9061A" w:rsidP="00E9061A">
            <w:pPr>
              <w:ind w:right="148"/>
              <w:jc w:val="right"/>
              <w:rPr>
                <w:rFonts w:ascii="Segoe UI" w:eastAsia="Times New Roman" w:hAnsi="Segoe UI" w:cs="Segoe UI"/>
                <w:bCs/>
                <w:color w:val="000000" w:themeColor="text1"/>
                <w:kern w:val="24"/>
                <w:sz w:val="14"/>
                <w:szCs w:val="16"/>
                <w:lang w:eastAsia="el-GR"/>
              </w:rPr>
            </w:pPr>
            <w:r w:rsidRPr="00E9061A">
              <w:rPr>
                <w:rFonts w:ascii="Segoe UI" w:eastAsia="Times New Roman" w:hAnsi="Segoe UI" w:cs="Segoe UI"/>
                <w:bCs/>
                <w:color w:val="000000" w:themeColor="text1"/>
                <w:kern w:val="24"/>
                <w:sz w:val="14"/>
                <w:szCs w:val="16"/>
                <w:lang w:eastAsia="el-GR"/>
              </w:rPr>
              <w:t xml:space="preserve">268 </w:t>
            </w:r>
          </w:p>
        </w:tc>
        <w:tc>
          <w:tcPr>
            <w:tcW w:w="478" w:type="pct"/>
            <w:tcBorders>
              <w:top w:val="nil"/>
              <w:left w:val="nil"/>
              <w:bottom w:val="nil"/>
              <w:right w:val="nil"/>
            </w:tcBorders>
            <w:shd w:val="clear" w:color="auto" w:fill="auto"/>
            <w:vAlign w:val="center"/>
          </w:tcPr>
          <w:p w:rsidR="00E9061A" w:rsidRPr="00E9061A" w:rsidRDefault="00E9061A" w:rsidP="00E9061A">
            <w:pPr>
              <w:ind w:right="148"/>
              <w:jc w:val="right"/>
              <w:rPr>
                <w:rFonts w:ascii="Segoe UI" w:eastAsia="Times New Roman" w:hAnsi="Segoe UI" w:cs="Segoe UI"/>
                <w:bCs/>
                <w:color w:val="000000" w:themeColor="text1"/>
                <w:kern w:val="24"/>
                <w:sz w:val="14"/>
                <w:szCs w:val="16"/>
                <w:lang w:eastAsia="el-GR"/>
              </w:rPr>
            </w:pPr>
            <w:r w:rsidRPr="00E9061A">
              <w:rPr>
                <w:rFonts w:ascii="Segoe UI" w:eastAsia="Times New Roman" w:hAnsi="Segoe UI" w:cs="Segoe UI"/>
                <w:bCs/>
                <w:color w:val="000000" w:themeColor="text1"/>
                <w:kern w:val="24"/>
                <w:sz w:val="14"/>
                <w:szCs w:val="16"/>
                <w:lang w:eastAsia="el-GR"/>
              </w:rPr>
              <w:t xml:space="preserve">278 </w:t>
            </w:r>
          </w:p>
        </w:tc>
        <w:tc>
          <w:tcPr>
            <w:tcW w:w="478" w:type="pct"/>
            <w:tcBorders>
              <w:top w:val="nil"/>
              <w:left w:val="nil"/>
              <w:bottom w:val="nil"/>
              <w:right w:val="nil"/>
            </w:tcBorders>
            <w:shd w:val="clear" w:color="auto" w:fill="auto"/>
            <w:vAlign w:val="center"/>
          </w:tcPr>
          <w:p w:rsidR="00E9061A" w:rsidRPr="00E9061A" w:rsidRDefault="00E9061A" w:rsidP="00E9061A">
            <w:pPr>
              <w:ind w:right="148"/>
              <w:jc w:val="right"/>
              <w:rPr>
                <w:rFonts w:ascii="Segoe UI" w:eastAsia="Times New Roman" w:hAnsi="Segoe UI" w:cs="Segoe UI"/>
                <w:bCs/>
                <w:color w:val="000000" w:themeColor="text1"/>
                <w:kern w:val="24"/>
                <w:sz w:val="14"/>
                <w:szCs w:val="16"/>
                <w:lang w:eastAsia="el-GR"/>
              </w:rPr>
            </w:pPr>
            <w:r w:rsidRPr="00E9061A">
              <w:rPr>
                <w:rFonts w:ascii="Segoe UI" w:eastAsia="Times New Roman" w:hAnsi="Segoe UI" w:cs="Segoe UI"/>
                <w:bCs/>
                <w:color w:val="000000" w:themeColor="text1"/>
                <w:kern w:val="24"/>
                <w:sz w:val="14"/>
                <w:szCs w:val="16"/>
                <w:lang w:eastAsia="el-GR"/>
              </w:rPr>
              <w:t xml:space="preserve">260 </w:t>
            </w:r>
          </w:p>
        </w:tc>
      </w:tr>
      <w:tr w:rsidR="005610B3" w:rsidRPr="006B4FB1" w:rsidTr="005610B3">
        <w:trPr>
          <w:trHeight w:val="227"/>
        </w:trPr>
        <w:tc>
          <w:tcPr>
            <w:tcW w:w="2132" w:type="pct"/>
            <w:tcBorders>
              <w:top w:val="nil"/>
              <w:left w:val="nil"/>
              <w:bottom w:val="nil"/>
              <w:right w:val="nil"/>
            </w:tcBorders>
            <w:shd w:val="clear" w:color="auto" w:fill="auto"/>
            <w:tcMar>
              <w:top w:w="15" w:type="dxa"/>
              <w:left w:w="41" w:type="dxa"/>
              <w:bottom w:w="0" w:type="dxa"/>
              <w:right w:w="15" w:type="dxa"/>
            </w:tcMar>
            <w:vAlign w:val="center"/>
          </w:tcPr>
          <w:p w:rsidR="005610B3" w:rsidRPr="006B4FB1" w:rsidRDefault="005610B3" w:rsidP="00B5579A">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 xml:space="preserve">Δείκτης κόστους προς οργανικά έσοδα </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60%</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60%</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62%</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59%</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55%</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58%</w:t>
            </w:r>
          </w:p>
        </w:tc>
      </w:tr>
      <w:tr w:rsidR="005610B3" w:rsidRPr="006B4FB1" w:rsidTr="005610B3">
        <w:trPr>
          <w:trHeight w:val="227"/>
        </w:trPr>
        <w:tc>
          <w:tcPr>
            <w:tcW w:w="2132" w:type="pct"/>
            <w:tcBorders>
              <w:top w:val="nil"/>
              <w:left w:val="nil"/>
              <w:bottom w:val="nil"/>
              <w:right w:val="nil"/>
            </w:tcBorders>
            <w:shd w:val="clear" w:color="auto" w:fill="auto"/>
            <w:tcMar>
              <w:top w:w="15" w:type="dxa"/>
              <w:left w:w="41" w:type="dxa"/>
              <w:bottom w:w="0" w:type="dxa"/>
              <w:right w:w="15" w:type="dxa"/>
            </w:tcMar>
            <w:vAlign w:val="center"/>
          </w:tcPr>
          <w:p w:rsidR="005610B3" w:rsidRPr="006B4FB1" w:rsidRDefault="005610B3" w:rsidP="002E000C">
            <w:pP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Περιθώριο </w:t>
            </w:r>
            <w:r>
              <w:rPr>
                <w:rFonts w:ascii="Segoe UI" w:eastAsia="Segoe UI" w:hAnsi="Segoe UI" w:cs="Segoe UI"/>
                <w:color w:val="000000"/>
                <w:kern w:val="24"/>
                <w:sz w:val="14"/>
                <w:szCs w:val="14"/>
                <w:lang w:eastAsia="el-GR"/>
              </w:rPr>
              <w:t xml:space="preserve">οργανικών </w:t>
            </w:r>
            <w:r w:rsidRPr="006B4FB1">
              <w:rPr>
                <w:rFonts w:ascii="Segoe UI" w:eastAsia="Segoe UI" w:hAnsi="Segoe UI" w:cs="Segoe UI"/>
                <w:color w:val="000000"/>
                <w:kern w:val="24"/>
                <w:sz w:val="14"/>
                <w:szCs w:val="14"/>
                <w:lang w:eastAsia="el-GR"/>
              </w:rPr>
              <w:t>κερδών προ προβλέψεων (μ.β.)</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181</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188</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189</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205</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222</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194</w:t>
            </w:r>
          </w:p>
        </w:tc>
      </w:tr>
      <w:tr w:rsidR="005610B3" w:rsidRPr="006B4FB1" w:rsidTr="005610B3">
        <w:trPr>
          <w:trHeight w:val="227"/>
        </w:trPr>
        <w:tc>
          <w:tcPr>
            <w:tcW w:w="2132" w:type="pct"/>
            <w:tcBorders>
              <w:top w:val="nil"/>
              <w:left w:val="nil"/>
              <w:bottom w:val="nil"/>
              <w:right w:val="nil"/>
            </w:tcBorders>
            <w:shd w:val="clear" w:color="auto" w:fill="auto"/>
            <w:tcMar>
              <w:top w:w="15" w:type="dxa"/>
              <w:left w:w="41" w:type="dxa"/>
              <w:bottom w:w="0" w:type="dxa"/>
              <w:right w:w="15" w:type="dxa"/>
            </w:tcMar>
            <w:vAlign w:val="center"/>
            <w:hideMark/>
          </w:tcPr>
          <w:p w:rsidR="005610B3" w:rsidRPr="006B4FB1" w:rsidRDefault="005610B3" w:rsidP="002E000C">
            <w:pPr>
              <w:pStyle w:val="Web"/>
              <w:spacing w:before="0" w:beforeAutospacing="0" w:after="0" w:afterAutospacing="0"/>
              <w:rPr>
                <w:rFonts w:ascii="Segoe UI" w:hAnsi="Segoe UI" w:cs="Segoe UI"/>
                <w:sz w:val="14"/>
                <w:szCs w:val="14"/>
              </w:rPr>
            </w:pPr>
            <w:r w:rsidRPr="006B4FB1">
              <w:rPr>
                <w:rFonts w:ascii="Segoe UI" w:eastAsia="Segoe UI" w:hAnsi="Segoe UI" w:cs="Segoe UI"/>
                <w:color w:val="000000"/>
                <w:kern w:val="24"/>
                <w:sz w:val="14"/>
                <w:szCs w:val="14"/>
                <w:lang w:val="en-US" w:eastAsia="el-GR"/>
              </w:rPr>
              <w:t>K</w:t>
            </w:r>
            <w:r w:rsidRPr="006B4FB1">
              <w:rPr>
                <w:rFonts w:ascii="Segoe UI" w:eastAsia="Segoe UI" w:hAnsi="Segoe UI" w:cs="Segoe UI"/>
                <w:color w:val="000000"/>
                <w:kern w:val="24"/>
                <w:sz w:val="14"/>
                <w:szCs w:val="14"/>
                <w:lang w:eastAsia="el-GR"/>
              </w:rPr>
              <w:t>όστος πιστωτικού κινδύνου (μ.β.)</w:t>
            </w:r>
          </w:p>
        </w:tc>
        <w:tc>
          <w:tcPr>
            <w:tcW w:w="478" w:type="pct"/>
            <w:tcBorders>
              <w:top w:val="nil"/>
              <w:left w:val="nil"/>
              <w:bottom w:val="nil"/>
              <w:right w:val="nil"/>
            </w:tcBorders>
            <w:vAlign w:val="center"/>
          </w:tcPr>
          <w:p w:rsidR="005610B3" w:rsidRPr="005610B3" w:rsidRDefault="006D7114" w:rsidP="006D7114">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eastAsia="el-GR"/>
              </w:rPr>
              <w:t>92</w:t>
            </w:r>
            <w:r w:rsidR="00F27D42" w:rsidRPr="00F27D42">
              <w:rPr>
                <w:rFonts w:ascii="Segoe UI" w:eastAsia="Times New Roman" w:hAnsi="Segoe UI" w:cs="Segoe UI"/>
                <w:bCs/>
                <w:color w:val="000000" w:themeColor="text1"/>
                <w:kern w:val="24"/>
                <w:sz w:val="14"/>
                <w:szCs w:val="16"/>
                <w:vertAlign w:val="superscript"/>
                <w:lang w:eastAsia="el-GR"/>
              </w:rPr>
              <w:t>2</w:t>
            </w:r>
            <w:r w:rsidR="005610B3" w:rsidRPr="005610B3">
              <w:rPr>
                <w:rFonts w:ascii="Segoe UI" w:eastAsia="Times New Roman" w:hAnsi="Segoe UI" w:cs="Segoe UI"/>
                <w:bCs/>
                <w:color w:val="000000" w:themeColor="text1"/>
                <w:kern w:val="24"/>
                <w:sz w:val="14"/>
                <w:szCs w:val="16"/>
                <w:lang w:eastAsia="el-GR"/>
              </w:rPr>
              <w:t xml:space="preserve"> </w:t>
            </w:r>
          </w:p>
        </w:tc>
        <w:tc>
          <w:tcPr>
            <w:tcW w:w="478" w:type="pct"/>
            <w:tcBorders>
              <w:top w:val="nil"/>
              <w:left w:val="nil"/>
              <w:bottom w:val="nil"/>
              <w:right w:val="nil"/>
            </w:tcBorders>
            <w:vAlign w:val="center"/>
          </w:tcPr>
          <w:p w:rsidR="005610B3" w:rsidRPr="005610B3" w:rsidRDefault="005610B3" w:rsidP="009436A0">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239</w:t>
            </w:r>
            <w:r w:rsidR="009436A0">
              <w:rPr>
                <w:rFonts w:ascii="Segoe UI" w:eastAsia="Times New Roman" w:hAnsi="Segoe UI" w:cs="Segoe UI"/>
                <w:bCs/>
                <w:color w:val="000000" w:themeColor="text1"/>
                <w:kern w:val="24"/>
                <w:sz w:val="14"/>
                <w:szCs w:val="16"/>
                <w:vertAlign w:val="superscript"/>
                <w:lang w:eastAsia="el-GR"/>
              </w:rPr>
              <w:t>2</w:t>
            </w:r>
            <w:r w:rsidRPr="005610B3">
              <w:rPr>
                <w:rFonts w:ascii="Segoe UI" w:eastAsia="Times New Roman" w:hAnsi="Segoe UI" w:cs="Segoe UI"/>
                <w:bCs/>
                <w:color w:val="000000" w:themeColor="text1"/>
                <w:kern w:val="24"/>
                <w:sz w:val="14"/>
                <w:szCs w:val="16"/>
                <w:lang w:eastAsia="el-GR"/>
              </w:rPr>
              <w:t xml:space="preserve"> </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 xml:space="preserve">147 </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 xml:space="preserve">81 </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 xml:space="preserve">131 </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 xml:space="preserve">137 </w:t>
            </w:r>
          </w:p>
        </w:tc>
      </w:tr>
      <w:tr w:rsidR="005610B3" w:rsidRPr="006B4FB1" w:rsidTr="005610B3">
        <w:trPr>
          <w:trHeight w:val="227"/>
        </w:trPr>
        <w:tc>
          <w:tcPr>
            <w:tcW w:w="2132" w:type="pct"/>
            <w:tcBorders>
              <w:top w:val="nil"/>
              <w:left w:val="nil"/>
              <w:bottom w:val="nil"/>
              <w:right w:val="nil"/>
            </w:tcBorders>
            <w:shd w:val="clear" w:color="auto" w:fill="auto"/>
            <w:tcMar>
              <w:top w:w="15" w:type="dxa"/>
              <w:left w:w="41" w:type="dxa"/>
              <w:bottom w:w="0" w:type="dxa"/>
              <w:right w:w="15" w:type="dxa"/>
            </w:tcMar>
            <w:vAlign w:val="center"/>
          </w:tcPr>
          <w:p w:rsidR="005610B3" w:rsidRPr="00D73236" w:rsidRDefault="005610B3" w:rsidP="00D77D8A">
            <w:pPr>
              <w:pStyle w:val="Web"/>
              <w:spacing w:before="0" w:beforeAutospacing="0" w:after="0" w:afterAutospacing="0"/>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Περιθώριο οργανικού κέρδους (μ.β.)</w:t>
            </w:r>
          </w:p>
        </w:tc>
        <w:tc>
          <w:tcPr>
            <w:tcW w:w="478" w:type="pct"/>
            <w:tcBorders>
              <w:top w:val="nil"/>
              <w:left w:val="nil"/>
              <w:bottom w:val="nil"/>
              <w:right w:val="nil"/>
            </w:tcBorders>
            <w:vAlign w:val="center"/>
          </w:tcPr>
          <w:p w:rsidR="005610B3" w:rsidRPr="005610B3" w:rsidRDefault="00F27D42" w:rsidP="00F27D42">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eastAsia="el-GR"/>
              </w:rPr>
              <w:t>89</w:t>
            </w:r>
            <w:r w:rsidRPr="00F27D42">
              <w:rPr>
                <w:rFonts w:ascii="Segoe UI" w:eastAsia="Times New Roman" w:hAnsi="Segoe UI" w:cs="Segoe UI"/>
                <w:bCs/>
                <w:color w:val="000000" w:themeColor="text1"/>
                <w:kern w:val="24"/>
                <w:sz w:val="14"/>
                <w:szCs w:val="16"/>
                <w:vertAlign w:val="superscript"/>
                <w:lang w:eastAsia="el-GR"/>
              </w:rPr>
              <w:t>3</w:t>
            </w:r>
          </w:p>
        </w:tc>
        <w:tc>
          <w:tcPr>
            <w:tcW w:w="478" w:type="pct"/>
            <w:tcBorders>
              <w:top w:val="nil"/>
              <w:left w:val="nil"/>
              <w:bottom w:val="nil"/>
              <w:right w:val="nil"/>
            </w:tcBorders>
            <w:vAlign w:val="center"/>
          </w:tcPr>
          <w:p w:rsidR="005610B3" w:rsidRPr="005610B3" w:rsidRDefault="005610B3" w:rsidP="009436A0">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92</w:t>
            </w:r>
            <w:r w:rsidR="009436A0">
              <w:rPr>
                <w:rFonts w:ascii="Segoe UI" w:eastAsia="Times New Roman" w:hAnsi="Segoe UI" w:cs="Segoe UI"/>
                <w:bCs/>
                <w:color w:val="000000" w:themeColor="text1"/>
                <w:kern w:val="24"/>
                <w:sz w:val="14"/>
                <w:szCs w:val="16"/>
                <w:vertAlign w:val="superscript"/>
                <w:lang w:eastAsia="el-GR"/>
              </w:rPr>
              <w:t>3</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42</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124</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90</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57</w:t>
            </w:r>
          </w:p>
        </w:tc>
      </w:tr>
      <w:tr w:rsidR="005610B3" w:rsidRPr="006B4FB1" w:rsidTr="005610B3">
        <w:trPr>
          <w:trHeight w:val="227"/>
        </w:trPr>
        <w:tc>
          <w:tcPr>
            <w:tcW w:w="2132"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5610B3" w:rsidRPr="001168B2" w:rsidRDefault="005610B3" w:rsidP="00B5579A">
            <w:pPr>
              <w:rPr>
                <w:rFonts w:ascii="Segoe UI" w:eastAsia="Times New Roman" w:hAnsi="Segoe UI" w:cs="Segoe UI"/>
                <w:b/>
                <w:bCs/>
                <w:color w:val="000000" w:themeColor="text1"/>
                <w:kern w:val="24"/>
                <w:sz w:val="14"/>
                <w:szCs w:val="14"/>
                <w:lang w:eastAsia="el-GR"/>
              </w:rPr>
            </w:pPr>
            <w:r w:rsidRPr="001168B2">
              <w:rPr>
                <w:rFonts w:ascii="Segoe UI" w:eastAsia="Times New Roman" w:hAnsi="Segoe UI" w:cs="Segoe UI"/>
                <w:b/>
                <w:bCs/>
                <w:color w:val="000000" w:themeColor="text1"/>
                <w:kern w:val="24"/>
                <w:sz w:val="14"/>
                <w:szCs w:val="14"/>
                <w:lang w:eastAsia="el-GR"/>
              </w:rPr>
              <w:t>Ποιότητα δανειακού χαρτοφυλακίου</w:t>
            </w: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highlight w:val="yellow"/>
                <w:lang w:eastAsia="el-GR"/>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p>
        </w:tc>
      </w:tr>
      <w:tr w:rsidR="005610B3" w:rsidRPr="006B4FB1" w:rsidTr="005610B3">
        <w:trPr>
          <w:trHeight w:val="227"/>
        </w:trPr>
        <w:tc>
          <w:tcPr>
            <w:tcW w:w="2132" w:type="pct"/>
            <w:tcBorders>
              <w:top w:val="nil"/>
              <w:left w:val="nil"/>
              <w:bottom w:val="nil"/>
              <w:right w:val="nil"/>
            </w:tcBorders>
            <w:shd w:val="clear" w:color="auto" w:fill="auto"/>
            <w:tcMar>
              <w:top w:w="15" w:type="dxa"/>
              <w:left w:w="41" w:type="dxa"/>
              <w:bottom w:w="0" w:type="dxa"/>
              <w:right w:w="15" w:type="dxa"/>
            </w:tcMar>
            <w:vAlign w:val="center"/>
            <w:hideMark/>
          </w:tcPr>
          <w:p w:rsidR="005610B3" w:rsidRPr="00C62FEB" w:rsidRDefault="005610B3" w:rsidP="00B5579A">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Μη Εξυπηρετούμενων Ανοιγμάτων</w:t>
            </w:r>
          </w:p>
        </w:tc>
        <w:tc>
          <w:tcPr>
            <w:tcW w:w="478" w:type="pct"/>
            <w:tcBorders>
              <w:top w:val="nil"/>
              <w:left w:val="nil"/>
              <w:bottom w:val="nil"/>
              <w:right w:val="nil"/>
            </w:tcBorders>
            <w:vAlign w:val="center"/>
          </w:tcPr>
          <w:p w:rsidR="005610B3" w:rsidRPr="005610B3" w:rsidRDefault="00F17AA8" w:rsidP="00F17AA8">
            <w:pPr>
              <w:ind w:right="148"/>
              <w:jc w:val="right"/>
              <w:rPr>
                <w:rFonts w:ascii="Segoe UI" w:eastAsia="Times New Roman" w:hAnsi="Segoe UI" w:cs="Segoe UI"/>
                <w:bCs/>
                <w:color w:val="000000" w:themeColor="text1"/>
                <w:kern w:val="24"/>
                <w:sz w:val="14"/>
                <w:szCs w:val="16"/>
                <w:lang w:eastAsia="el-GR"/>
              </w:rPr>
            </w:pPr>
            <w:r>
              <w:rPr>
                <w:rFonts w:ascii="Segoe UI" w:eastAsia="Times New Roman" w:hAnsi="Segoe UI" w:cs="Segoe UI"/>
                <w:bCs/>
                <w:color w:val="000000" w:themeColor="text1"/>
                <w:kern w:val="24"/>
                <w:sz w:val="14"/>
                <w:szCs w:val="16"/>
                <w:lang w:val="en-US" w:eastAsia="el-GR"/>
              </w:rPr>
              <w:t>29</w:t>
            </w:r>
            <w:r w:rsidR="00A46ABB">
              <w:rPr>
                <w:rFonts w:ascii="Segoe UI" w:eastAsia="Times New Roman" w:hAnsi="Segoe UI" w:cs="Segoe UI"/>
                <w:bCs/>
                <w:color w:val="000000" w:themeColor="text1"/>
                <w:kern w:val="24"/>
                <w:sz w:val="14"/>
                <w:szCs w:val="16"/>
                <w:lang w:eastAsia="el-GR"/>
              </w:rPr>
              <w:t>,</w:t>
            </w:r>
            <w:r>
              <w:rPr>
                <w:rFonts w:ascii="Segoe UI" w:eastAsia="Times New Roman" w:hAnsi="Segoe UI" w:cs="Segoe UI"/>
                <w:bCs/>
                <w:color w:val="000000" w:themeColor="text1"/>
                <w:kern w:val="24"/>
                <w:sz w:val="14"/>
                <w:szCs w:val="16"/>
                <w:lang w:val="en-US" w:eastAsia="el-GR"/>
              </w:rPr>
              <w:t>9</w:t>
            </w:r>
            <w:r w:rsidR="005610B3" w:rsidRPr="005610B3">
              <w:rPr>
                <w:rFonts w:ascii="Segoe UI" w:eastAsia="Times New Roman" w:hAnsi="Segoe UI" w:cs="Segoe UI"/>
                <w:bCs/>
                <w:color w:val="000000" w:themeColor="text1"/>
                <w:kern w:val="24"/>
                <w:sz w:val="14"/>
                <w:szCs w:val="16"/>
                <w:lang w:eastAsia="el-GR"/>
              </w:rPr>
              <w:t>%</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30</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8%</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31</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3%</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33</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5%</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9%</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38</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3%</w:t>
            </w:r>
          </w:p>
        </w:tc>
      </w:tr>
      <w:tr w:rsidR="005610B3" w:rsidRPr="006B4FB1" w:rsidTr="005610B3">
        <w:trPr>
          <w:trHeight w:val="227"/>
        </w:trPr>
        <w:tc>
          <w:tcPr>
            <w:tcW w:w="2132" w:type="pct"/>
            <w:tcBorders>
              <w:top w:val="nil"/>
              <w:left w:val="nil"/>
              <w:bottom w:val="nil"/>
              <w:right w:val="nil"/>
            </w:tcBorders>
            <w:shd w:val="clear" w:color="auto" w:fill="auto"/>
            <w:tcMar>
              <w:top w:w="15" w:type="dxa"/>
              <w:left w:w="41" w:type="dxa"/>
              <w:bottom w:w="0" w:type="dxa"/>
              <w:right w:w="15" w:type="dxa"/>
            </w:tcMar>
            <w:vAlign w:val="center"/>
            <w:hideMark/>
          </w:tcPr>
          <w:p w:rsidR="005610B3" w:rsidRPr="00C62FEB" w:rsidRDefault="005610B3" w:rsidP="00B5579A">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κάλυψης Μη Εξυπηρετούμενων Ανοιγμάτων</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57</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2%</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56</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2%</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53</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4%</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54</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4%</w:t>
            </w:r>
          </w:p>
        </w:tc>
        <w:tc>
          <w:tcPr>
            <w:tcW w:w="478" w:type="pct"/>
            <w:tcBorders>
              <w:top w:val="nil"/>
              <w:left w:val="nil"/>
              <w:bottom w:val="nil"/>
              <w:right w:val="nil"/>
            </w:tcBorders>
            <w:shd w:val="clear" w:color="auto" w:fill="auto"/>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9%</w:t>
            </w:r>
          </w:p>
        </w:tc>
        <w:tc>
          <w:tcPr>
            <w:tcW w:w="478" w:type="pct"/>
            <w:tcBorders>
              <w:top w:val="nil"/>
              <w:left w:val="nil"/>
              <w:bottom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58</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7%</w:t>
            </w:r>
          </w:p>
        </w:tc>
      </w:tr>
      <w:tr w:rsidR="005610B3" w:rsidRPr="006B4FB1" w:rsidTr="005610B3">
        <w:trPr>
          <w:trHeight w:val="227"/>
        </w:trPr>
        <w:tc>
          <w:tcPr>
            <w:tcW w:w="2132"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rsidR="005610B3" w:rsidRPr="00FE75EA" w:rsidRDefault="005610B3" w:rsidP="00B5579A">
            <w:pPr>
              <w:rPr>
                <w:rFonts w:ascii="Segoe UI" w:eastAsia="Times New Roman" w:hAnsi="Segoe UI" w:cs="Segoe UI"/>
                <w:b/>
                <w:bCs/>
                <w:color w:val="000000" w:themeColor="text1"/>
                <w:kern w:val="24"/>
                <w:sz w:val="14"/>
                <w:szCs w:val="14"/>
                <w:lang w:eastAsia="el-GR"/>
              </w:rPr>
            </w:pPr>
            <w:r w:rsidRPr="00FE75EA">
              <w:rPr>
                <w:rFonts w:ascii="Segoe UI" w:eastAsia="Times New Roman" w:hAnsi="Segoe UI" w:cs="Segoe UI"/>
                <w:b/>
                <w:bCs/>
                <w:color w:val="000000" w:themeColor="text1"/>
                <w:kern w:val="24"/>
                <w:sz w:val="14"/>
                <w:szCs w:val="14"/>
                <w:lang w:eastAsia="el-GR"/>
              </w:rPr>
              <w:t>Κεφαλαιακή επάρκεια</w:t>
            </w: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highlight w:val="yellow"/>
                <w:lang w:eastAsia="el-GR"/>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p>
        </w:tc>
        <w:tc>
          <w:tcPr>
            <w:tcW w:w="478" w:type="pct"/>
            <w:tcBorders>
              <w:top w:val="nil"/>
              <w:left w:val="nil"/>
              <w:bottom w:val="nil"/>
              <w:right w:val="nil"/>
            </w:tcBorders>
            <w:shd w:val="clear" w:color="auto" w:fill="F2F2F2" w:themeFill="background1" w:themeFillShade="F2"/>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p>
        </w:tc>
      </w:tr>
      <w:tr w:rsidR="005610B3" w:rsidRPr="006B4FB1" w:rsidTr="005610B3">
        <w:trPr>
          <w:trHeight w:val="227"/>
        </w:trPr>
        <w:tc>
          <w:tcPr>
            <w:tcW w:w="2132" w:type="pct"/>
            <w:tcBorders>
              <w:top w:val="nil"/>
              <w:left w:val="nil"/>
              <w:right w:val="nil"/>
            </w:tcBorders>
            <w:shd w:val="clear" w:color="auto" w:fill="auto"/>
            <w:tcMar>
              <w:top w:w="15" w:type="dxa"/>
              <w:left w:w="41" w:type="dxa"/>
              <w:bottom w:w="0" w:type="dxa"/>
              <w:right w:w="15" w:type="dxa"/>
            </w:tcMar>
            <w:vAlign w:val="center"/>
            <w:hideMark/>
          </w:tcPr>
          <w:p w:rsidR="005610B3" w:rsidRPr="00C62FEB" w:rsidRDefault="005610B3" w:rsidP="009436A0">
            <w:pPr>
              <w:textAlignment w:val="center"/>
              <w:rPr>
                <w:rFonts w:ascii="Segoe UI" w:eastAsia="Times New Roman" w:hAnsi="Segoe UI" w:cs="Segoe UI"/>
                <w:sz w:val="14"/>
                <w:szCs w:val="14"/>
                <w:lang w:val="en-US" w:eastAsia="el-GR"/>
              </w:rPr>
            </w:pPr>
            <w:r w:rsidRPr="00C62FEB">
              <w:rPr>
                <w:rFonts w:ascii="Segoe UI" w:eastAsia="Segoe UI" w:hAnsi="Segoe UI" w:cs="Segoe UI"/>
                <w:color w:val="000000"/>
                <w:kern w:val="24"/>
                <w:sz w:val="14"/>
                <w:szCs w:val="14"/>
                <w:lang w:eastAsia="el-GR"/>
              </w:rPr>
              <w:t xml:space="preserve">Δείκτης </w:t>
            </w:r>
            <w:r w:rsidRPr="00C62FEB">
              <w:rPr>
                <w:rFonts w:ascii="Segoe UI" w:eastAsia="Segoe UI" w:hAnsi="Segoe UI" w:cs="Segoe UI"/>
                <w:color w:val="000000"/>
                <w:kern w:val="24"/>
                <w:sz w:val="14"/>
                <w:szCs w:val="14"/>
                <w:lang w:val="en-US" w:eastAsia="el-GR"/>
              </w:rPr>
              <w:t>CET</w:t>
            </w:r>
            <w:r w:rsidRPr="00C62FEB">
              <w:rPr>
                <w:rFonts w:ascii="Segoe UI" w:eastAsia="Segoe UI" w:hAnsi="Segoe UI" w:cs="Segoe UI"/>
                <w:color w:val="000000"/>
                <w:kern w:val="24"/>
                <w:sz w:val="14"/>
                <w:szCs w:val="14"/>
                <w:lang w:eastAsia="el-GR"/>
              </w:rPr>
              <w:t>1</w:t>
            </w:r>
            <w:r w:rsidR="009436A0">
              <w:rPr>
                <w:rFonts w:ascii="Segoe UI" w:eastAsia="Segoe UI" w:hAnsi="Segoe UI" w:cs="Segoe UI"/>
                <w:color w:val="000000"/>
                <w:kern w:val="24"/>
                <w:sz w:val="14"/>
                <w:szCs w:val="14"/>
                <w:vertAlign w:val="superscript"/>
                <w:lang w:eastAsia="el-GR"/>
              </w:rPr>
              <w:t>4</w:t>
            </w:r>
            <w:r w:rsidRPr="004A71E2">
              <w:rPr>
                <w:rFonts w:ascii="Segoe UI" w:eastAsia="Segoe UI" w:hAnsi="Segoe UI" w:cs="Segoe UI"/>
                <w:color w:val="000000"/>
                <w:kern w:val="24"/>
                <w:sz w:val="14"/>
                <w:szCs w:val="14"/>
                <w:vertAlign w:val="superscript"/>
                <w:lang w:eastAsia="el-GR"/>
              </w:rPr>
              <w:t xml:space="preserve"> </w:t>
            </w:r>
          </w:p>
        </w:tc>
        <w:tc>
          <w:tcPr>
            <w:tcW w:w="478" w:type="pct"/>
            <w:tcBorders>
              <w:top w:val="nil"/>
              <w:left w:val="nil"/>
              <w:right w:val="nil"/>
            </w:tcBorders>
            <w:vAlign w:val="center"/>
          </w:tcPr>
          <w:p w:rsidR="005610B3" w:rsidRPr="005610B3" w:rsidRDefault="005610B3" w:rsidP="00F17AA8">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w:t>
            </w:r>
            <w:r w:rsidR="00F17AA8">
              <w:rPr>
                <w:rFonts w:ascii="Segoe UI" w:eastAsia="Times New Roman" w:hAnsi="Segoe UI" w:cs="Segoe UI"/>
                <w:bCs/>
                <w:color w:val="000000" w:themeColor="text1"/>
                <w:kern w:val="24"/>
                <w:sz w:val="14"/>
                <w:szCs w:val="16"/>
                <w:lang w:val="en-US" w:eastAsia="el-GR"/>
              </w:rPr>
              <w:t>5</w:t>
            </w:r>
            <w:r w:rsidR="00A46ABB">
              <w:rPr>
                <w:rFonts w:ascii="Segoe UI" w:eastAsia="Times New Roman" w:hAnsi="Segoe UI" w:cs="Segoe UI"/>
                <w:bCs/>
                <w:color w:val="000000" w:themeColor="text1"/>
                <w:kern w:val="24"/>
                <w:sz w:val="14"/>
                <w:szCs w:val="16"/>
                <w:lang w:eastAsia="el-GR"/>
              </w:rPr>
              <w:t>,</w:t>
            </w:r>
            <w:r w:rsidR="00F17AA8">
              <w:rPr>
                <w:rFonts w:ascii="Segoe UI" w:eastAsia="Times New Roman" w:hAnsi="Segoe UI" w:cs="Segoe UI"/>
                <w:bCs/>
                <w:color w:val="000000" w:themeColor="text1"/>
                <w:kern w:val="24"/>
                <w:sz w:val="14"/>
                <w:szCs w:val="16"/>
                <w:lang w:val="en-US" w:eastAsia="el-GR"/>
              </w:rPr>
              <w:t>9</w:t>
            </w:r>
            <w:r w:rsidRPr="005610B3">
              <w:rPr>
                <w:rFonts w:ascii="Segoe UI" w:eastAsia="Times New Roman" w:hAnsi="Segoe UI" w:cs="Segoe UI"/>
                <w:bCs/>
                <w:color w:val="000000" w:themeColor="text1"/>
                <w:kern w:val="24"/>
                <w:sz w:val="14"/>
                <w:szCs w:val="16"/>
                <w:lang w:eastAsia="el-GR"/>
              </w:rPr>
              <w:t>%</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5%</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16</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0%</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16</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4%</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5%</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8%</w:t>
            </w:r>
          </w:p>
        </w:tc>
      </w:tr>
      <w:tr w:rsidR="005610B3" w:rsidRPr="006B4FB1" w:rsidTr="005610B3">
        <w:trPr>
          <w:trHeight w:val="227"/>
        </w:trPr>
        <w:tc>
          <w:tcPr>
            <w:tcW w:w="2132" w:type="pct"/>
            <w:tcBorders>
              <w:top w:val="nil"/>
              <w:left w:val="nil"/>
              <w:right w:val="nil"/>
            </w:tcBorders>
            <w:shd w:val="clear" w:color="auto" w:fill="auto"/>
            <w:tcMar>
              <w:top w:w="15" w:type="dxa"/>
              <w:left w:w="41" w:type="dxa"/>
              <w:bottom w:w="0" w:type="dxa"/>
              <w:right w:w="15" w:type="dxa"/>
            </w:tcMar>
            <w:vAlign w:val="center"/>
          </w:tcPr>
          <w:p w:rsidR="005610B3" w:rsidRPr="00C62FEB" w:rsidRDefault="005610B3" w:rsidP="009436A0">
            <w:pPr>
              <w:textAlignment w:val="center"/>
              <w:rPr>
                <w:rFonts w:ascii="Segoe UI" w:eastAsia="Segoe UI" w:hAnsi="Segoe UI" w:cs="Segoe UI"/>
                <w:color w:val="000000"/>
                <w:kern w:val="24"/>
                <w:sz w:val="14"/>
                <w:szCs w:val="14"/>
                <w:lang w:eastAsia="el-GR"/>
              </w:rPr>
            </w:pPr>
            <w:r w:rsidRPr="00C62FEB">
              <w:rPr>
                <w:rFonts w:ascii="Segoe UI" w:eastAsia="Segoe UI" w:hAnsi="Segoe UI" w:cs="Segoe UI"/>
                <w:color w:val="000000"/>
                <w:kern w:val="24"/>
                <w:sz w:val="14"/>
                <w:szCs w:val="14"/>
                <w:lang w:eastAsia="el-GR"/>
              </w:rPr>
              <w:t xml:space="preserve">Δείκτης </w:t>
            </w:r>
            <w:r w:rsidRPr="00C62FEB">
              <w:rPr>
                <w:rFonts w:ascii="Segoe UI" w:eastAsia="Segoe UI" w:hAnsi="Segoe UI" w:cs="Segoe UI"/>
                <w:color w:val="000000"/>
                <w:kern w:val="24"/>
                <w:sz w:val="14"/>
                <w:szCs w:val="14"/>
                <w:lang w:val="en-US" w:eastAsia="el-GR"/>
              </w:rPr>
              <w:t>CET</w:t>
            </w:r>
            <w:r w:rsidRPr="00C62FEB">
              <w:rPr>
                <w:rFonts w:ascii="Segoe UI" w:eastAsia="Segoe UI" w:hAnsi="Segoe UI" w:cs="Segoe UI"/>
                <w:color w:val="000000"/>
                <w:kern w:val="24"/>
                <w:sz w:val="14"/>
                <w:szCs w:val="14"/>
                <w:lang w:eastAsia="el-GR"/>
              </w:rPr>
              <w:t>1</w:t>
            </w:r>
            <w:r>
              <w:rPr>
                <w:rFonts w:ascii="Segoe UI" w:eastAsia="Segoe UI" w:hAnsi="Segoe UI" w:cs="Segoe UI"/>
                <w:color w:val="000000"/>
                <w:kern w:val="24"/>
                <w:sz w:val="14"/>
                <w:szCs w:val="14"/>
                <w:lang w:val="en-US" w:eastAsia="el-GR"/>
              </w:rPr>
              <w:t>FL</w:t>
            </w:r>
            <w:r w:rsidR="009436A0">
              <w:rPr>
                <w:rFonts w:ascii="Segoe UI" w:eastAsia="Segoe UI" w:hAnsi="Segoe UI" w:cs="Segoe UI"/>
                <w:color w:val="000000"/>
                <w:kern w:val="24"/>
                <w:sz w:val="14"/>
                <w:szCs w:val="14"/>
                <w:vertAlign w:val="superscript"/>
                <w:lang w:eastAsia="el-GR"/>
              </w:rPr>
              <w:t>4</w:t>
            </w:r>
          </w:p>
        </w:tc>
        <w:tc>
          <w:tcPr>
            <w:tcW w:w="478" w:type="pct"/>
            <w:tcBorders>
              <w:top w:val="nil"/>
              <w:left w:val="nil"/>
              <w:right w:val="nil"/>
            </w:tcBorders>
            <w:vAlign w:val="center"/>
          </w:tcPr>
          <w:p w:rsidR="005610B3" w:rsidRPr="005610B3" w:rsidRDefault="005610B3" w:rsidP="00F17AA8">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w:t>
            </w:r>
            <w:r w:rsidR="00F17AA8">
              <w:rPr>
                <w:rFonts w:ascii="Segoe UI" w:eastAsia="Times New Roman" w:hAnsi="Segoe UI" w:cs="Segoe UI"/>
                <w:bCs/>
                <w:color w:val="000000" w:themeColor="text1"/>
                <w:kern w:val="24"/>
                <w:sz w:val="14"/>
                <w:szCs w:val="16"/>
                <w:lang w:val="en-US" w:eastAsia="el-GR"/>
              </w:rPr>
              <w:t>3</w:t>
            </w:r>
            <w:r w:rsidR="00A46ABB">
              <w:rPr>
                <w:rFonts w:ascii="Segoe UI" w:eastAsia="Times New Roman" w:hAnsi="Segoe UI" w:cs="Segoe UI"/>
                <w:bCs/>
                <w:color w:val="000000" w:themeColor="text1"/>
                <w:kern w:val="24"/>
                <w:sz w:val="14"/>
                <w:szCs w:val="16"/>
                <w:lang w:eastAsia="el-GR"/>
              </w:rPr>
              <w:t>,</w:t>
            </w:r>
            <w:r w:rsidR="00F17AA8">
              <w:rPr>
                <w:rFonts w:ascii="Segoe UI" w:eastAsia="Times New Roman" w:hAnsi="Segoe UI" w:cs="Segoe UI"/>
                <w:bCs/>
                <w:color w:val="000000" w:themeColor="text1"/>
                <w:kern w:val="24"/>
                <w:sz w:val="14"/>
                <w:szCs w:val="16"/>
                <w:lang w:val="en-US" w:eastAsia="el-GR"/>
              </w:rPr>
              <w:t>0</w:t>
            </w:r>
            <w:r w:rsidRPr="005610B3">
              <w:rPr>
                <w:rFonts w:ascii="Segoe UI" w:eastAsia="Times New Roman" w:hAnsi="Segoe UI" w:cs="Segoe UI"/>
                <w:bCs/>
                <w:color w:val="000000" w:themeColor="text1"/>
                <w:kern w:val="24"/>
                <w:sz w:val="14"/>
                <w:szCs w:val="16"/>
                <w:lang w:eastAsia="el-GR"/>
              </w:rPr>
              <w:t>%</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12</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6%</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12</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8%</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13</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1%</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12</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1%</w:t>
            </w:r>
          </w:p>
        </w:tc>
        <w:tc>
          <w:tcPr>
            <w:tcW w:w="478" w:type="pct"/>
            <w:tcBorders>
              <w:top w:val="nil"/>
              <w:left w:val="nil"/>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12</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8%</w:t>
            </w:r>
          </w:p>
        </w:tc>
      </w:tr>
      <w:tr w:rsidR="005610B3" w:rsidRPr="006B4FB1" w:rsidTr="005610B3">
        <w:trPr>
          <w:trHeight w:val="227"/>
        </w:trPr>
        <w:tc>
          <w:tcPr>
            <w:tcW w:w="2132" w:type="pct"/>
            <w:tcBorders>
              <w:top w:val="nil"/>
              <w:left w:val="nil"/>
              <w:bottom w:val="single" w:sz="12" w:space="0" w:color="000000"/>
              <w:right w:val="nil"/>
            </w:tcBorders>
            <w:shd w:val="clear" w:color="auto" w:fill="auto"/>
            <w:tcMar>
              <w:top w:w="15" w:type="dxa"/>
              <w:left w:w="41" w:type="dxa"/>
              <w:bottom w:w="0" w:type="dxa"/>
              <w:right w:w="15" w:type="dxa"/>
            </w:tcMar>
            <w:vAlign w:val="center"/>
            <w:hideMark/>
          </w:tcPr>
          <w:p w:rsidR="005610B3" w:rsidRPr="00C62FEB" w:rsidRDefault="005610B3" w:rsidP="009436A0">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Σταθμισμένα στοιχεία ενεργητικού (€ δισ.)</w:t>
            </w:r>
            <w:r w:rsidR="009436A0">
              <w:rPr>
                <w:rFonts w:ascii="Segoe UI" w:eastAsia="Segoe UI" w:hAnsi="Segoe UI" w:cs="Segoe UI"/>
                <w:color w:val="000000"/>
                <w:kern w:val="24"/>
                <w:sz w:val="14"/>
                <w:szCs w:val="14"/>
                <w:vertAlign w:val="superscript"/>
                <w:lang w:eastAsia="el-GR"/>
              </w:rPr>
              <w:t>4</w:t>
            </w:r>
          </w:p>
        </w:tc>
        <w:tc>
          <w:tcPr>
            <w:tcW w:w="478" w:type="pct"/>
            <w:tcBorders>
              <w:top w:val="nil"/>
              <w:left w:val="nil"/>
              <w:bottom w:val="single" w:sz="12" w:space="0" w:color="000000"/>
              <w:right w:val="nil"/>
            </w:tcBorders>
            <w:vAlign w:val="center"/>
          </w:tcPr>
          <w:p w:rsidR="005610B3" w:rsidRPr="00F17AA8" w:rsidRDefault="005610B3" w:rsidP="00F17AA8">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36</w:t>
            </w:r>
            <w:r w:rsidR="00A46ABB">
              <w:rPr>
                <w:rFonts w:ascii="Segoe UI" w:eastAsia="Times New Roman" w:hAnsi="Segoe UI" w:cs="Segoe UI"/>
                <w:bCs/>
                <w:color w:val="000000" w:themeColor="text1"/>
                <w:kern w:val="24"/>
                <w:sz w:val="14"/>
                <w:szCs w:val="16"/>
                <w:lang w:eastAsia="el-GR"/>
              </w:rPr>
              <w:t>,</w:t>
            </w:r>
            <w:r w:rsidR="00F17AA8" w:rsidRPr="00F17AA8">
              <w:rPr>
                <w:rFonts w:ascii="Segoe UI" w:eastAsia="Times New Roman" w:hAnsi="Segoe UI" w:cs="Segoe UI"/>
                <w:bCs/>
                <w:color w:val="000000" w:themeColor="text1"/>
                <w:kern w:val="24"/>
                <w:sz w:val="14"/>
                <w:szCs w:val="16"/>
                <w:lang w:eastAsia="el-GR"/>
              </w:rPr>
              <w:t>1</w:t>
            </w:r>
          </w:p>
        </w:tc>
        <w:tc>
          <w:tcPr>
            <w:tcW w:w="478" w:type="pct"/>
            <w:tcBorders>
              <w:top w:val="nil"/>
              <w:left w:val="nil"/>
              <w:bottom w:val="single" w:sz="12" w:space="0" w:color="000000"/>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36</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9 </w:t>
            </w:r>
          </w:p>
        </w:tc>
        <w:tc>
          <w:tcPr>
            <w:tcW w:w="478" w:type="pct"/>
            <w:tcBorders>
              <w:top w:val="nil"/>
              <w:left w:val="nil"/>
              <w:bottom w:val="single" w:sz="12" w:space="0" w:color="000000"/>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37</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4</w:t>
            </w:r>
          </w:p>
        </w:tc>
        <w:tc>
          <w:tcPr>
            <w:tcW w:w="478" w:type="pct"/>
            <w:tcBorders>
              <w:top w:val="nil"/>
              <w:left w:val="nil"/>
              <w:bottom w:val="single" w:sz="12" w:space="0" w:color="000000"/>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37</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9 </w:t>
            </w:r>
          </w:p>
        </w:tc>
        <w:tc>
          <w:tcPr>
            <w:tcW w:w="478" w:type="pct"/>
            <w:tcBorders>
              <w:top w:val="nil"/>
              <w:left w:val="nil"/>
              <w:bottom w:val="single" w:sz="12" w:space="0" w:color="000000"/>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38</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3</w:t>
            </w:r>
          </w:p>
        </w:tc>
        <w:tc>
          <w:tcPr>
            <w:tcW w:w="478" w:type="pct"/>
            <w:tcBorders>
              <w:top w:val="nil"/>
              <w:left w:val="nil"/>
              <w:bottom w:val="single" w:sz="12" w:space="0" w:color="000000"/>
              <w:right w:val="nil"/>
            </w:tcBorders>
            <w:vAlign w:val="center"/>
          </w:tcPr>
          <w:p w:rsidR="005610B3" w:rsidRPr="005610B3" w:rsidRDefault="005610B3" w:rsidP="00C02F1B">
            <w:pPr>
              <w:ind w:right="148"/>
              <w:jc w:val="right"/>
              <w:rPr>
                <w:rFonts w:ascii="Segoe UI" w:eastAsia="Times New Roman" w:hAnsi="Segoe UI" w:cs="Segoe UI"/>
                <w:bCs/>
                <w:color w:val="000000" w:themeColor="text1"/>
                <w:kern w:val="24"/>
                <w:sz w:val="14"/>
                <w:szCs w:val="16"/>
                <w:lang w:eastAsia="el-GR"/>
              </w:rPr>
            </w:pPr>
            <w:r w:rsidRPr="005610B3">
              <w:rPr>
                <w:rFonts w:ascii="Segoe UI" w:eastAsia="Times New Roman" w:hAnsi="Segoe UI" w:cs="Segoe UI"/>
                <w:bCs/>
                <w:color w:val="000000" w:themeColor="text1"/>
                <w:kern w:val="24"/>
                <w:sz w:val="14"/>
                <w:szCs w:val="16"/>
                <w:lang w:eastAsia="el-GR"/>
              </w:rPr>
              <w:t>35</w:t>
            </w:r>
            <w:r w:rsidR="00A46ABB">
              <w:rPr>
                <w:rFonts w:ascii="Segoe UI" w:eastAsia="Times New Roman" w:hAnsi="Segoe UI" w:cs="Segoe UI"/>
                <w:bCs/>
                <w:color w:val="000000" w:themeColor="text1"/>
                <w:kern w:val="24"/>
                <w:sz w:val="14"/>
                <w:szCs w:val="16"/>
                <w:lang w:eastAsia="el-GR"/>
              </w:rPr>
              <w:t>,</w:t>
            </w:r>
            <w:r w:rsidRPr="005610B3">
              <w:rPr>
                <w:rFonts w:ascii="Segoe UI" w:eastAsia="Times New Roman" w:hAnsi="Segoe UI" w:cs="Segoe UI"/>
                <w:bCs/>
                <w:color w:val="000000" w:themeColor="text1"/>
                <w:kern w:val="24"/>
                <w:sz w:val="14"/>
                <w:szCs w:val="16"/>
                <w:lang w:eastAsia="el-GR"/>
              </w:rPr>
              <w:t xml:space="preserve">1 </w:t>
            </w:r>
          </w:p>
        </w:tc>
      </w:tr>
    </w:tbl>
    <w:p w:rsidR="00E55AED" w:rsidRPr="0082683D" w:rsidRDefault="000540A1" w:rsidP="00E55AED">
      <w:pPr>
        <w:jc w:val="both"/>
        <w:textAlignment w:val="baseline"/>
        <w:rPr>
          <w:rFonts w:ascii="Segoe UI" w:hAnsi="Segoe UI" w:cs="Segoe UI"/>
          <w:b/>
          <w:sz w:val="20"/>
          <w:szCs w:val="20"/>
        </w:rPr>
      </w:pPr>
      <w:r w:rsidRPr="000540A1">
        <w:rPr>
          <w:rFonts w:ascii="Segoe UI" w:hAnsi="Segoe UI" w:cs="Segoe UI"/>
          <w:color w:val="000000" w:themeColor="text1"/>
          <w:kern w:val="24"/>
          <w:sz w:val="8"/>
          <w:szCs w:val="10"/>
          <w:vertAlign w:val="superscript"/>
        </w:rPr>
        <w:t>1</w:t>
      </w:r>
      <w:r>
        <w:rPr>
          <w:rFonts w:ascii="Segoe UI" w:hAnsi="Segoe UI" w:cs="Segoe UI"/>
          <w:color w:val="000000" w:themeColor="text1"/>
          <w:kern w:val="24"/>
          <w:sz w:val="8"/>
          <w:szCs w:val="10"/>
        </w:rPr>
        <w:t xml:space="preserve"> </w:t>
      </w:r>
      <w:r w:rsidR="009436A0">
        <w:rPr>
          <w:rFonts w:ascii="Segoe UI" w:hAnsi="Segoe UI" w:cs="Segoe UI"/>
          <w:color w:val="000000" w:themeColor="text1"/>
          <w:kern w:val="24"/>
          <w:sz w:val="8"/>
          <w:szCs w:val="10"/>
          <w:lang w:val="en-US"/>
        </w:rPr>
        <w:t>To</w:t>
      </w:r>
      <w:r w:rsidR="009436A0" w:rsidRPr="009436A0">
        <w:rPr>
          <w:rFonts w:ascii="Segoe UI" w:hAnsi="Segoe UI" w:cs="Segoe UI"/>
          <w:color w:val="000000" w:themeColor="text1"/>
          <w:kern w:val="24"/>
          <w:sz w:val="8"/>
          <w:szCs w:val="10"/>
        </w:rPr>
        <w:t xml:space="preserve"> </w:t>
      </w:r>
      <w:r w:rsidR="009436A0">
        <w:rPr>
          <w:rFonts w:ascii="Segoe UI" w:hAnsi="Segoe UI" w:cs="Segoe UI"/>
          <w:color w:val="000000" w:themeColor="text1"/>
          <w:kern w:val="24"/>
          <w:sz w:val="8"/>
          <w:szCs w:val="10"/>
        </w:rPr>
        <w:t>κ</w:t>
      </w:r>
      <w:r w:rsidR="009436A0" w:rsidRPr="009436A0">
        <w:rPr>
          <w:rFonts w:ascii="Segoe UI" w:hAnsi="Segoe UI" w:cs="Segoe UI"/>
          <w:color w:val="000000" w:themeColor="text1"/>
          <w:kern w:val="24"/>
          <w:sz w:val="8"/>
          <w:szCs w:val="10"/>
        </w:rPr>
        <w:t>αθαρό επιτοκιακό περιθώριο</w:t>
      </w:r>
      <w:r w:rsidR="009436A0">
        <w:rPr>
          <w:rFonts w:ascii="Segoe UI" w:hAnsi="Segoe UI" w:cs="Segoe UI"/>
          <w:color w:val="000000" w:themeColor="text1"/>
          <w:kern w:val="24"/>
          <w:sz w:val="8"/>
          <w:szCs w:val="10"/>
        </w:rPr>
        <w:t xml:space="preserve"> υπολογίζεται επί του μηνιαίου μέσου όρου τοκοφόρων στοιχείων του Ενεργητικού / </w:t>
      </w:r>
      <w:r w:rsidR="009436A0" w:rsidRPr="009436A0">
        <w:rPr>
          <w:rFonts w:ascii="Segoe UI" w:hAnsi="Segoe UI" w:cs="Segoe UI"/>
          <w:color w:val="000000" w:themeColor="text1"/>
          <w:kern w:val="24"/>
          <w:sz w:val="8"/>
          <w:szCs w:val="10"/>
          <w:vertAlign w:val="superscript"/>
        </w:rPr>
        <w:t>2</w:t>
      </w:r>
      <w:r w:rsidR="009436A0" w:rsidRPr="009436A0">
        <w:rPr>
          <w:rFonts w:ascii="Segoe UI" w:hAnsi="Segoe UI" w:cs="Segoe UI"/>
          <w:color w:val="000000" w:themeColor="text1"/>
          <w:kern w:val="24"/>
          <w:sz w:val="8"/>
          <w:szCs w:val="10"/>
        </w:rPr>
        <w:t xml:space="preserve"> </w:t>
      </w:r>
      <w:r w:rsidR="006D5764">
        <w:rPr>
          <w:rFonts w:ascii="Segoe UI" w:hAnsi="Segoe UI" w:cs="Segoe UI"/>
          <w:color w:val="000000" w:themeColor="text1"/>
          <w:kern w:val="24"/>
          <w:sz w:val="8"/>
          <w:szCs w:val="10"/>
        </w:rPr>
        <w:t xml:space="preserve">Το κόστος πιστωτικού κινδύνου </w:t>
      </w:r>
      <w:r w:rsidR="008677D7">
        <w:rPr>
          <w:rFonts w:ascii="Segoe UI" w:hAnsi="Segoe UI" w:cs="Segoe UI"/>
          <w:color w:val="000000" w:themeColor="text1"/>
          <w:kern w:val="24"/>
          <w:sz w:val="8"/>
          <w:szCs w:val="10"/>
        </w:rPr>
        <w:t>ε</w:t>
      </w:r>
      <w:r w:rsidR="008677D7" w:rsidRPr="008677D7">
        <w:rPr>
          <w:rFonts w:ascii="Segoe UI" w:hAnsi="Segoe UI" w:cs="Segoe UI"/>
          <w:color w:val="000000" w:themeColor="text1"/>
          <w:kern w:val="24"/>
          <w:sz w:val="8"/>
          <w:szCs w:val="10"/>
        </w:rPr>
        <w:t>ξαιρ</w:t>
      </w:r>
      <w:r w:rsidR="008677D7">
        <w:rPr>
          <w:rFonts w:ascii="Segoe UI" w:hAnsi="Segoe UI" w:cs="Segoe UI"/>
          <w:color w:val="000000" w:themeColor="text1"/>
          <w:kern w:val="24"/>
          <w:sz w:val="8"/>
          <w:szCs w:val="10"/>
        </w:rPr>
        <w:t xml:space="preserve">εί </w:t>
      </w:r>
      <w:r w:rsidR="008677D7" w:rsidRPr="008677D7">
        <w:rPr>
          <w:rFonts w:ascii="Segoe UI" w:hAnsi="Segoe UI" w:cs="Segoe UI"/>
          <w:color w:val="000000" w:themeColor="text1"/>
          <w:kern w:val="24"/>
          <w:sz w:val="8"/>
          <w:szCs w:val="10"/>
        </w:rPr>
        <w:t>τις προβλέψεις σχετιζόμενες με την πανδημία του κορωνοϊού ύψους €416 εκατ. το Α’ τρίμηνο 2020 και €10 εκατ. το Β’ τρίμηνο 2020</w:t>
      </w:r>
      <w:r w:rsidR="006D5764">
        <w:rPr>
          <w:rFonts w:ascii="Segoe UI" w:hAnsi="Segoe UI" w:cs="Segoe UI"/>
          <w:color w:val="000000" w:themeColor="text1"/>
          <w:kern w:val="24"/>
          <w:sz w:val="8"/>
          <w:szCs w:val="10"/>
        </w:rPr>
        <w:t xml:space="preserve"> </w:t>
      </w:r>
      <w:r w:rsidR="002F3603" w:rsidRPr="0082683D">
        <w:rPr>
          <w:rFonts w:ascii="Segoe UI" w:hAnsi="Segoe UI" w:cs="Segoe UI"/>
          <w:color w:val="000000" w:themeColor="text1"/>
          <w:kern w:val="24"/>
          <w:sz w:val="8"/>
          <w:szCs w:val="10"/>
        </w:rPr>
        <w:t>/</w:t>
      </w:r>
      <w:r w:rsidR="00C002C2">
        <w:rPr>
          <w:rFonts w:ascii="Segoe UI" w:hAnsi="Segoe UI" w:cs="Segoe UI"/>
          <w:color w:val="000000" w:themeColor="text1"/>
          <w:kern w:val="24"/>
          <w:sz w:val="8"/>
          <w:szCs w:val="10"/>
        </w:rPr>
        <w:t xml:space="preserve"> </w:t>
      </w:r>
      <w:r w:rsidR="009436A0">
        <w:rPr>
          <w:rFonts w:ascii="Segoe UI" w:hAnsi="Segoe UI" w:cs="Segoe UI"/>
          <w:color w:val="000000" w:themeColor="text1"/>
          <w:kern w:val="24"/>
          <w:sz w:val="8"/>
          <w:szCs w:val="10"/>
          <w:vertAlign w:val="superscript"/>
        </w:rPr>
        <w:t>3</w:t>
      </w:r>
      <w:r w:rsidR="006D5764">
        <w:rPr>
          <w:rFonts w:ascii="Segoe UI" w:hAnsi="Segoe UI" w:cs="Segoe UI"/>
          <w:color w:val="000000" w:themeColor="text1"/>
          <w:kern w:val="24"/>
          <w:sz w:val="8"/>
          <w:szCs w:val="10"/>
        </w:rPr>
        <w:t xml:space="preserve"> Το περιθώριο </w:t>
      </w:r>
      <w:r w:rsidR="00D77D8A">
        <w:rPr>
          <w:rFonts w:ascii="Segoe UI" w:hAnsi="Segoe UI" w:cs="Segoe UI"/>
          <w:color w:val="000000" w:themeColor="text1"/>
          <w:kern w:val="24"/>
          <w:sz w:val="8"/>
          <w:szCs w:val="10"/>
        </w:rPr>
        <w:t xml:space="preserve">οργανικού </w:t>
      </w:r>
      <w:r w:rsidR="006D5764">
        <w:rPr>
          <w:rFonts w:ascii="Segoe UI" w:hAnsi="Segoe UI" w:cs="Segoe UI"/>
          <w:color w:val="000000" w:themeColor="text1"/>
          <w:kern w:val="24"/>
          <w:sz w:val="8"/>
          <w:szCs w:val="10"/>
        </w:rPr>
        <w:t xml:space="preserve">κέρδους εξαιρεί </w:t>
      </w:r>
      <w:r w:rsidR="00D77D8A" w:rsidRPr="00D77D8A">
        <w:rPr>
          <w:rFonts w:ascii="Segoe UI" w:hAnsi="Segoe UI" w:cs="Segoe UI"/>
          <w:color w:val="000000" w:themeColor="text1"/>
          <w:kern w:val="24"/>
          <w:sz w:val="8"/>
          <w:szCs w:val="10"/>
        </w:rPr>
        <w:t>τα έσοδα από χρηματοοικονομικές πράξεις και λοιπά έσοδα και τις προβλέψεις</w:t>
      </w:r>
      <w:r w:rsidR="00C03D52" w:rsidRPr="00D77D8A">
        <w:rPr>
          <w:rFonts w:ascii="Segoe UI" w:hAnsi="Segoe UI" w:cs="Segoe UI"/>
          <w:color w:val="000000" w:themeColor="text1"/>
          <w:kern w:val="24"/>
          <w:sz w:val="8"/>
          <w:szCs w:val="10"/>
        </w:rPr>
        <w:t xml:space="preserve"> σχετιζόμενες με την πανδημία του κορωνοϊού </w:t>
      </w:r>
      <w:r w:rsidR="00D77D8A" w:rsidRPr="00D77D8A">
        <w:rPr>
          <w:rFonts w:ascii="Segoe UI" w:hAnsi="Segoe UI" w:cs="Segoe UI"/>
          <w:color w:val="000000" w:themeColor="text1"/>
          <w:kern w:val="24"/>
          <w:sz w:val="8"/>
          <w:szCs w:val="10"/>
        </w:rPr>
        <w:t>ύψους €416 εκατ το Α’ τρίμηνο 2020</w:t>
      </w:r>
      <w:r w:rsidR="00C03D52">
        <w:rPr>
          <w:rFonts w:ascii="Segoe UI" w:hAnsi="Segoe UI" w:cs="Segoe UI"/>
          <w:color w:val="000000" w:themeColor="text1"/>
          <w:kern w:val="24"/>
          <w:sz w:val="8"/>
          <w:szCs w:val="10"/>
        </w:rPr>
        <w:t xml:space="preserve"> και €10 εκατ. το Β’ τρίμηνο 2020</w:t>
      </w:r>
      <w:r w:rsidR="00D77D8A">
        <w:rPr>
          <w:rFonts w:ascii="Segoe UI" w:hAnsi="Segoe UI" w:cs="Segoe UI"/>
          <w:color w:val="000000" w:themeColor="text1"/>
          <w:kern w:val="24"/>
          <w:sz w:val="8"/>
          <w:szCs w:val="10"/>
        </w:rPr>
        <w:t xml:space="preserve"> </w:t>
      </w:r>
      <w:r w:rsidR="00622798" w:rsidRPr="0082683D">
        <w:rPr>
          <w:rFonts w:ascii="Segoe UI" w:hAnsi="Segoe UI" w:cs="Segoe UI"/>
          <w:color w:val="000000" w:themeColor="text1"/>
          <w:kern w:val="24"/>
          <w:sz w:val="8"/>
          <w:szCs w:val="10"/>
        </w:rPr>
        <w:t xml:space="preserve">/ </w:t>
      </w:r>
      <w:r w:rsidR="009436A0">
        <w:rPr>
          <w:rFonts w:ascii="Segoe UI" w:hAnsi="Segoe UI" w:cs="Segoe UI"/>
          <w:color w:val="000000" w:themeColor="text1"/>
          <w:kern w:val="24"/>
          <w:sz w:val="8"/>
          <w:szCs w:val="10"/>
          <w:vertAlign w:val="superscript"/>
        </w:rPr>
        <w:t xml:space="preserve">4 </w:t>
      </w:r>
      <w:r w:rsidR="00622798" w:rsidRPr="00622798">
        <w:rPr>
          <w:rFonts w:ascii="Segoe UI" w:hAnsi="Segoe UI" w:cs="Segoe UI"/>
          <w:color w:val="000000" w:themeColor="text1"/>
          <w:kern w:val="24"/>
          <w:sz w:val="8"/>
          <w:szCs w:val="10"/>
        </w:rPr>
        <w:t xml:space="preserve">Οι δείκτες CET1 </w:t>
      </w:r>
      <w:r w:rsidR="00622798">
        <w:rPr>
          <w:rFonts w:ascii="Segoe UI" w:hAnsi="Segoe UI" w:cs="Segoe UI"/>
          <w:color w:val="000000" w:themeColor="text1"/>
          <w:kern w:val="24"/>
          <w:sz w:val="8"/>
          <w:szCs w:val="10"/>
        </w:rPr>
        <w:t>π</w:t>
      </w:r>
      <w:r w:rsidR="00622798" w:rsidRPr="00622798">
        <w:rPr>
          <w:rFonts w:ascii="Segoe UI" w:hAnsi="Segoe UI" w:cs="Segoe UI"/>
          <w:color w:val="000000" w:themeColor="text1"/>
          <w:kern w:val="24"/>
          <w:sz w:val="8"/>
          <w:szCs w:val="10"/>
        </w:rPr>
        <w:t>εριλαμβάνουν</w:t>
      </w:r>
      <w:r w:rsidR="00622798" w:rsidRPr="0082683D">
        <w:rPr>
          <w:rFonts w:ascii="Segoe UI" w:hAnsi="Segoe UI" w:cs="Segoe UI"/>
          <w:color w:val="000000" w:themeColor="text1"/>
          <w:kern w:val="24"/>
          <w:sz w:val="8"/>
          <w:szCs w:val="10"/>
        </w:rPr>
        <w:t xml:space="preserve"> </w:t>
      </w:r>
      <w:r w:rsidR="006F363E" w:rsidRPr="006F363E">
        <w:rPr>
          <w:rFonts w:ascii="Segoe UI" w:hAnsi="Segoe UI" w:cs="Segoe UI"/>
          <w:color w:val="000000" w:themeColor="text1"/>
          <w:kern w:val="24"/>
          <w:sz w:val="8"/>
          <w:szCs w:val="10"/>
        </w:rPr>
        <w:t xml:space="preserve">το κέρδος μετά </w:t>
      </w:r>
      <w:r w:rsidR="00976026" w:rsidRPr="00976026">
        <w:rPr>
          <w:rFonts w:ascii="Segoe UI" w:hAnsi="Segoe UI" w:cs="Segoe UI"/>
          <w:color w:val="000000" w:themeColor="text1"/>
          <w:kern w:val="24"/>
          <w:sz w:val="8"/>
          <w:szCs w:val="10"/>
        </w:rPr>
        <w:t xml:space="preserve">από φόρους </w:t>
      </w:r>
      <w:r w:rsidR="006F363E" w:rsidRPr="006F363E">
        <w:rPr>
          <w:rFonts w:ascii="Segoe UI" w:hAnsi="Segoe UI" w:cs="Segoe UI"/>
          <w:color w:val="000000" w:themeColor="text1"/>
          <w:kern w:val="24"/>
          <w:sz w:val="8"/>
          <w:szCs w:val="10"/>
        </w:rPr>
        <w:t xml:space="preserve">της περιόδου </w:t>
      </w:r>
      <w:r w:rsidR="00E55AED" w:rsidRPr="00907DAB">
        <w:rPr>
          <w:rFonts w:ascii="Segoe UI" w:hAnsi="Segoe UI" w:cs="Segoe UI"/>
          <w:b/>
          <w:sz w:val="10"/>
          <w:szCs w:val="10"/>
        </w:rPr>
        <w:br w:type="page"/>
      </w:r>
    </w:p>
    <w:p w:rsidR="00E55AED" w:rsidRPr="0082683D" w:rsidRDefault="00C00739" w:rsidP="00E55AED">
      <w:pPr>
        <w:textAlignment w:val="baseline"/>
        <w:rPr>
          <w:rFonts w:ascii="Segoe UI" w:hAnsi="Segoe UI" w:cs="Segoe UI"/>
          <w:b/>
          <w:sz w:val="20"/>
          <w:szCs w:val="20"/>
        </w:rPr>
      </w:pPr>
      <w:r w:rsidRPr="00C00739">
        <w:rPr>
          <w:rFonts w:ascii="Segoe UI" w:hAnsi="Segoe UI" w:cs="Segoe UI"/>
          <w:noProof/>
          <w:sz w:val="16"/>
          <w:szCs w:val="16"/>
          <w:lang w:eastAsia="el-GR"/>
        </w:rPr>
        <w:lastRenderedPageBreak/>
        <w:pict>
          <v:roundrect id="_x0000_s1059" style="position:absolute;margin-left:215.35pt;margin-top:13.15pt;width:48.2pt;height:232.45pt;z-index:2516730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" filled="f" strokecolor="#ff7415">
            <v:path arrowok="t"/>
          </v:roundrect>
        </w:pict>
      </w:r>
      <w:r w:rsidRPr="00C00739">
        <w:rPr>
          <w:rFonts w:ascii="Segoe UI" w:hAnsi="Segoe UI" w:cs="Segoe UI"/>
          <w:noProof/>
          <w:sz w:val="28"/>
          <w:vertAlign w:val="superscript"/>
          <w:lang w:eastAsia="el-GR"/>
        </w:rPr>
        <w:pict>
          <v:rect id="Rectangle 6" o:spid="_x0000_s1034" style="position:absolute;margin-left:-4pt;margin-top:-7.6pt;width:262.8pt;height:24.6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" filled="f" stroked="f">
            <v:path arrowok="t"/>
            <o:lock v:ext="edit" grouping="t"/>
            <v:textbox inset="1.2699mm,1.2699mm,1.2699mm,1.2699mm">
              <w:txbxContent>
                <w:p w:rsidR="003B131A" w:rsidRDefault="003B131A" w:rsidP="00E55AED">
                  <w:pPr>
                    <w:kinsoku w:val="0"/>
                    <w:overflowPunct w:val="0"/>
                    <w:spacing w:before="40"/>
                    <w:ind w:left="547" w:hanging="547"/>
                    <w:textAlignment w:val="baseline"/>
                    <w:rPr>
                      <w:rFonts w:ascii="Segoe UI" w:eastAsia="Segoe UI" w:hAnsi="Segoe UI" w:cs="Segoe UI"/>
                      <w:b/>
                      <w:color w:val="008080"/>
                      <w:kern w:val="24"/>
                      <w:sz w:val="18"/>
                      <w:lang w:val="en-US"/>
                    </w:rPr>
                  </w:pPr>
                  <w:r>
                    <w:rPr>
                      <w:rFonts w:ascii="Segoe UI" w:eastAsia="Segoe UI" w:hAnsi="Segoe UI" w:cs="Segoe UI"/>
                      <w:b/>
                      <w:color w:val="008080"/>
                      <w:kern w:val="24"/>
                      <w:sz w:val="20"/>
                      <w:szCs w:val="20"/>
                    </w:rPr>
                    <w:t>Κατάσταση</w:t>
                  </w:r>
                  <w:r w:rsidRPr="00793815">
                    <w:rPr>
                      <w:rFonts w:ascii="Segoe UI" w:eastAsia="Segoe UI" w:hAnsi="Segoe UI" w:cs="Segoe UI"/>
                      <w:b/>
                      <w:color w:val="008080"/>
                      <w:kern w:val="24"/>
                      <w:sz w:val="20"/>
                      <w:szCs w:val="20"/>
                      <w:lang w:val="en-US"/>
                    </w:rPr>
                    <w:t xml:space="preserve"> </w:t>
                  </w:r>
                  <w:r>
                    <w:rPr>
                      <w:rFonts w:ascii="Segoe UI" w:eastAsia="Segoe UI" w:hAnsi="Segoe UI" w:cs="Segoe UI"/>
                      <w:b/>
                      <w:color w:val="008080"/>
                      <w:kern w:val="24"/>
                      <w:sz w:val="20"/>
                      <w:szCs w:val="20"/>
                    </w:rPr>
                    <w:t>Αποτελεσμάτων</w:t>
                  </w:r>
                  <w:r w:rsidRPr="00793815">
                    <w:rPr>
                      <w:rFonts w:ascii="Segoe UI" w:eastAsia="Segoe UI" w:hAnsi="Segoe UI" w:cs="Segoe UI"/>
                      <w:b/>
                      <w:color w:val="008080"/>
                      <w:kern w:val="24"/>
                      <w:sz w:val="20"/>
                      <w:szCs w:val="20"/>
                      <w:lang w:val="en-US"/>
                    </w:rPr>
                    <w:t xml:space="preserve"> </w:t>
                  </w:r>
                  <w:r w:rsidRPr="0098297F">
                    <w:rPr>
                      <w:rFonts w:ascii="Segoe UI" w:eastAsia="Segoe UI" w:hAnsi="Segoe UI" w:cs="Segoe UI"/>
                      <w:b/>
                      <w:color w:val="008080"/>
                      <w:kern w:val="24"/>
                      <w:sz w:val="20"/>
                      <w:szCs w:val="20"/>
                      <w:lang w:val="en-US"/>
                    </w:rPr>
                    <w:t>| Ελλάδα</w:t>
                  </w:r>
                </w:p>
                <w:p w:rsidR="003B131A" w:rsidRPr="00EB1181" w:rsidRDefault="003B131A"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rsidR="003B131A" w:rsidRPr="00D46FEC" w:rsidRDefault="003B131A" w:rsidP="00E55AED">
                  <w:pPr>
                    <w:kinsoku w:val="0"/>
                    <w:overflowPunct w:val="0"/>
                    <w:spacing w:before="40"/>
                    <w:ind w:left="547" w:hanging="547"/>
                    <w:textAlignment w:val="baseline"/>
                    <w:rPr>
                      <w:rFonts w:ascii="Segoe UI" w:eastAsia="Segoe UI" w:hAnsi="Segoe UI" w:cs="Segoe UI"/>
                      <w:b/>
                      <w:color w:val="008080"/>
                      <w:kern w:val="24"/>
                      <w:sz w:val="16"/>
                    </w:rPr>
                  </w:pPr>
                </w:p>
                <w:p w:rsidR="003B131A" w:rsidRPr="00D46FEC" w:rsidRDefault="003B131A" w:rsidP="00E55AED">
                  <w:pPr>
                    <w:kinsoku w:val="0"/>
                    <w:overflowPunct w:val="0"/>
                    <w:spacing w:before="40"/>
                    <w:ind w:left="547" w:hanging="547"/>
                    <w:textAlignment w:val="baseline"/>
                    <w:rPr>
                      <w:rFonts w:ascii="Segoe UI" w:eastAsia="Segoe UI" w:hAnsi="Segoe UI" w:cs="Segoe UI"/>
                      <w:b/>
                      <w:color w:val="008080"/>
                      <w:kern w:val="24"/>
                      <w:sz w:val="16"/>
                    </w:rPr>
                  </w:pPr>
                </w:p>
                <w:p w:rsidR="003B131A" w:rsidRPr="00D46FEC" w:rsidRDefault="003B131A" w:rsidP="00E55AED">
                  <w:pPr>
                    <w:kinsoku w:val="0"/>
                    <w:overflowPunct w:val="0"/>
                    <w:spacing w:before="40"/>
                    <w:ind w:left="547" w:hanging="547"/>
                    <w:textAlignment w:val="baseline"/>
                    <w:rPr>
                      <w:rFonts w:ascii="Segoe UI" w:eastAsia="Segoe UI" w:hAnsi="Segoe UI" w:cs="Segoe UI"/>
                      <w:b/>
                      <w:color w:val="008080"/>
                      <w:kern w:val="24"/>
                      <w:sz w:val="16"/>
                    </w:rPr>
                  </w:pPr>
                </w:p>
                <w:p w:rsidR="003B131A" w:rsidRPr="00FE1137" w:rsidRDefault="003B131A" w:rsidP="00E55AED">
                  <w:pPr>
                    <w:kinsoku w:val="0"/>
                    <w:overflowPunct w:val="0"/>
                    <w:spacing w:before="40"/>
                    <w:ind w:left="547" w:hanging="547"/>
                    <w:textAlignment w:val="baseline"/>
                    <w:rPr>
                      <w:b/>
                      <w:color w:val="008080"/>
                      <w:sz w:val="16"/>
                    </w:rPr>
                  </w:pPr>
                </w:p>
              </w:txbxContent>
            </v:textbox>
          </v:rect>
        </w:pict>
      </w:r>
    </w:p>
    <w:tbl>
      <w:tblPr>
        <w:tblW w:w="4983" w:type="pct"/>
        <w:tblCellMar>
          <w:left w:w="0" w:type="dxa"/>
          <w:right w:w="0" w:type="dxa"/>
        </w:tblCellMar>
        <w:tblLook w:val="0420"/>
      </w:tblPr>
      <w:tblGrid>
        <w:gridCol w:w="4365"/>
        <w:gridCol w:w="987"/>
        <w:gridCol w:w="988"/>
        <w:gridCol w:w="988"/>
        <w:gridCol w:w="988"/>
        <w:gridCol w:w="988"/>
        <w:gridCol w:w="983"/>
      </w:tblGrid>
      <w:tr w:rsidR="000C14F0" w:rsidRPr="0098297F" w:rsidTr="00AD2945">
        <w:trPr>
          <w:trHeight w:val="289"/>
        </w:trPr>
        <w:tc>
          <w:tcPr>
            <w:tcW w:w="2122"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0C14F0" w:rsidRPr="0098297F" w:rsidRDefault="000C14F0" w:rsidP="0098297F">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480" w:type="pct"/>
            <w:tcBorders>
              <w:top w:val="single" w:sz="8" w:space="0" w:color="000000"/>
              <w:left w:val="nil"/>
              <w:bottom w:val="single" w:sz="8" w:space="0" w:color="000000"/>
              <w:right w:val="nil"/>
            </w:tcBorders>
            <w:vAlign w:val="center"/>
          </w:tcPr>
          <w:p w:rsidR="000C14F0" w:rsidRPr="00E95FD5" w:rsidRDefault="000C14F0" w:rsidP="000C14F0">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0" w:type="pct"/>
            <w:tcBorders>
              <w:top w:val="single" w:sz="8" w:space="0" w:color="000000"/>
              <w:left w:val="nil"/>
              <w:bottom w:val="single" w:sz="8" w:space="0" w:color="000000"/>
              <w:right w:val="nil"/>
            </w:tcBorders>
            <w:vAlign w:val="center"/>
          </w:tcPr>
          <w:p w:rsidR="000C14F0" w:rsidRPr="00E95FD5" w:rsidRDefault="000C14F0" w:rsidP="000C14F0">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0" w:type="pct"/>
            <w:tcBorders>
              <w:top w:val="single" w:sz="8" w:space="0" w:color="000000"/>
              <w:left w:val="nil"/>
              <w:bottom w:val="single" w:sz="8" w:space="0" w:color="000000"/>
              <w:right w:val="nil"/>
            </w:tcBorders>
            <w:vAlign w:val="center"/>
          </w:tcPr>
          <w:p w:rsidR="000C14F0" w:rsidRPr="00E95FD5" w:rsidRDefault="000C14F0" w:rsidP="000C14F0">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c>
          <w:tcPr>
            <w:tcW w:w="480" w:type="pct"/>
            <w:tcBorders>
              <w:top w:val="single" w:sz="8" w:space="0" w:color="000000"/>
              <w:left w:val="nil"/>
              <w:bottom w:val="single" w:sz="8" w:space="0" w:color="000000"/>
              <w:right w:val="nil"/>
            </w:tcBorders>
            <w:vAlign w:val="center"/>
          </w:tcPr>
          <w:p w:rsidR="000C14F0" w:rsidRPr="00E95FD5" w:rsidRDefault="000C14F0" w:rsidP="000C14F0">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77020D">
              <w:rPr>
                <w:rFonts w:ascii="Segoe UI" w:eastAsia="Times New Roman" w:hAnsi="Segoe UI" w:cs="Segoe UI"/>
                <w:b/>
                <w:bCs/>
                <w:color w:val="000000" w:themeColor="text1"/>
                <w:kern w:val="24"/>
                <w:sz w:val="14"/>
                <w:szCs w:val="14"/>
                <w:lang w:eastAsia="el-GR"/>
              </w:rPr>
              <w:t xml:space="preserve">‘ </w:t>
            </w:r>
            <w:r>
              <w:rPr>
                <w:rFonts w:ascii="Segoe UI" w:eastAsia="Times New Roman" w:hAnsi="Segoe UI" w:cs="Segoe UI"/>
                <w:b/>
                <w:bCs/>
                <w:color w:val="000000" w:themeColor="text1"/>
                <w:kern w:val="24"/>
                <w:sz w:val="14"/>
                <w:szCs w:val="14"/>
                <w:lang w:eastAsia="el-GR"/>
              </w:rPr>
              <w:t>εξάμηνο</w:t>
            </w:r>
            <w:r w:rsidRPr="0077020D">
              <w:rPr>
                <w:rFonts w:ascii="Segoe UI" w:eastAsia="Times New Roman" w:hAnsi="Segoe UI" w:cs="Segoe UI"/>
                <w:b/>
                <w:bCs/>
                <w:color w:val="000000" w:themeColor="text1"/>
                <w:kern w:val="24"/>
                <w:sz w:val="14"/>
                <w:szCs w:val="14"/>
                <w:lang w:eastAsia="el-GR"/>
              </w:rPr>
              <w:t xml:space="preserve"> 20</w:t>
            </w:r>
            <w:r>
              <w:rPr>
                <w:rFonts w:ascii="Segoe UI" w:eastAsia="Times New Roman" w:hAnsi="Segoe UI" w:cs="Segoe UI"/>
                <w:b/>
                <w:bCs/>
                <w:color w:val="000000" w:themeColor="text1"/>
                <w:kern w:val="24"/>
                <w:sz w:val="14"/>
                <w:szCs w:val="14"/>
                <w:lang w:eastAsia="el-GR"/>
              </w:rPr>
              <w:t>20</w:t>
            </w:r>
          </w:p>
        </w:tc>
        <w:tc>
          <w:tcPr>
            <w:tcW w:w="480"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hideMark/>
          </w:tcPr>
          <w:p w:rsidR="000C14F0" w:rsidRPr="00E95FD5" w:rsidRDefault="000C14F0" w:rsidP="000C14F0">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E95FD5">
              <w:rPr>
                <w:rFonts w:ascii="Segoe UI" w:eastAsia="Times New Roman" w:hAnsi="Segoe UI" w:cs="Segoe UI"/>
                <w:b/>
                <w:bCs/>
                <w:color w:val="000000" w:themeColor="text1"/>
                <w:kern w:val="24"/>
                <w:sz w:val="14"/>
                <w:szCs w:val="14"/>
                <w:lang w:eastAsia="el-GR"/>
              </w:rPr>
              <w:t>‘</w:t>
            </w:r>
            <w:r>
              <w:rPr>
                <w:rFonts w:ascii="Segoe UI" w:eastAsia="Times New Roman" w:hAnsi="Segoe UI" w:cs="Segoe UI"/>
                <w:b/>
                <w:bCs/>
                <w:color w:val="000000" w:themeColor="text1"/>
                <w:kern w:val="24"/>
                <w:sz w:val="14"/>
                <w:szCs w:val="14"/>
                <w:lang w:eastAsia="el-GR"/>
              </w:rPr>
              <w:t xml:space="preserve"> εξάμηνο</w:t>
            </w:r>
            <w:r w:rsidRPr="0077020D">
              <w:rPr>
                <w:rFonts w:ascii="Segoe UI" w:eastAsia="Times New Roman" w:hAnsi="Segoe UI" w:cs="Segoe UI"/>
                <w:b/>
                <w:bCs/>
                <w:color w:val="000000" w:themeColor="text1"/>
                <w:kern w:val="24"/>
                <w:sz w:val="14"/>
                <w:szCs w:val="14"/>
                <w:lang w:eastAsia="el-GR"/>
              </w:rPr>
              <w:t xml:space="preserve"> </w:t>
            </w:r>
            <w:r w:rsidRPr="00E95FD5">
              <w:rPr>
                <w:rFonts w:ascii="Segoe UI" w:eastAsia="Times New Roman" w:hAnsi="Segoe UI" w:cs="Segoe UI"/>
                <w:b/>
                <w:bCs/>
                <w:color w:val="000000" w:themeColor="text1"/>
                <w:kern w:val="24"/>
                <w:sz w:val="14"/>
                <w:szCs w:val="14"/>
                <w:lang w:eastAsia="el-GR"/>
              </w:rPr>
              <w:t>2019</w:t>
            </w:r>
          </w:p>
        </w:tc>
        <w:tc>
          <w:tcPr>
            <w:tcW w:w="480"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hideMark/>
          </w:tcPr>
          <w:p w:rsidR="000C14F0" w:rsidRPr="00E95FD5" w:rsidRDefault="000C14F0" w:rsidP="000C14F0">
            <w:pPr>
              <w:spacing w:before="38"/>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941DDA" w:rsidRPr="0098297F" w:rsidTr="00AD2945">
        <w:trPr>
          <w:trHeight w:val="113"/>
        </w:trPr>
        <w:tc>
          <w:tcPr>
            <w:tcW w:w="2122"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Καθαρά έσοδα από τόκους</w:t>
            </w:r>
          </w:p>
        </w:tc>
        <w:tc>
          <w:tcPr>
            <w:tcW w:w="480" w:type="pct"/>
            <w:tcBorders>
              <w:top w:val="single" w:sz="8" w:space="0" w:color="000000"/>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259 </w:t>
            </w:r>
          </w:p>
        </w:tc>
        <w:tc>
          <w:tcPr>
            <w:tcW w:w="480" w:type="pct"/>
            <w:tcBorders>
              <w:top w:val="single" w:sz="8" w:space="0" w:color="000000"/>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262 </w:t>
            </w:r>
          </w:p>
        </w:tc>
        <w:tc>
          <w:tcPr>
            <w:tcW w:w="480" w:type="pct"/>
            <w:tcBorders>
              <w:top w:val="single" w:sz="8" w:space="0" w:color="000000"/>
              <w:left w:val="nil"/>
              <w:bottom w:val="nil"/>
              <w:right w:val="nil"/>
            </w:tcBorders>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-1%</w:t>
            </w:r>
          </w:p>
        </w:tc>
        <w:tc>
          <w:tcPr>
            <w:tcW w:w="480" w:type="pct"/>
            <w:tcBorders>
              <w:top w:val="single" w:sz="8" w:space="0" w:color="000000"/>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521 </w:t>
            </w:r>
          </w:p>
        </w:tc>
        <w:tc>
          <w:tcPr>
            <w:tcW w:w="480" w:type="pct"/>
            <w:tcBorders>
              <w:top w:val="single" w:sz="8" w:space="0" w:color="000000"/>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567 </w:t>
            </w:r>
          </w:p>
        </w:tc>
        <w:tc>
          <w:tcPr>
            <w:tcW w:w="480" w:type="pct"/>
            <w:tcBorders>
              <w:top w:val="single" w:sz="8" w:space="0" w:color="000000"/>
              <w:left w:val="nil"/>
              <w:bottom w:val="nil"/>
              <w:right w:val="nil"/>
            </w:tcBorders>
            <w:shd w:val="clear" w:color="auto" w:fill="auto"/>
            <w:tcMar>
              <w:top w:w="15" w:type="dxa"/>
              <w:left w:w="15" w:type="dxa"/>
              <w:bottom w:w="0" w:type="dxa"/>
              <w:right w:w="78" w:type="dxa"/>
            </w:tcMar>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-8%</w:t>
            </w:r>
          </w:p>
        </w:tc>
      </w:tr>
      <w:tr w:rsidR="00941DDA" w:rsidRPr="0098297F" w:rsidTr="00AD2945">
        <w:trPr>
          <w:trHeight w:val="113"/>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themeColor="text1"/>
                <w:kern w:val="24"/>
                <w:sz w:val="14"/>
                <w:szCs w:val="14"/>
                <w:lang w:eastAsia="el-GR"/>
              </w:rPr>
              <w:t>Καθαρά έσοδα από προμήθειες</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54 </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63 </w:t>
            </w:r>
          </w:p>
        </w:tc>
        <w:tc>
          <w:tcPr>
            <w:tcW w:w="480" w:type="pct"/>
            <w:tcBorders>
              <w:top w:val="nil"/>
              <w:left w:val="nil"/>
              <w:bottom w:val="nil"/>
              <w:right w:val="nil"/>
            </w:tcBorders>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-14%</w:t>
            </w:r>
          </w:p>
        </w:tc>
        <w:tc>
          <w:tcPr>
            <w:tcW w:w="480" w:type="pct"/>
            <w:tcBorders>
              <w:top w:val="nil"/>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118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113 </w:t>
            </w:r>
          </w:p>
        </w:tc>
        <w:tc>
          <w:tcPr>
            <w:tcW w:w="480" w:type="pct"/>
            <w:tcBorders>
              <w:top w:val="nil"/>
              <w:left w:val="nil"/>
              <w:bottom w:val="nil"/>
              <w:right w:val="nil"/>
            </w:tcBorders>
            <w:shd w:val="clear" w:color="auto" w:fill="auto"/>
            <w:tcMar>
              <w:top w:w="15" w:type="dxa"/>
              <w:left w:w="15" w:type="dxa"/>
              <w:bottom w:w="0" w:type="dxa"/>
              <w:right w:w="78" w:type="dxa"/>
            </w:tcMar>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4%</w:t>
            </w:r>
          </w:p>
        </w:tc>
      </w:tr>
      <w:tr w:rsidR="00941DDA" w:rsidRPr="0098297F" w:rsidTr="00AD2945">
        <w:trPr>
          <w:trHeight w:val="113"/>
        </w:trPr>
        <w:tc>
          <w:tcPr>
            <w:tcW w:w="2122" w:type="pct"/>
            <w:tcBorders>
              <w:top w:val="nil"/>
              <w:left w:val="nil"/>
              <w:bottom w:val="nil"/>
              <w:right w:val="nil"/>
            </w:tcBorders>
            <w:shd w:val="clear" w:color="auto" w:fill="F2F2F2"/>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themeColor="text1"/>
                <w:kern w:val="24"/>
                <w:sz w:val="14"/>
                <w:szCs w:val="14"/>
                <w:lang w:eastAsia="el-GR"/>
              </w:rPr>
              <w:t>Οργανικά έσοδα</w:t>
            </w:r>
          </w:p>
        </w:tc>
        <w:tc>
          <w:tcPr>
            <w:tcW w:w="480" w:type="pct"/>
            <w:tcBorders>
              <w:top w:val="nil"/>
              <w:left w:val="nil"/>
              <w:bottom w:val="nil"/>
              <w:right w:val="nil"/>
            </w:tcBorders>
            <w:shd w:val="clear" w:color="auto" w:fill="F2F2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313 </w:t>
            </w:r>
          </w:p>
        </w:tc>
        <w:tc>
          <w:tcPr>
            <w:tcW w:w="480" w:type="pct"/>
            <w:tcBorders>
              <w:top w:val="nil"/>
              <w:left w:val="nil"/>
              <w:bottom w:val="nil"/>
              <w:right w:val="nil"/>
            </w:tcBorders>
            <w:shd w:val="clear" w:color="auto" w:fill="F2F2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325 </w:t>
            </w:r>
          </w:p>
        </w:tc>
        <w:tc>
          <w:tcPr>
            <w:tcW w:w="480" w:type="pct"/>
            <w:tcBorders>
              <w:top w:val="nil"/>
              <w:left w:val="nil"/>
              <w:bottom w:val="nil"/>
              <w:right w:val="nil"/>
            </w:tcBorders>
            <w:shd w:val="clear" w:color="auto" w:fill="F2F2F2" w:themeFill="background1" w:themeFillShade="F2"/>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-4%</w:t>
            </w:r>
          </w:p>
        </w:tc>
        <w:tc>
          <w:tcPr>
            <w:tcW w:w="480" w:type="pct"/>
            <w:tcBorders>
              <w:top w:val="nil"/>
              <w:left w:val="nil"/>
              <w:bottom w:val="nil"/>
              <w:right w:val="nil"/>
            </w:tcBorders>
            <w:shd w:val="clear" w:color="auto" w:fill="F2F2F2" w:themeFill="background1" w:themeFillShade="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639 </w:t>
            </w:r>
          </w:p>
        </w:tc>
        <w:tc>
          <w:tcPr>
            <w:tcW w:w="480" w:type="pct"/>
            <w:tcBorders>
              <w:top w:val="nil"/>
              <w:left w:val="nil"/>
              <w:bottom w:val="nil"/>
              <w:right w:val="nil"/>
            </w:tcBorders>
            <w:shd w:val="clear" w:color="auto" w:fill="F2F2F2" w:themeFill="background1" w:themeFillShade="F2"/>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681 </w:t>
            </w:r>
          </w:p>
        </w:tc>
        <w:tc>
          <w:tcPr>
            <w:tcW w:w="480" w:type="pct"/>
            <w:tcBorders>
              <w:top w:val="nil"/>
              <w:left w:val="nil"/>
              <w:bottom w:val="nil"/>
              <w:right w:val="nil"/>
            </w:tcBorders>
            <w:shd w:val="clear" w:color="auto" w:fill="F2F2F2" w:themeFill="background1" w:themeFillShade="F2"/>
            <w:tcMar>
              <w:top w:w="15" w:type="dxa"/>
              <w:left w:w="15" w:type="dxa"/>
              <w:bottom w:w="0" w:type="dxa"/>
              <w:right w:w="78" w:type="dxa"/>
            </w:tcMar>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-6%</w:t>
            </w:r>
          </w:p>
        </w:tc>
      </w:tr>
      <w:tr w:rsidR="00941DDA" w:rsidRPr="0098297F" w:rsidTr="00AD2945">
        <w:trPr>
          <w:trHeight w:val="113"/>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941DDA" w:rsidRPr="0098297F" w:rsidRDefault="00941DDA" w:rsidP="0015732E">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98297F">
              <w:rPr>
                <w:rFonts w:ascii="Segoe UI" w:eastAsia="Segoe UI" w:hAnsi="Segoe UI" w:cs="Segoe UI"/>
                <w:color w:val="000000"/>
                <w:kern w:val="24"/>
                <w:sz w:val="14"/>
                <w:szCs w:val="14"/>
                <w:lang w:eastAsia="el-GR"/>
              </w:rPr>
              <w:t>πράξεις και λοιπά έσοδα</w:t>
            </w:r>
            <w:r w:rsidRPr="00F27E7D">
              <w:rPr>
                <w:rFonts w:ascii="Segoe UI" w:eastAsia="Segoe UI" w:hAnsi="Segoe UI" w:cs="Segoe UI"/>
                <w:color w:val="000000"/>
                <w:kern w:val="24"/>
                <w:sz w:val="14"/>
                <w:szCs w:val="14"/>
                <w:vertAlign w:val="superscript"/>
                <w:lang w:eastAsia="el-GR"/>
              </w:rPr>
              <w:t>1</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10 </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775 </w:t>
            </w:r>
          </w:p>
        </w:tc>
        <w:tc>
          <w:tcPr>
            <w:tcW w:w="480" w:type="pct"/>
            <w:tcBorders>
              <w:top w:val="nil"/>
              <w:left w:val="nil"/>
              <w:bottom w:val="nil"/>
              <w:right w:val="nil"/>
            </w:tcBorders>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-99%</w:t>
            </w:r>
          </w:p>
        </w:tc>
        <w:tc>
          <w:tcPr>
            <w:tcW w:w="480" w:type="pct"/>
            <w:tcBorders>
              <w:top w:val="nil"/>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784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149 </w:t>
            </w:r>
          </w:p>
        </w:tc>
        <w:tc>
          <w:tcPr>
            <w:tcW w:w="480" w:type="pct"/>
            <w:tcBorders>
              <w:top w:val="nil"/>
              <w:left w:val="nil"/>
              <w:bottom w:val="nil"/>
              <w:right w:val="nil"/>
            </w:tcBorders>
            <w:shd w:val="clear" w:color="auto" w:fill="auto"/>
            <w:tcMar>
              <w:top w:w="15" w:type="dxa"/>
              <w:left w:w="15" w:type="dxa"/>
              <w:bottom w:w="0" w:type="dxa"/>
              <w:right w:w="78" w:type="dxa"/>
            </w:tcMar>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&gt;100%</w:t>
            </w:r>
          </w:p>
        </w:tc>
      </w:tr>
      <w:tr w:rsidR="00941DDA" w:rsidRPr="0098297F" w:rsidTr="00AD2945">
        <w:trPr>
          <w:trHeight w:val="113"/>
        </w:trPr>
        <w:tc>
          <w:tcPr>
            <w:tcW w:w="2122" w:type="pct"/>
            <w:tcBorders>
              <w:top w:val="nil"/>
              <w:left w:val="nil"/>
              <w:bottom w:val="nil"/>
              <w:right w:val="nil"/>
            </w:tcBorders>
            <w:shd w:val="clear" w:color="auto" w:fill="F2F2F2"/>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Καθαρά λειτουργικά έσοδα </w:t>
            </w:r>
          </w:p>
        </w:tc>
        <w:tc>
          <w:tcPr>
            <w:tcW w:w="480" w:type="pct"/>
            <w:tcBorders>
              <w:top w:val="nil"/>
              <w:left w:val="nil"/>
              <w:bottom w:val="nil"/>
              <w:right w:val="nil"/>
            </w:tcBorders>
            <w:shd w:val="clear" w:color="auto" w:fill="F2F2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323 </w:t>
            </w:r>
          </w:p>
        </w:tc>
        <w:tc>
          <w:tcPr>
            <w:tcW w:w="480" w:type="pct"/>
            <w:tcBorders>
              <w:top w:val="nil"/>
              <w:left w:val="nil"/>
              <w:bottom w:val="nil"/>
              <w:right w:val="nil"/>
            </w:tcBorders>
            <w:shd w:val="clear" w:color="auto" w:fill="F2F2F2"/>
            <w:vAlign w:val="center"/>
          </w:tcPr>
          <w:p w:rsidR="00941DDA" w:rsidRPr="00941DDA" w:rsidRDefault="00941DDA" w:rsidP="005B4164">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1</w:t>
            </w:r>
            <w:r w:rsidR="005B4164">
              <w:rPr>
                <w:rFonts w:ascii="Segoe UI" w:eastAsia="Times New Roman" w:hAnsi="Segoe UI" w:cs="Segoe UI"/>
                <w:b/>
                <w:bCs/>
                <w:color w:val="000000" w:themeColor="text1"/>
                <w:kern w:val="24"/>
                <w:sz w:val="14"/>
                <w:szCs w:val="16"/>
                <w:lang w:eastAsia="el-GR"/>
              </w:rPr>
              <w:t>.</w:t>
            </w:r>
            <w:r w:rsidRPr="00941DDA">
              <w:rPr>
                <w:rFonts w:ascii="Segoe UI" w:eastAsia="Times New Roman" w:hAnsi="Segoe UI" w:cs="Segoe UI"/>
                <w:b/>
                <w:bCs/>
                <w:color w:val="000000" w:themeColor="text1"/>
                <w:kern w:val="24"/>
                <w:sz w:val="14"/>
                <w:szCs w:val="16"/>
                <w:lang w:eastAsia="el-GR"/>
              </w:rPr>
              <w:t xml:space="preserve">100 </w:t>
            </w:r>
          </w:p>
        </w:tc>
        <w:tc>
          <w:tcPr>
            <w:tcW w:w="480" w:type="pct"/>
            <w:tcBorders>
              <w:top w:val="nil"/>
              <w:left w:val="nil"/>
              <w:bottom w:val="nil"/>
              <w:right w:val="nil"/>
            </w:tcBorders>
            <w:shd w:val="clear" w:color="auto" w:fill="F2F2F2"/>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-71%</w:t>
            </w:r>
          </w:p>
        </w:tc>
        <w:tc>
          <w:tcPr>
            <w:tcW w:w="480" w:type="pct"/>
            <w:tcBorders>
              <w:top w:val="nil"/>
              <w:left w:val="nil"/>
              <w:bottom w:val="nil"/>
              <w:right w:val="nil"/>
            </w:tcBorders>
            <w:shd w:val="clear" w:color="auto" w:fill="F2F2F2"/>
            <w:vAlign w:val="center"/>
          </w:tcPr>
          <w:p w:rsidR="00941DDA" w:rsidRPr="00941DDA" w:rsidRDefault="00941DDA" w:rsidP="005B4164">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1</w:t>
            </w:r>
            <w:r w:rsidR="005B4164">
              <w:rPr>
                <w:rFonts w:ascii="Segoe UI" w:eastAsia="Times New Roman" w:hAnsi="Segoe UI" w:cs="Segoe UI"/>
                <w:b/>
                <w:bCs/>
                <w:color w:val="000000" w:themeColor="text1"/>
                <w:kern w:val="24"/>
                <w:sz w:val="14"/>
                <w:szCs w:val="16"/>
                <w:lang w:eastAsia="el-GR"/>
              </w:rPr>
              <w:t>.</w:t>
            </w:r>
            <w:r w:rsidRPr="00941DDA">
              <w:rPr>
                <w:rFonts w:ascii="Segoe UI" w:eastAsia="Times New Roman" w:hAnsi="Segoe UI" w:cs="Segoe UI"/>
                <w:b/>
                <w:bCs/>
                <w:color w:val="000000" w:themeColor="text1"/>
                <w:kern w:val="24"/>
                <w:sz w:val="14"/>
                <w:szCs w:val="16"/>
                <w:lang w:eastAsia="el-GR"/>
              </w:rPr>
              <w:t xml:space="preserve">423 </w:t>
            </w:r>
          </w:p>
        </w:tc>
        <w:tc>
          <w:tcPr>
            <w:tcW w:w="480" w:type="pct"/>
            <w:tcBorders>
              <w:top w:val="nil"/>
              <w:left w:val="nil"/>
              <w:bottom w:val="nil"/>
              <w:right w:val="nil"/>
            </w:tcBorders>
            <w:shd w:val="clear" w:color="auto" w:fill="F2F2F2"/>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830 </w:t>
            </w:r>
          </w:p>
        </w:tc>
        <w:tc>
          <w:tcPr>
            <w:tcW w:w="480" w:type="pct"/>
            <w:tcBorders>
              <w:top w:val="nil"/>
              <w:left w:val="nil"/>
              <w:bottom w:val="nil"/>
              <w:right w:val="nil"/>
            </w:tcBorders>
            <w:shd w:val="clear" w:color="auto" w:fill="F2F2F2"/>
            <w:tcMar>
              <w:top w:w="15" w:type="dxa"/>
              <w:left w:w="15" w:type="dxa"/>
              <w:bottom w:w="0" w:type="dxa"/>
              <w:right w:w="78" w:type="dxa"/>
            </w:tcMar>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72%</w:t>
            </w:r>
          </w:p>
        </w:tc>
      </w:tr>
      <w:tr w:rsidR="00941DDA" w:rsidRPr="0098297F" w:rsidTr="00AD2945">
        <w:trPr>
          <w:trHeight w:val="113"/>
        </w:trPr>
        <w:tc>
          <w:tcPr>
            <w:tcW w:w="2122" w:type="pct"/>
            <w:tcBorders>
              <w:top w:val="nil"/>
              <w:left w:val="nil"/>
              <w:right w:val="nil"/>
            </w:tcBorders>
            <w:shd w:val="clear" w:color="auto" w:fill="auto"/>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Λειτουργικές δαπάνες</w:t>
            </w:r>
          </w:p>
        </w:tc>
        <w:tc>
          <w:tcPr>
            <w:tcW w:w="480" w:type="pct"/>
            <w:tcBorders>
              <w:top w:val="nil"/>
              <w:left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(186) </w:t>
            </w:r>
          </w:p>
        </w:tc>
        <w:tc>
          <w:tcPr>
            <w:tcW w:w="480" w:type="pct"/>
            <w:tcBorders>
              <w:top w:val="nil"/>
              <w:left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(197) </w:t>
            </w:r>
          </w:p>
        </w:tc>
        <w:tc>
          <w:tcPr>
            <w:tcW w:w="480" w:type="pct"/>
            <w:tcBorders>
              <w:top w:val="nil"/>
              <w:left w:val="nil"/>
              <w:right w:val="nil"/>
            </w:tcBorders>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-6%</w:t>
            </w:r>
          </w:p>
        </w:tc>
        <w:tc>
          <w:tcPr>
            <w:tcW w:w="480" w:type="pct"/>
            <w:tcBorders>
              <w:top w:val="nil"/>
              <w:left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(383)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(388) </w:t>
            </w:r>
          </w:p>
        </w:tc>
        <w:tc>
          <w:tcPr>
            <w:tcW w:w="480" w:type="pct"/>
            <w:tcBorders>
              <w:top w:val="nil"/>
              <w:left w:val="nil"/>
              <w:right w:val="nil"/>
            </w:tcBorders>
            <w:shd w:val="clear" w:color="auto" w:fill="auto"/>
            <w:tcMar>
              <w:top w:w="15" w:type="dxa"/>
              <w:left w:w="15" w:type="dxa"/>
              <w:bottom w:w="0" w:type="dxa"/>
              <w:right w:w="78" w:type="dxa"/>
            </w:tcMar>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-1%</w:t>
            </w:r>
          </w:p>
        </w:tc>
      </w:tr>
      <w:tr w:rsidR="00941DDA" w:rsidRPr="0098297F" w:rsidTr="00AD2945">
        <w:trPr>
          <w:trHeight w:val="113"/>
        </w:trPr>
        <w:tc>
          <w:tcPr>
            <w:tcW w:w="2122"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80" w:type="pct"/>
            <w:tcBorders>
              <w:top w:val="nil"/>
              <w:left w:val="nil"/>
              <w:bottom w:val="nil"/>
              <w:right w:val="nil"/>
            </w:tcBorders>
            <w:shd w:val="clear" w:color="auto" w:fill="F2F2F2" w:themeFill="background1" w:themeFillShade="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128 </w:t>
            </w:r>
          </w:p>
        </w:tc>
        <w:tc>
          <w:tcPr>
            <w:tcW w:w="480" w:type="pct"/>
            <w:tcBorders>
              <w:top w:val="nil"/>
              <w:left w:val="nil"/>
              <w:bottom w:val="nil"/>
              <w:right w:val="nil"/>
            </w:tcBorders>
            <w:shd w:val="clear" w:color="auto" w:fill="F2F2F2" w:themeFill="background1" w:themeFillShade="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128 </w:t>
            </w:r>
          </w:p>
        </w:tc>
        <w:tc>
          <w:tcPr>
            <w:tcW w:w="480" w:type="pct"/>
            <w:tcBorders>
              <w:top w:val="nil"/>
              <w:left w:val="nil"/>
              <w:bottom w:val="nil"/>
              <w:right w:val="nil"/>
            </w:tcBorders>
            <w:shd w:val="clear" w:color="auto" w:fill="F2F2F2" w:themeFill="background1" w:themeFillShade="F2"/>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0%</w:t>
            </w:r>
          </w:p>
        </w:tc>
        <w:tc>
          <w:tcPr>
            <w:tcW w:w="480" w:type="pct"/>
            <w:tcBorders>
              <w:top w:val="nil"/>
              <w:left w:val="nil"/>
              <w:bottom w:val="nil"/>
              <w:right w:val="nil"/>
            </w:tcBorders>
            <w:shd w:val="clear" w:color="auto" w:fill="F2F2F2" w:themeFill="background1" w:themeFillShade="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256 </w:t>
            </w:r>
          </w:p>
        </w:tc>
        <w:tc>
          <w:tcPr>
            <w:tcW w:w="480" w:type="pct"/>
            <w:tcBorders>
              <w:top w:val="nil"/>
              <w:left w:val="nil"/>
              <w:bottom w:val="nil"/>
              <w:right w:val="nil"/>
            </w:tcBorders>
            <w:shd w:val="clear" w:color="auto" w:fill="F2F2F2" w:themeFill="background1" w:themeFillShade="F2"/>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293 </w:t>
            </w:r>
          </w:p>
        </w:tc>
        <w:tc>
          <w:tcPr>
            <w:tcW w:w="480" w:type="pct"/>
            <w:tcBorders>
              <w:top w:val="nil"/>
              <w:left w:val="nil"/>
              <w:bottom w:val="nil"/>
              <w:right w:val="nil"/>
            </w:tcBorders>
            <w:shd w:val="clear" w:color="auto" w:fill="F2F2F2" w:themeFill="background1" w:themeFillShade="F2"/>
            <w:tcMar>
              <w:top w:w="15" w:type="dxa"/>
              <w:left w:w="15" w:type="dxa"/>
              <w:bottom w:w="0" w:type="dxa"/>
              <w:right w:w="78" w:type="dxa"/>
            </w:tcMar>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-13%</w:t>
            </w:r>
          </w:p>
        </w:tc>
      </w:tr>
      <w:tr w:rsidR="00941DDA" w:rsidRPr="0098297F" w:rsidTr="00AD2945">
        <w:trPr>
          <w:trHeight w:val="113"/>
        </w:trPr>
        <w:tc>
          <w:tcPr>
            <w:tcW w:w="2122"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Κέρδη / (ζημίες) προ προβλέψεων</w:t>
            </w:r>
          </w:p>
        </w:tc>
        <w:tc>
          <w:tcPr>
            <w:tcW w:w="480" w:type="pct"/>
            <w:tcBorders>
              <w:top w:val="nil"/>
              <w:left w:val="nil"/>
              <w:bottom w:val="nil"/>
              <w:right w:val="nil"/>
            </w:tcBorders>
            <w:shd w:val="clear" w:color="auto" w:fill="F2F2F2" w:themeFill="background1" w:themeFillShade="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137 </w:t>
            </w:r>
          </w:p>
        </w:tc>
        <w:tc>
          <w:tcPr>
            <w:tcW w:w="480" w:type="pct"/>
            <w:tcBorders>
              <w:top w:val="nil"/>
              <w:left w:val="nil"/>
              <w:bottom w:val="nil"/>
              <w:right w:val="nil"/>
            </w:tcBorders>
            <w:shd w:val="clear" w:color="auto" w:fill="F2F2F2" w:themeFill="background1" w:themeFillShade="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903 </w:t>
            </w:r>
          </w:p>
        </w:tc>
        <w:tc>
          <w:tcPr>
            <w:tcW w:w="480" w:type="pct"/>
            <w:tcBorders>
              <w:top w:val="nil"/>
              <w:left w:val="nil"/>
              <w:bottom w:val="nil"/>
              <w:right w:val="nil"/>
            </w:tcBorders>
            <w:shd w:val="clear" w:color="auto" w:fill="F2F2F2" w:themeFill="background1" w:themeFillShade="F2"/>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-85%</w:t>
            </w:r>
          </w:p>
        </w:tc>
        <w:tc>
          <w:tcPr>
            <w:tcW w:w="480" w:type="pct"/>
            <w:tcBorders>
              <w:top w:val="nil"/>
              <w:left w:val="nil"/>
              <w:bottom w:val="nil"/>
              <w:right w:val="nil"/>
            </w:tcBorders>
            <w:shd w:val="clear" w:color="auto" w:fill="F2F2F2" w:themeFill="background1" w:themeFillShade="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1,040 </w:t>
            </w:r>
          </w:p>
        </w:tc>
        <w:tc>
          <w:tcPr>
            <w:tcW w:w="480" w:type="pct"/>
            <w:tcBorders>
              <w:top w:val="nil"/>
              <w:left w:val="nil"/>
              <w:bottom w:val="nil"/>
              <w:right w:val="nil"/>
            </w:tcBorders>
            <w:shd w:val="clear" w:color="auto" w:fill="F2F2F2" w:themeFill="background1" w:themeFillShade="F2"/>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442 </w:t>
            </w:r>
          </w:p>
        </w:tc>
        <w:tc>
          <w:tcPr>
            <w:tcW w:w="480" w:type="pct"/>
            <w:tcBorders>
              <w:top w:val="nil"/>
              <w:left w:val="nil"/>
              <w:bottom w:val="nil"/>
              <w:right w:val="nil"/>
            </w:tcBorders>
            <w:shd w:val="clear" w:color="auto" w:fill="F2F2F2" w:themeFill="background1" w:themeFillShade="F2"/>
            <w:tcMar>
              <w:top w:w="15" w:type="dxa"/>
              <w:left w:w="15" w:type="dxa"/>
              <w:bottom w:w="0" w:type="dxa"/>
              <w:right w:w="78" w:type="dxa"/>
            </w:tcMar>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&gt;100%</w:t>
            </w:r>
          </w:p>
        </w:tc>
      </w:tr>
      <w:tr w:rsidR="00941DDA" w:rsidRPr="0098297F" w:rsidTr="00AD2945">
        <w:trPr>
          <w:trHeight w:val="113"/>
        </w:trPr>
        <w:tc>
          <w:tcPr>
            <w:tcW w:w="2122" w:type="pct"/>
            <w:tcBorders>
              <w:top w:val="nil"/>
              <w:left w:val="nil"/>
              <w:right w:val="nil"/>
            </w:tcBorders>
            <w:shd w:val="clear" w:color="auto" w:fill="auto"/>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Προβλέψεις για επισφαλή δάνεια</w:t>
            </w:r>
          </w:p>
        </w:tc>
        <w:tc>
          <w:tcPr>
            <w:tcW w:w="480" w:type="pct"/>
            <w:tcBorders>
              <w:top w:val="nil"/>
              <w:left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(75) </w:t>
            </w:r>
          </w:p>
        </w:tc>
        <w:tc>
          <w:tcPr>
            <w:tcW w:w="480" w:type="pct"/>
            <w:tcBorders>
              <w:top w:val="nil"/>
              <w:left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(486) </w:t>
            </w:r>
          </w:p>
        </w:tc>
        <w:tc>
          <w:tcPr>
            <w:tcW w:w="480" w:type="pct"/>
            <w:tcBorders>
              <w:top w:val="nil"/>
              <w:left w:val="nil"/>
              <w:right w:val="nil"/>
            </w:tcBorders>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-85%</w:t>
            </w:r>
          </w:p>
        </w:tc>
        <w:tc>
          <w:tcPr>
            <w:tcW w:w="480" w:type="pct"/>
            <w:tcBorders>
              <w:top w:val="nil"/>
              <w:left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(561) </w:t>
            </w:r>
          </w:p>
        </w:tc>
        <w:tc>
          <w:tcPr>
            <w:tcW w:w="480" w:type="pct"/>
            <w:tcBorders>
              <w:top w:val="nil"/>
              <w:left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(200) </w:t>
            </w:r>
          </w:p>
        </w:tc>
        <w:tc>
          <w:tcPr>
            <w:tcW w:w="480" w:type="pct"/>
            <w:tcBorders>
              <w:top w:val="nil"/>
              <w:left w:val="nil"/>
              <w:right w:val="nil"/>
            </w:tcBorders>
            <w:shd w:val="clear" w:color="auto" w:fill="auto"/>
            <w:tcMar>
              <w:top w:w="15" w:type="dxa"/>
              <w:left w:w="15" w:type="dxa"/>
              <w:bottom w:w="0" w:type="dxa"/>
              <w:right w:w="78" w:type="dxa"/>
            </w:tcMar>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&gt;100%</w:t>
            </w:r>
          </w:p>
        </w:tc>
      </w:tr>
      <w:tr w:rsidR="00941DDA" w:rsidRPr="0098297F" w:rsidTr="00AD2945">
        <w:trPr>
          <w:trHeight w:val="113"/>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Λειτουργικά κέρδη / (ζημίες)</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62 </w:t>
            </w:r>
          </w:p>
        </w:tc>
        <w:tc>
          <w:tcPr>
            <w:tcW w:w="480" w:type="pct"/>
            <w:tcBorders>
              <w:top w:val="nil"/>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417 </w:t>
            </w:r>
          </w:p>
        </w:tc>
        <w:tc>
          <w:tcPr>
            <w:tcW w:w="480" w:type="pct"/>
            <w:tcBorders>
              <w:top w:val="nil"/>
              <w:left w:val="nil"/>
              <w:bottom w:val="nil"/>
              <w:right w:val="nil"/>
            </w:tcBorders>
            <w:shd w:val="clear" w:color="auto" w:fill="auto"/>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-85%</w:t>
            </w:r>
          </w:p>
        </w:tc>
        <w:tc>
          <w:tcPr>
            <w:tcW w:w="480" w:type="pct"/>
            <w:tcBorders>
              <w:top w:val="nil"/>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480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241 </w:t>
            </w:r>
          </w:p>
        </w:tc>
        <w:tc>
          <w:tcPr>
            <w:tcW w:w="480" w:type="pct"/>
            <w:tcBorders>
              <w:top w:val="nil"/>
              <w:left w:val="nil"/>
              <w:bottom w:val="nil"/>
              <w:right w:val="nil"/>
            </w:tcBorders>
            <w:shd w:val="clear" w:color="auto" w:fill="auto"/>
            <w:tcMar>
              <w:top w:w="15" w:type="dxa"/>
              <w:left w:w="15" w:type="dxa"/>
              <w:bottom w:w="0" w:type="dxa"/>
              <w:right w:w="78" w:type="dxa"/>
            </w:tcMar>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99%</w:t>
            </w:r>
          </w:p>
        </w:tc>
      </w:tr>
      <w:tr w:rsidR="00941DDA" w:rsidRPr="0098297F" w:rsidTr="00AD2945">
        <w:trPr>
          <w:trHeight w:val="113"/>
        </w:trPr>
        <w:tc>
          <w:tcPr>
            <w:tcW w:w="2122" w:type="pct"/>
            <w:tcBorders>
              <w:top w:val="nil"/>
              <w:left w:val="nil"/>
              <w:bottom w:val="nil"/>
              <w:right w:val="nil"/>
            </w:tcBorders>
            <w:shd w:val="clear" w:color="auto" w:fill="auto"/>
            <w:tcMar>
              <w:top w:w="15" w:type="dxa"/>
              <w:left w:w="42" w:type="dxa"/>
              <w:bottom w:w="0" w:type="dxa"/>
              <w:right w:w="15" w:type="dxa"/>
            </w:tcMar>
            <w:vAlign w:val="center"/>
          </w:tcPr>
          <w:p w:rsidR="00941DDA" w:rsidRPr="0098297F" w:rsidRDefault="00941DDA" w:rsidP="00552E3B">
            <w:pPr>
              <w:textAlignment w:val="center"/>
              <w:rPr>
                <w:rFonts w:ascii="Segoe UI" w:eastAsia="Segoe UI" w:hAnsi="Segoe UI" w:cs="Segoe UI"/>
                <w:b/>
                <w:bCs/>
                <w:color w:val="000000"/>
                <w:kern w:val="24"/>
                <w:sz w:val="14"/>
                <w:szCs w:val="14"/>
                <w:lang w:eastAsia="el-GR"/>
              </w:rPr>
            </w:pPr>
            <w:r w:rsidRPr="0098297F">
              <w:rPr>
                <w:rFonts w:ascii="Segoe UI" w:eastAsia="Segoe UI" w:hAnsi="Segoe UI" w:cs="Segoe UI"/>
                <w:b/>
                <w:bCs/>
                <w:color w:val="000000"/>
                <w:kern w:val="24"/>
                <w:sz w:val="14"/>
                <w:szCs w:val="14"/>
                <w:lang w:eastAsia="el-GR"/>
              </w:rPr>
              <w:t>Οργανικά κέρδη / (ζημίες)</w:t>
            </w:r>
            <w:r w:rsidR="003A4DE4" w:rsidRPr="003A4DE4">
              <w:rPr>
                <w:rFonts w:ascii="Segoe UI" w:eastAsia="Segoe UI" w:hAnsi="Segoe UI" w:cs="Segoe UI"/>
                <w:b/>
                <w:bCs/>
                <w:color w:val="000000"/>
                <w:kern w:val="24"/>
                <w:sz w:val="14"/>
                <w:szCs w:val="14"/>
                <w:vertAlign w:val="superscript"/>
                <w:lang w:eastAsia="el-GR"/>
              </w:rPr>
              <w:t>2</w:t>
            </w:r>
            <w:r w:rsidRPr="003A4DE4">
              <w:rPr>
                <w:rFonts w:ascii="Segoe UI" w:eastAsia="Segoe UI" w:hAnsi="Segoe UI" w:cs="Segoe UI"/>
                <w:b/>
                <w:bCs/>
                <w:color w:val="000000"/>
                <w:kern w:val="24"/>
                <w:sz w:val="14"/>
                <w:szCs w:val="14"/>
                <w:vertAlign w:val="superscript"/>
                <w:lang w:eastAsia="el-GR"/>
              </w:rPr>
              <w:t xml:space="preserve"> </w:t>
            </w:r>
          </w:p>
        </w:tc>
        <w:tc>
          <w:tcPr>
            <w:tcW w:w="480" w:type="pct"/>
            <w:tcBorders>
              <w:top w:val="nil"/>
              <w:left w:val="nil"/>
              <w:bottom w:val="nil"/>
              <w:right w:val="nil"/>
            </w:tcBorders>
            <w:vAlign w:val="center"/>
          </w:tcPr>
          <w:p w:rsidR="00941DDA" w:rsidRPr="00941DDA" w:rsidRDefault="004372CE" w:rsidP="004372CE">
            <w:pPr>
              <w:ind w:right="148"/>
              <w:jc w:val="right"/>
              <w:rPr>
                <w:rFonts w:ascii="Segoe UI" w:eastAsia="Times New Roman" w:hAnsi="Segoe UI" w:cs="Segoe UI"/>
                <w:b/>
                <w:bCs/>
                <w:color w:val="000000" w:themeColor="text1"/>
                <w:kern w:val="24"/>
                <w:sz w:val="14"/>
                <w:szCs w:val="16"/>
                <w:lang w:eastAsia="el-GR"/>
              </w:rPr>
            </w:pPr>
            <w:r>
              <w:rPr>
                <w:rFonts w:ascii="Segoe UI" w:eastAsia="Times New Roman" w:hAnsi="Segoe UI" w:cs="Segoe UI"/>
                <w:b/>
                <w:bCs/>
                <w:color w:val="000000" w:themeColor="text1"/>
                <w:kern w:val="24"/>
                <w:sz w:val="14"/>
                <w:szCs w:val="16"/>
                <w:lang w:eastAsia="el-GR"/>
              </w:rPr>
              <w:t>6</w:t>
            </w:r>
            <w:r w:rsidR="00941DDA" w:rsidRPr="00941DDA">
              <w:rPr>
                <w:rFonts w:ascii="Segoe UI" w:eastAsia="Times New Roman" w:hAnsi="Segoe UI" w:cs="Segoe UI"/>
                <w:b/>
                <w:bCs/>
                <w:color w:val="000000" w:themeColor="text1"/>
                <w:kern w:val="24"/>
                <w:sz w:val="14"/>
                <w:szCs w:val="16"/>
                <w:lang w:eastAsia="el-GR"/>
              </w:rPr>
              <w:t xml:space="preserve">3 </w:t>
            </w:r>
          </w:p>
        </w:tc>
        <w:tc>
          <w:tcPr>
            <w:tcW w:w="480" w:type="pct"/>
            <w:tcBorders>
              <w:top w:val="nil"/>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58 </w:t>
            </w:r>
          </w:p>
        </w:tc>
        <w:tc>
          <w:tcPr>
            <w:tcW w:w="480" w:type="pct"/>
            <w:tcBorders>
              <w:top w:val="nil"/>
              <w:left w:val="nil"/>
              <w:bottom w:val="nil"/>
              <w:right w:val="nil"/>
            </w:tcBorders>
            <w:shd w:val="clear" w:color="auto" w:fill="auto"/>
            <w:vAlign w:val="bottom"/>
          </w:tcPr>
          <w:p w:rsidR="00941DDA" w:rsidRPr="00941DDA" w:rsidRDefault="004372CE" w:rsidP="004372CE">
            <w:pPr>
              <w:ind w:right="148"/>
              <w:jc w:val="right"/>
              <w:rPr>
                <w:rFonts w:ascii="Segoe UI" w:eastAsia="Times New Roman" w:hAnsi="Segoe UI" w:cs="Segoe UI"/>
                <w:b/>
                <w:bCs/>
                <w:i/>
                <w:color w:val="000000" w:themeColor="text1"/>
                <w:kern w:val="24"/>
                <w:sz w:val="14"/>
                <w:szCs w:val="16"/>
                <w:lang w:eastAsia="el-GR"/>
              </w:rPr>
            </w:pPr>
            <w:r>
              <w:rPr>
                <w:rFonts w:ascii="Segoe UI" w:eastAsia="Times New Roman" w:hAnsi="Segoe UI" w:cs="Segoe UI"/>
                <w:b/>
                <w:bCs/>
                <w:i/>
                <w:color w:val="000000" w:themeColor="text1"/>
                <w:kern w:val="24"/>
                <w:sz w:val="14"/>
                <w:szCs w:val="16"/>
                <w:lang w:eastAsia="el-GR"/>
              </w:rPr>
              <w:t>8</w:t>
            </w:r>
            <w:r w:rsidR="00941DDA" w:rsidRPr="00941DDA">
              <w:rPr>
                <w:rFonts w:ascii="Segoe UI" w:eastAsia="Times New Roman" w:hAnsi="Segoe UI" w:cs="Segoe UI"/>
                <w:b/>
                <w:bCs/>
                <w:i/>
                <w:color w:val="000000" w:themeColor="text1"/>
                <w:kern w:val="24"/>
                <w:sz w:val="14"/>
                <w:szCs w:val="16"/>
                <w:lang w:eastAsia="el-GR"/>
              </w:rPr>
              <w:t>%</w:t>
            </w:r>
          </w:p>
        </w:tc>
        <w:tc>
          <w:tcPr>
            <w:tcW w:w="480" w:type="pct"/>
            <w:tcBorders>
              <w:top w:val="nil"/>
              <w:left w:val="nil"/>
              <w:bottom w:val="nil"/>
              <w:right w:val="nil"/>
            </w:tcBorders>
            <w:shd w:val="clear" w:color="auto" w:fill="auto"/>
            <w:vAlign w:val="center"/>
          </w:tcPr>
          <w:p w:rsidR="00941DDA" w:rsidRPr="00941DDA" w:rsidRDefault="00941DDA" w:rsidP="004372CE">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1</w:t>
            </w:r>
            <w:r w:rsidR="004372CE">
              <w:rPr>
                <w:rFonts w:ascii="Segoe UI" w:eastAsia="Times New Roman" w:hAnsi="Segoe UI" w:cs="Segoe UI"/>
                <w:b/>
                <w:bCs/>
                <w:color w:val="000000" w:themeColor="text1"/>
                <w:kern w:val="24"/>
                <w:sz w:val="14"/>
                <w:szCs w:val="16"/>
                <w:lang w:eastAsia="el-GR"/>
              </w:rPr>
              <w:t>2</w:t>
            </w:r>
            <w:r w:rsidRPr="00941DDA">
              <w:rPr>
                <w:rFonts w:ascii="Segoe UI" w:eastAsia="Times New Roman" w:hAnsi="Segoe UI" w:cs="Segoe UI"/>
                <w:b/>
                <w:bCs/>
                <w:color w:val="000000" w:themeColor="text1"/>
                <w:kern w:val="24"/>
                <w:sz w:val="14"/>
                <w:szCs w:val="16"/>
                <w:lang w:eastAsia="el-GR"/>
              </w:rPr>
              <w:t xml:space="preserve">1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92 </w:t>
            </w:r>
          </w:p>
        </w:tc>
        <w:tc>
          <w:tcPr>
            <w:tcW w:w="480" w:type="pct"/>
            <w:tcBorders>
              <w:top w:val="nil"/>
              <w:left w:val="nil"/>
              <w:bottom w:val="nil"/>
              <w:right w:val="nil"/>
            </w:tcBorders>
            <w:shd w:val="clear" w:color="auto" w:fill="auto"/>
            <w:tcMar>
              <w:top w:w="15" w:type="dxa"/>
              <w:left w:w="15" w:type="dxa"/>
              <w:bottom w:w="0" w:type="dxa"/>
              <w:right w:w="78" w:type="dxa"/>
            </w:tcMar>
            <w:vAlign w:val="bottom"/>
          </w:tcPr>
          <w:p w:rsidR="00941DDA" w:rsidRPr="00941DDA" w:rsidRDefault="004372CE" w:rsidP="004372CE">
            <w:pPr>
              <w:ind w:right="148"/>
              <w:jc w:val="right"/>
              <w:rPr>
                <w:rFonts w:ascii="Segoe UI" w:eastAsia="Times New Roman" w:hAnsi="Segoe UI" w:cs="Segoe UI"/>
                <w:b/>
                <w:bCs/>
                <w:i/>
                <w:color w:val="000000" w:themeColor="text1"/>
                <w:kern w:val="24"/>
                <w:sz w:val="14"/>
                <w:szCs w:val="16"/>
                <w:lang w:eastAsia="el-GR"/>
              </w:rPr>
            </w:pPr>
            <w:r>
              <w:rPr>
                <w:rFonts w:ascii="Segoe UI" w:eastAsia="Times New Roman" w:hAnsi="Segoe UI" w:cs="Segoe UI"/>
                <w:b/>
                <w:bCs/>
                <w:i/>
                <w:color w:val="000000" w:themeColor="text1"/>
                <w:kern w:val="24"/>
                <w:sz w:val="14"/>
                <w:szCs w:val="16"/>
                <w:lang w:eastAsia="el-GR"/>
              </w:rPr>
              <w:t>32</w:t>
            </w:r>
            <w:r w:rsidR="00941DDA" w:rsidRPr="00941DDA">
              <w:rPr>
                <w:rFonts w:ascii="Segoe UI" w:eastAsia="Times New Roman" w:hAnsi="Segoe UI" w:cs="Segoe UI"/>
                <w:b/>
                <w:bCs/>
                <w:i/>
                <w:color w:val="000000" w:themeColor="text1"/>
                <w:kern w:val="24"/>
                <w:sz w:val="14"/>
                <w:szCs w:val="16"/>
                <w:lang w:eastAsia="el-GR"/>
              </w:rPr>
              <w:t>%</w:t>
            </w:r>
          </w:p>
        </w:tc>
      </w:tr>
      <w:tr w:rsidR="00941DDA" w:rsidRPr="0098297F" w:rsidTr="00AD2945">
        <w:trPr>
          <w:trHeight w:val="113"/>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Λοιπές προβλέψεις</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(8) </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(12) </w:t>
            </w:r>
          </w:p>
        </w:tc>
        <w:tc>
          <w:tcPr>
            <w:tcW w:w="480" w:type="pct"/>
            <w:tcBorders>
              <w:top w:val="nil"/>
              <w:left w:val="nil"/>
              <w:bottom w:val="nil"/>
              <w:right w:val="nil"/>
            </w:tcBorders>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-37%</w:t>
            </w:r>
          </w:p>
        </w:tc>
        <w:tc>
          <w:tcPr>
            <w:tcW w:w="480" w:type="pct"/>
            <w:tcBorders>
              <w:top w:val="nil"/>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(20)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4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941DDA" w:rsidRPr="00941DDA" w:rsidRDefault="00171D68" w:rsidP="00C02F1B">
            <w:pPr>
              <w:ind w:right="148"/>
              <w:jc w:val="right"/>
              <w:rPr>
                <w:rFonts w:ascii="Segoe UI" w:eastAsia="Times New Roman" w:hAnsi="Segoe UI" w:cs="Segoe UI"/>
                <w:bCs/>
                <w:i/>
                <w:color w:val="000000" w:themeColor="text1"/>
                <w:kern w:val="24"/>
                <w:sz w:val="14"/>
                <w:szCs w:val="16"/>
                <w:lang w:eastAsia="el-GR"/>
              </w:rPr>
            </w:pPr>
            <w:r>
              <w:rPr>
                <w:rFonts w:ascii="Segoe UI" w:eastAsia="Times New Roman" w:hAnsi="Segoe UI" w:cs="Segoe UI"/>
                <w:bCs/>
                <w:i/>
                <w:color w:val="000000" w:themeColor="text1"/>
                <w:kern w:val="24"/>
                <w:sz w:val="14"/>
                <w:szCs w:val="16"/>
                <w:lang w:eastAsia="el-GR"/>
              </w:rPr>
              <w:t>--</w:t>
            </w:r>
          </w:p>
        </w:tc>
      </w:tr>
      <w:tr w:rsidR="00941DDA" w:rsidRPr="0098297F" w:rsidTr="00AD2945">
        <w:trPr>
          <w:trHeight w:val="113"/>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b/>
                <w:sz w:val="14"/>
                <w:szCs w:val="14"/>
                <w:lang w:eastAsia="el-GR"/>
              </w:rPr>
            </w:pPr>
            <w:r w:rsidRPr="0098297F">
              <w:rPr>
                <w:rFonts w:ascii="Segoe UI" w:eastAsia="Segoe UI" w:hAnsi="Segoe UI" w:cs="Segoe UI"/>
                <w:b/>
                <w:color w:val="000000"/>
                <w:kern w:val="24"/>
                <w:sz w:val="14"/>
                <w:szCs w:val="14"/>
                <w:lang w:eastAsia="el-GR"/>
              </w:rPr>
              <w:t>Κέρδη / (ζημίες) προ φόρων</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55 </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405 </w:t>
            </w:r>
          </w:p>
        </w:tc>
        <w:tc>
          <w:tcPr>
            <w:tcW w:w="480" w:type="pct"/>
            <w:tcBorders>
              <w:top w:val="nil"/>
              <w:left w:val="nil"/>
              <w:bottom w:val="nil"/>
              <w:right w:val="nil"/>
            </w:tcBorders>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-87%</w:t>
            </w:r>
          </w:p>
        </w:tc>
        <w:tc>
          <w:tcPr>
            <w:tcW w:w="480" w:type="pct"/>
            <w:tcBorders>
              <w:top w:val="nil"/>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460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245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88%</w:t>
            </w:r>
          </w:p>
        </w:tc>
      </w:tr>
      <w:tr w:rsidR="00941DDA" w:rsidRPr="0098297F" w:rsidTr="00AD2945">
        <w:trPr>
          <w:trHeight w:val="113"/>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Φόροι </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(2) </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 </w:t>
            </w:r>
          </w:p>
        </w:tc>
        <w:tc>
          <w:tcPr>
            <w:tcW w:w="480" w:type="pct"/>
            <w:tcBorders>
              <w:top w:val="nil"/>
              <w:left w:val="nil"/>
              <w:bottom w:val="nil"/>
              <w:right w:val="nil"/>
            </w:tcBorders>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&gt;100%</w:t>
            </w:r>
          </w:p>
        </w:tc>
        <w:tc>
          <w:tcPr>
            <w:tcW w:w="480" w:type="pct"/>
            <w:tcBorders>
              <w:top w:val="nil"/>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(3)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(6)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-51%</w:t>
            </w:r>
          </w:p>
        </w:tc>
      </w:tr>
      <w:tr w:rsidR="00941DDA" w:rsidRPr="0098297F" w:rsidTr="00AD2945">
        <w:trPr>
          <w:trHeight w:val="113"/>
        </w:trPr>
        <w:tc>
          <w:tcPr>
            <w:tcW w:w="2122" w:type="pct"/>
            <w:tcBorders>
              <w:top w:val="nil"/>
              <w:left w:val="nil"/>
              <w:bottom w:val="nil"/>
              <w:right w:val="nil"/>
            </w:tcBorders>
            <w:shd w:val="clear" w:color="auto" w:fill="F2F2F2"/>
            <w:tcMar>
              <w:top w:w="15" w:type="dxa"/>
              <w:left w:w="42" w:type="dxa"/>
              <w:bottom w:w="0" w:type="dxa"/>
              <w:right w:w="15" w:type="dxa"/>
            </w:tcMar>
            <w:vAlign w:val="center"/>
            <w:hideMark/>
          </w:tcPr>
          <w:p w:rsidR="00941DDA" w:rsidRPr="0098297F" w:rsidRDefault="00941DDA" w:rsidP="00B4445A">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Κέρδη / (ζημίες) </w:t>
            </w:r>
            <w:r w:rsidR="00B4445A" w:rsidRPr="00B4445A">
              <w:rPr>
                <w:rFonts w:ascii="Segoe UI" w:eastAsia="Segoe UI" w:hAnsi="Segoe UI" w:cs="Segoe UI"/>
                <w:b/>
                <w:bCs/>
                <w:color w:val="000000"/>
                <w:kern w:val="24"/>
                <w:sz w:val="14"/>
                <w:szCs w:val="14"/>
                <w:lang w:eastAsia="el-GR"/>
              </w:rPr>
              <w:t xml:space="preserve">μετά από φόρους </w:t>
            </w:r>
            <w:r w:rsidRPr="0098297F">
              <w:rPr>
                <w:rFonts w:ascii="Segoe UI" w:eastAsia="Segoe UI" w:hAnsi="Segoe UI" w:cs="Segoe UI"/>
                <w:b/>
                <w:bCs/>
                <w:color w:val="000000"/>
                <w:kern w:val="24"/>
                <w:sz w:val="14"/>
                <w:szCs w:val="14"/>
                <w:lang w:eastAsia="el-GR"/>
              </w:rPr>
              <w:t>(</w:t>
            </w:r>
            <w:proofErr w:type="spellStart"/>
            <w:r w:rsidRPr="0098297F">
              <w:rPr>
                <w:rFonts w:ascii="Segoe UI" w:eastAsia="Segoe UI" w:hAnsi="Segoe UI" w:cs="Segoe UI"/>
                <w:b/>
                <w:bCs/>
                <w:color w:val="000000"/>
                <w:kern w:val="24"/>
                <w:sz w:val="14"/>
                <w:szCs w:val="14"/>
                <w:lang w:eastAsia="el-GR"/>
              </w:rPr>
              <w:t>συνεχ</w:t>
            </w:r>
            <w:proofErr w:type="spellEnd"/>
            <w:r w:rsidR="00B4445A">
              <w:rPr>
                <w:rFonts w:ascii="Segoe UI" w:eastAsia="Segoe UI" w:hAnsi="Segoe UI" w:cs="Segoe UI"/>
                <w:b/>
                <w:bCs/>
                <w:color w:val="000000"/>
                <w:kern w:val="24"/>
                <w:sz w:val="14"/>
                <w:szCs w:val="14"/>
                <w:lang w:eastAsia="el-GR"/>
              </w:rPr>
              <w:t>/</w:t>
            </w:r>
            <w:proofErr w:type="spellStart"/>
            <w:r w:rsidR="00B4445A">
              <w:rPr>
                <w:rFonts w:ascii="Segoe UI" w:eastAsia="Segoe UI" w:hAnsi="Segoe UI" w:cs="Segoe UI"/>
                <w:b/>
                <w:bCs/>
                <w:color w:val="000000"/>
                <w:kern w:val="24"/>
                <w:sz w:val="14"/>
                <w:szCs w:val="14"/>
                <w:lang w:eastAsia="el-GR"/>
              </w:rPr>
              <w:t>μ</w:t>
            </w:r>
            <w:r w:rsidRPr="0098297F">
              <w:rPr>
                <w:rFonts w:ascii="Segoe UI" w:eastAsia="Segoe UI" w:hAnsi="Segoe UI" w:cs="Segoe UI"/>
                <w:b/>
                <w:bCs/>
                <w:color w:val="000000"/>
                <w:kern w:val="24"/>
                <w:sz w:val="14"/>
                <w:szCs w:val="14"/>
                <w:lang w:eastAsia="el-GR"/>
              </w:rPr>
              <w:t>ενες</w:t>
            </w:r>
            <w:proofErr w:type="spellEnd"/>
            <w:r w:rsidRPr="0098297F">
              <w:rPr>
                <w:rFonts w:ascii="Segoe UI" w:eastAsia="Segoe UI" w:hAnsi="Segoe UI" w:cs="Segoe UI"/>
                <w:b/>
                <w:bCs/>
                <w:color w:val="000000"/>
                <w:kern w:val="24"/>
                <w:sz w:val="14"/>
                <w:szCs w:val="14"/>
                <w:lang w:eastAsia="el-GR"/>
              </w:rPr>
              <w:t xml:space="preserve"> </w:t>
            </w:r>
            <w:proofErr w:type="spellStart"/>
            <w:r w:rsidRPr="0098297F">
              <w:rPr>
                <w:rFonts w:ascii="Segoe UI" w:eastAsia="Segoe UI" w:hAnsi="Segoe UI" w:cs="Segoe UI"/>
                <w:b/>
                <w:bCs/>
                <w:color w:val="000000"/>
                <w:kern w:val="24"/>
                <w:sz w:val="14"/>
                <w:szCs w:val="14"/>
                <w:lang w:eastAsia="el-GR"/>
              </w:rPr>
              <w:t>δραστ</w:t>
            </w:r>
            <w:proofErr w:type="spellEnd"/>
            <w:r w:rsidRPr="00B473E6">
              <w:rPr>
                <w:rFonts w:ascii="Segoe UI" w:eastAsia="Segoe UI" w:hAnsi="Segoe UI" w:cs="Segoe UI"/>
                <w:b/>
                <w:bCs/>
                <w:color w:val="000000"/>
                <w:kern w:val="24"/>
                <w:sz w:val="14"/>
                <w:szCs w:val="14"/>
                <w:lang w:eastAsia="el-GR"/>
              </w:rPr>
              <w:t>/</w:t>
            </w:r>
            <w:proofErr w:type="spellStart"/>
            <w:r w:rsidRPr="0098297F">
              <w:rPr>
                <w:rFonts w:ascii="Segoe UI" w:eastAsia="Segoe UI" w:hAnsi="Segoe UI" w:cs="Segoe UI"/>
                <w:b/>
                <w:bCs/>
                <w:color w:val="000000"/>
                <w:kern w:val="24"/>
                <w:sz w:val="14"/>
                <w:szCs w:val="14"/>
                <w:lang w:eastAsia="el-GR"/>
              </w:rPr>
              <w:t>τητες</w:t>
            </w:r>
            <w:proofErr w:type="spellEnd"/>
            <w:r w:rsidRPr="0098297F">
              <w:rPr>
                <w:rFonts w:ascii="Segoe UI" w:eastAsia="Segoe UI" w:hAnsi="Segoe UI" w:cs="Segoe UI"/>
                <w:b/>
                <w:bCs/>
                <w:color w:val="000000"/>
                <w:kern w:val="24"/>
                <w:sz w:val="14"/>
                <w:szCs w:val="14"/>
                <w:lang w:eastAsia="el-GR"/>
              </w:rPr>
              <w:t>)</w:t>
            </w:r>
          </w:p>
        </w:tc>
        <w:tc>
          <w:tcPr>
            <w:tcW w:w="480" w:type="pct"/>
            <w:tcBorders>
              <w:top w:val="nil"/>
              <w:left w:val="nil"/>
              <w:bottom w:val="nil"/>
              <w:right w:val="nil"/>
            </w:tcBorders>
            <w:shd w:val="clear" w:color="auto" w:fill="F2F2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53 </w:t>
            </w:r>
          </w:p>
        </w:tc>
        <w:tc>
          <w:tcPr>
            <w:tcW w:w="480" w:type="pct"/>
            <w:tcBorders>
              <w:top w:val="nil"/>
              <w:left w:val="nil"/>
              <w:bottom w:val="nil"/>
              <w:right w:val="nil"/>
            </w:tcBorders>
            <w:shd w:val="clear" w:color="auto" w:fill="F2F2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404 </w:t>
            </w:r>
          </w:p>
        </w:tc>
        <w:tc>
          <w:tcPr>
            <w:tcW w:w="480" w:type="pct"/>
            <w:tcBorders>
              <w:top w:val="nil"/>
              <w:left w:val="nil"/>
              <w:bottom w:val="nil"/>
              <w:right w:val="nil"/>
            </w:tcBorders>
            <w:shd w:val="clear" w:color="auto" w:fill="F2F2F2"/>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-87%</w:t>
            </w:r>
          </w:p>
        </w:tc>
        <w:tc>
          <w:tcPr>
            <w:tcW w:w="480" w:type="pct"/>
            <w:tcBorders>
              <w:top w:val="nil"/>
              <w:left w:val="nil"/>
              <w:bottom w:val="nil"/>
              <w:right w:val="nil"/>
            </w:tcBorders>
            <w:shd w:val="clear" w:color="auto" w:fill="F2F2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457 </w:t>
            </w:r>
          </w:p>
        </w:tc>
        <w:tc>
          <w:tcPr>
            <w:tcW w:w="480" w:type="pct"/>
            <w:tcBorders>
              <w:top w:val="nil"/>
              <w:left w:val="nil"/>
              <w:bottom w:val="nil"/>
              <w:right w:val="nil"/>
            </w:tcBorders>
            <w:shd w:val="clear" w:color="auto" w:fill="F2F2F2"/>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239 </w:t>
            </w:r>
          </w:p>
        </w:tc>
        <w:tc>
          <w:tcPr>
            <w:tcW w:w="480" w:type="pct"/>
            <w:tcBorders>
              <w:top w:val="nil"/>
              <w:left w:val="nil"/>
              <w:bottom w:val="nil"/>
              <w:right w:val="nil"/>
            </w:tcBorders>
            <w:shd w:val="clear" w:color="auto" w:fill="F2F2F2"/>
            <w:tcMar>
              <w:top w:w="15" w:type="dxa"/>
              <w:left w:w="15" w:type="dxa"/>
              <w:bottom w:w="0" w:type="dxa"/>
              <w:right w:w="84" w:type="dxa"/>
            </w:tcMar>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91%</w:t>
            </w:r>
          </w:p>
        </w:tc>
      </w:tr>
      <w:tr w:rsidR="00941DDA" w:rsidRPr="0098297F" w:rsidTr="00AD2945">
        <w:trPr>
          <w:trHeight w:val="113"/>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941DDA" w:rsidRPr="0098297F" w:rsidRDefault="00941DDA" w:rsidP="00A379E5">
            <w:pPr>
              <w:textAlignment w:val="center"/>
              <w:rPr>
                <w:rFonts w:ascii="Segoe UI" w:eastAsia="Times New Roman" w:hAnsi="Segoe UI" w:cs="Segoe UI"/>
                <w:sz w:val="14"/>
                <w:szCs w:val="14"/>
                <w:lang w:eastAsia="el-GR"/>
              </w:rPr>
            </w:pPr>
            <w:r w:rsidRPr="0098297F">
              <w:rPr>
                <w:rFonts w:ascii="Segoe UI" w:eastAsia="Segoe UI" w:hAnsi="Segoe UI" w:cs="Segoe UI"/>
                <w:bCs/>
                <w:color w:val="000000"/>
                <w:kern w:val="24"/>
                <w:sz w:val="14"/>
                <w:szCs w:val="14"/>
                <w:lang w:eastAsia="el-GR"/>
              </w:rPr>
              <w:t xml:space="preserve">Κέρδη / (ζημίες) </w:t>
            </w:r>
            <w:r w:rsidR="00B4445A" w:rsidRPr="00B4445A">
              <w:rPr>
                <w:rFonts w:ascii="Segoe UI" w:eastAsia="Segoe UI" w:hAnsi="Segoe UI" w:cs="Segoe UI"/>
                <w:bCs/>
                <w:color w:val="000000"/>
                <w:kern w:val="24"/>
                <w:sz w:val="14"/>
                <w:szCs w:val="14"/>
                <w:lang w:eastAsia="el-GR"/>
              </w:rPr>
              <w:t xml:space="preserve">μετά από φόρους </w:t>
            </w:r>
            <w:r w:rsidRPr="0098297F">
              <w:rPr>
                <w:rFonts w:ascii="Segoe UI" w:eastAsia="Segoe UI" w:hAnsi="Segoe UI" w:cs="Segoe UI"/>
                <w:bCs/>
                <w:color w:val="000000"/>
                <w:kern w:val="24"/>
                <w:sz w:val="14"/>
                <w:szCs w:val="14"/>
                <w:lang w:eastAsia="el-GR"/>
              </w:rPr>
              <w:t>(διακοπείσες δραστηριότητες)</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14 </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4 </w:t>
            </w:r>
          </w:p>
        </w:tc>
        <w:tc>
          <w:tcPr>
            <w:tcW w:w="480" w:type="pct"/>
            <w:tcBorders>
              <w:top w:val="nil"/>
              <w:left w:val="nil"/>
              <w:bottom w:val="nil"/>
              <w:right w:val="nil"/>
            </w:tcBorders>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&gt;100%</w:t>
            </w:r>
          </w:p>
        </w:tc>
        <w:tc>
          <w:tcPr>
            <w:tcW w:w="480" w:type="pct"/>
            <w:tcBorders>
              <w:top w:val="nil"/>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18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85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-79%</w:t>
            </w:r>
          </w:p>
        </w:tc>
      </w:tr>
      <w:tr w:rsidR="00941DDA" w:rsidRPr="0098297F" w:rsidTr="00AD2945">
        <w:trPr>
          <w:trHeight w:val="113"/>
        </w:trPr>
        <w:tc>
          <w:tcPr>
            <w:tcW w:w="2122" w:type="pct"/>
            <w:tcBorders>
              <w:top w:val="nil"/>
              <w:left w:val="nil"/>
              <w:bottom w:val="nil"/>
              <w:right w:val="nil"/>
            </w:tcBorders>
            <w:shd w:val="clear" w:color="auto" w:fill="auto"/>
            <w:tcMar>
              <w:top w:w="15" w:type="dxa"/>
              <w:left w:w="42" w:type="dxa"/>
              <w:bottom w:w="0" w:type="dxa"/>
              <w:right w:w="15" w:type="dxa"/>
            </w:tcMar>
            <w:vAlign w:val="center"/>
          </w:tcPr>
          <w:p w:rsidR="00941DDA" w:rsidRPr="0098297F" w:rsidRDefault="00941DDA" w:rsidP="00B5579A">
            <w:pPr>
              <w:textAlignment w:val="center"/>
              <w:rPr>
                <w:rFonts w:ascii="Segoe UI" w:eastAsia="Segoe UI" w:hAnsi="Segoe UI" w:cs="Segoe UI"/>
                <w:color w:val="000000"/>
                <w:kern w:val="24"/>
                <w:sz w:val="14"/>
                <w:szCs w:val="14"/>
                <w:lang w:eastAsia="el-GR"/>
              </w:rPr>
            </w:pPr>
            <w:r w:rsidRPr="0098297F">
              <w:rPr>
                <w:rFonts w:ascii="Segoe UI" w:eastAsia="Segoe UI" w:hAnsi="Segoe UI" w:cs="Segoe UI"/>
                <w:color w:val="000000"/>
                <w:kern w:val="24"/>
                <w:sz w:val="14"/>
                <w:szCs w:val="14"/>
                <w:lang w:eastAsia="el-GR"/>
              </w:rPr>
              <w:t>ΛΕΠΕΤΕ</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(9) </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(10) </w:t>
            </w:r>
          </w:p>
        </w:tc>
        <w:tc>
          <w:tcPr>
            <w:tcW w:w="480" w:type="pct"/>
            <w:tcBorders>
              <w:top w:val="nil"/>
              <w:left w:val="nil"/>
              <w:bottom w:val="nil"/>
              <w:right w:val="nil"/>
            </w:tcBorders>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-13%</w:t>
            </w:r>
          </w:p>
        </w:tc>
        <w:tc>
          <w:tcPr>
            <w:tcW w:w="480" w:type="pct"/>
            <w:tcBorders>
              <w:top w:val="nil"/>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(19)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941DDA" w:rsidRPr="00941DDA" w:rsidRDefault="005B4164" w:rsidP="00C02F1B">
            <w:pPr>
              <w:ind w:right="148"/>
              <w:jc w:val="right"/>
              <w:rPr>
                <w:rFonts w:ascii="Segoe UI" w:eastAsia="Times New Roman" w:hAnsi="Segoe UI" w:cs="Segoe UI"/>
                <w:bCs/>
                <w:i/>
                <w:color w:val="000000" w:themeColor="text1"/>
                <w:kern w:val="24"/>
                <w:sz w:val="14"/>
                <w:szCs w:val="16"/>
                <w:lang w:eastAsia="el-GR"/>
              </w:rPr>
            </w:pPr>
            <w:r>
              <w:rPr>
                <w:rFonts w:ascii="Segoe UI" w:eastAsia="Times New Roman" w:hAnsi="Segoe UI" w:cs="Segoe UI"/>
                <w:bCs/>
                <w:i/>
                <w:color w:val="000000" w:themeColor="text1"/>
                <w:kern w:val="24"/>
                <w:sz w:val="14"/>
                <w:szCs w:val="16"/>
                <w:lang w:eastAsia="el-GR"/>
              </w:rPr>
              <w:t>--</w:t>
            </w:r>
          </w:p>
        </w:tc>
      </w:tr>
      <w:tr w:rsidR="00941DDA" w:rsidRPr="0098297F" w:rsidTr="00AD2945">
        <w:trPr>
          <w:trHeight w:val="113"/>
        </w:trPr>
        <w:tc>
          <w:tcPr>
            <w:tcW w:w="2122" w:type="pct"/>
            <w:tcBorders>
              <w:top w:val="nil"/>
              <w:left w:val="nil"/>
              <w:bottom w:val="nil"/>
              <w:right w:val="nil"/>
            </w:tcBorders>
            <w:shd w:val="clear" w:color="auto" w:fill="auto"/>
            <w:tcMar>
              <w:top w:w="15" w:type="dxa"/>
              <w:left w:w="42" w:type="dxa"/>
              <w:bottom w:w="0" w:type="dxa"/>
              <w:right w:w="15" w:type="dxa"/>
            </w:tcMar>
            <w:vAlign w:val="center"/>
            <w:hideMark/>
          </w:tcPr>
          <w:p w:rsidR="00941DDA" w:rsidRPr="0098297F" w:rsidRDefault="00941DDA" w:rsidP="00F84447">
            <w:pPr>
              <w:textAlignment w:val="center"/>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 xml:space="preserve">Κόστος Εθελουσίας, </w:t>
            </w:r>
            <w:r w:rsidRPr="00E95FD5">
              <w:rPr>
                <w:rFonts w:ascii="Segoe UI" w:eastAsia="Segoe UI" w:hAnsi="Segoe UI" w:cs="Segoe UI"/>
                <w:color w:val="000000"/>
                <w:kern w:val="24"/>
                <w:sz w:val="14"/>
                <w:szCs w:val="14"/>
                <w:lang w:eastAsia="el-GR"/>
              </w:rPr>
              <w:t xml:space="preserve">κόστη </w:t>
            </w:r>
            <w:proofErr w:type="spellStart"/>
            <w:r w:rsidRPr="00E95FD5">
              <w:rPr>
                <w:rFonts w:ascii="Segoe UI" w:eastAsia="Segoe UI" w:hAnsi="Segoe UI" w:cs="Segoe UI"/>
                <w:color w:val="000000"/>
                <w:kern w:val="24"/>
                <w:sz w:val="14"/>
                <w:szCs w:val="14"/>
                <w:lang w:eastAsia="el-GR"/>
              </w:rPr>
              <w:t>αναδ</w:t>
            </w:r>
            <w:proofErr w:type="spellEnd"/>
            <w:r w:rsidR="00F84447">
              <w:rPr>
                <w:rFonts w:ascii="Segoe UI" w:eastAsia="Segoe UI" w:hAnsi="Segoe UI" w:cs="Segoe UI"/>
                <w:color w:val="000000"/>
                <w:kern w:val="24"/>
                <w:sz w:val="14"/>
                <w:szCs w:val="14"/>
                <w:lang w:eastAsia="el-GR"/>
              </w:rPr>
              <w:t>/</w:t>
            </w:r>
            <w:r>
              <w:rPr>
                <w:rFonts w:ascii="Segoe UI" w:eastAsia="Segoe UI" w:hAnsi="Segoe UI" w:cs="Segoe UI"/>
                <w:color w:val="000000"/>
                <w:kern w:val="24"/>
                <w:sz w:val="14"/>
                <w:szCs w:val="14"/>
                <w:lang w:eastAsia="el-GR"/>
              </w:rPr>
              <w:t>σης κ λοιπά έκτακτα κόστη</w:t>
            </w:r>
            <w:r>
              <w:rPr>
                <w:rFonts w:ascii="Segoe UI" w:eastAsia="Segoe UI" w:hAnsi="Segoe UI" w:cs="Segoe UI"/>
                <w:color w:val="000000"/>
                <w:kern w:val="24"/>
                <w:sz w:val="14"/>
                <w:szCs w:val="14"/>
                <w:vertAlign w:val="superscript"/>
                <w:lang w:eastAsia="el-GR"/>
              </w:rPr>
              <w:t>3</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(3) </w:t>
            </w:r>
          </w:p>
        </w:tc>
        <w:tc>
          <w:tcPr>
            <w:tcW w:w="480" w:type="pct"/>
            <w:tcBorders>
              <w:top w:val="nil"/>
              <w:left w:val="nil"/>
              <w:bottom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(95) </w:t>
            </w:r>
          </w:p>
        </w:tc>
        <w:tc>
          <w:tcPr>
            <w:tcW w:w="480" w:type="pct"/>
            <w:tcBorders>
              <w:top w:val="nil"/>
              <w:left w:val="nil"/>
              <w:bottom w:val="nil"/>
              <w:right w:val="nil"/>
            </w:tcBorders>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-97%</w:t>
            </w:r>
          </w:p>
        </w:tc>
        <w:tc>
          <w:tcPr>
            <w:tcW w:w="480" w:type="pct"/>
            <w:tcBorders>
              <w:top w:val="nil"/>
              <w:left w:val="nil"/>
              <w:bottom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(98)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(105) </w:t>
            </w:r>
          </w:p>
        </w:tc>
        <w:tc>
          <w:tcPr>
            <w:tcW w:w="480" w:type="pct"/>
            <w:tcBorders>
              <w:top w:val="nil"/>
              <w:left w:val="nil"/>
              <w:bottom w:val="nil"/>
              <w:right w:val="nil"/>
            </w:tcBorders>
            <w:shd w:val="clear" w:color="auto" w:fill="auto"/>
            <w:tcMar>
              <w:top w:w="15" w:type="dxa"/>
              <w:left w:w="15" w:type="dxa"/>
              <w:bottom w:w="0" w:type="dxa"/>
              <w:right w:w="84" w:type="dxa"/>
            </w:tcMar>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-6%</w:t>
            </w:r>
          </w:p>
        </w:tc>
      </w:tr>
      <w:tr w:rsidR="00941DDA" w:rsidRPr="0098297F" w:rsidTr="00AD2945">
        <w:trPr>
          <w:trHeight w:val="113"/>
        </w:trPr>
        <w:tc>
          <w:tcPr>
            <w:tcW w:w="2122" w:type="pct"/>
            <w:tcBorders>
              <w:top w:val="nil"/>
              <w:left w:val="nil"/>
              <w:right w:val="nil"/>
            </w:tcBorders>
            <w:shd w:val="clear" w:color="auto" w:fill="auto"/>
            <w:tcMar>
              <w:top w:w="15" w:type="dxa"/>
              <w:left w:w="42" w:type="dxa"/>
              <w:bottom w:w="0" w:type="dxa"/>
              <w:right w:w="15" w:type="dxa"/>
            </w:tcMar>
            <w:vAlign w:val="center"/>
          </w:tcPr>
          <w:p w:rsidR="00941DDA" w:rsidRPr="0098297F" w:rsidRDefault="00941DDA" w:rsidP="00B5579A">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Δικαιώματα μειοψηφίας</w:t>
            </w:r>
          </w:p>
        </w:tc>
        <w:tc>
          <w:tcPr>
            <w:tcW w:w="480" w:type="pct"/>
            <w:tcBorders>
              <w:top w:val="nil"/>
              <w:left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 </w:t>
            </w:r>
          </w:p>
        </w:tc>
        <w:tc>
          <w:tcPr>
            <w:tcW w:w="480" w:type="pct"/>
            <w:tcBorders>
              <w:top w:val="nil"/>
              <w:left w:val="nil"/>
              <w:right w:val="nil"/>
            </w:tcBorders>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 </w:t>
            </w:r>
          </w:p>
        </w:tc>
        <w:tc>
          <w:tcPr>
            <w:tcW w:w="480" w:type="pct"/>
            <w:tcBorders>
              <w:top w:val="nil"/>
              <w:left w:val="nil"/>
              <w:right w:val="nil"/>
            </w:tcBorders>
            <w:vAlign w:val="bottom"/>
          </w:tcPr>
          <w:p w:rsidR="00941DDA" w:rsidRPr="00941DDA" w:rsidRDefault="005B4164" w:rsidP="00C02F1B">
            <w:pPr>
              <w:ind w:right="148"/>
              <w:jc w:val="right"/>
              <w:rPr>
                <w:rFonts w:ascii="Segoe UI" w:eastAsia="Times New Roman" w:hAnsi="Segoe UI" w:cs="Segoe UI"/>
                <w:bCs/>
                <w:i/>
                <w:color w:val="000000" w:themeColor="text1"/>
                <w:kern w:val="24"/>
                <w:sz w:val="14"/>
                <w:szCs w:val="16"/>
                <w:lang w:eastAsia="el-GR"/>
              </w:rPr>
            </w:pPr>
            <w:r>
              <w:rPr>
                <w:rFonts w:ascii="Segoe UI" w:eastAsia="Times New Roman" w:hAnsi="Segoe UI" w:cs="Segoe UI"/>
                <w:bCs/>
                <w:i/>
                <w:color w:val="000000" w:themeColor="text1"/>
                <w:kern w:val="24"/>
                <w:sz w:val="14"/>
                <w:szCs w:val="16"/>
                <w:lang w:eastAsia="el-GR"/>
              </w:rPr>
              <w:t>--</w:t>
            </w:r>
          </w:p>
        </w:tc>
        <w:tc>
          <w:tcPr>
            <w:tcW w:w="480" w:type="pct"/>
            <w:tcBorders>
              <w:top w:val="nil"/>
              <w:left w:val="nil"/>
              <w:right w:val="nil"/>
            </w:tcBorders>
            <w:shd w:val="clear" w:color="auto" w:fill="auto"/>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 </w:t>
            </w:r>
          </w:p>
        </w:tc>
        <w:tc>
          <w:tcPr>
            <w:tcW w:w="480" w:type="pct"/>
            <w:tcBorders>
              <w:top w:val="nil"/>
              <w:left w:val="nil"/>
              <w:bottom w:val="nil"/>
              <w:right w:val="nil"/>
            </w:tcBorders>
            <w:shd w:val="clear" w:color="auto" w:fill="auto"/>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Cs/>
                <w:color w:val="000000" w:themeColor="text1"/>
                <w:kern w:val="24"/>
                <w:sz w:val="14"/>
                <w:szCs w:val="16"/>
                <w:lang w:eastAsia="el-GR"/>
              </w:rPr>
            </w:pPr>
            <w:r w:rsidRPr="00941DDA">
              <w:rPr>
                <w:rFonts w:ascii="Segoe UI" w:eastAsia="Times New Roman" w:hAnsi="Segoe UI" w:cs="Segoe UI"/>
                <w:bCs/>
                <w:color w:val="000000" w:themeColor="text1"/>
                <w:kern w:val="24"/>
                <w:sz w:val="14"/>
                <w:szCs w:val="16"/>
                <w:lang w:eastAsia="el-GR"/>
              </w:rPr>
              <w:t xml:space="preserve">(17) </w:t>
            </w:r>
          </w:p>
        </w:tc>
        <w:tc>
          <w:tcPr>
            <w:tcW w:w="480" w:type="pct"/>
            <w:tcBorders>
              <w:top w:val="nil"/>
              <w:left w:val="nil"/>
              <w:right w:val="nil"/>
            </w:tcBorders>
            <w:shd w:val="clear" w:color="auto" w:fill="auto"/>
            <w:tcMar>
              <w:top w:w="15" w:type="dxa"/>
              <w:left w:w="15" w:type="dxa"/>
              <w:bottom w:w="0" w:type="dxa"/>
              <w:right w:w="84" w:type="dxa"/>
            </w:tcMar>
            <w:vAlign w:val="bottom"/>
          </w:tcPr>
          <w:p w:rsidR="00941DDA" w:rsidRPr="00941DDA" w:rsidRDefault="00941DDA" w:rsidP="00C02F1B">
            <w:pPr>
              <w:ind w:right="148"/>
              <w:jc w:val="right"/>
              <w:rPr>
                <w:rFonts w:ascii="Segoe UI" w:eastAsia="Times New Roman" w:hAnsi="Segoe UI" w:cs="Segoe UI"/>
                <w:bCs/>
                <w:i/>
                <w:color w:val="000000" w:themeColor="text1"/>
                <w:kern w:val="24"/>
                <w:sz w:val="14"/>
                <w:szCs w:val="16"/>
                <w:lang w:eastAsia="el-GR"/>
              </w:rPr>
            </w:pPr>
            <w:r w:rsidRPr="00941DDA">
              <w:rPr>
                <w:rFonts w:ascii="Segoe UI" w:eastAsia="Times New Roman" w:hAnsi="Segoe UI" w:cs="Segoe UI"/>
                <w:bCs/>
                <w:i/>
                <w:color w:val="000000" w:themeColor="text1"/>
                <w:kern w:val="24"/>
                <w:sz w:val="14"/>
                <w:szCs w:val="16"/>
                <w:lang w:eastAsia="el-GR"/>
              </w:rPr>
              <w:t>-100%</w:t>
            </w:r>
          </w:p>
        </w:tc>
      </w:tr>
      <w:tr w:rsidR="00941DDA" w:rsidRPr="0098297F" w:rsidTr="00AD2945">
        <w:trPr>
          <w:trHeight w:val="113"/>
        </w:trPr>
        <w:tc>
          <w:tcPr>
            <w:tcW w:w="2122" w:type="pct"/>
            <w:tcBorders>
              <w:top w:val="nil"/>
              <w:left w:val="nil"/>
              <w:bottom w:val="single" w:sz="12" w:space="0" w:color="000000"/>
              <w:right w:val="nil"/>
            </w:tcBorders>
            <w:shd w:val="clear" w:color="auto" w:fill="F2F2F2" w:themeFill="background1" w:themeFillShade="F2"/>
            <w:tcMar>
              <w:top w:w="15" w:type="dxa"/>
              <w:left w:w="42" w:type="dxa"/>
              <w:bottom w:w="0" w:type="dxa"/>
              <w:right w:w="15" w:type="dxa"/>
            </w:tcMar>
            <w:vAlign w:val="center"/>
          </w:tcPr>
          <w:p w:rsidR="00941DDA" w:rsidRPr="0098297F" w:rsidRDefault="00941DDA" w:rsidP="00976026">
            <w:pPr>
              <w:jc w:val="both"/>
              <w:textAlignment w:val="center"/>
              <w:rPr>
                <w:rFonts w:ascii="Segoe UI" w:eastAsia="Segoe UI" w:hAnsi="Segoe UI" w:cs="Segoe UI"/>
                <w:color w:val="000000"/>
                <w:kern w:val="24"/>
                <w:sz w:val="14"/>
                <w:szCs w:val="14"/>
                <w:lang w:eastAsia="el-GR"/>
              </w:rPr>
            </w:pPr>
            <w:r w:rsidRPr="0098297F">
              <w:rPr>
                <w:rFonts w:ascii="Segoe UI" w:eastAsia="Segoe UI" w:hAnsi="Segoe UI" w:cs="Segoe UI"/>
                <w:b/>
                <w:color w:val="000000"/>
                <w:kern w:val="24"/>
                <w:sz w:val="14"/>
                <w:szCs w:val="14"/>
                <w:lang w:eastAsia="el-GR"/>
              </w:rPr>
              <w:t xml:space="preserve">Κέρδη / (ζημίες) μετά </w:t>
            </w:r>
            <w:r w:rsidR="00976026" w:rsidRPr="00976026">
              <w:rPr>
                <w:rFonts w:ascii="Segoe UI" w:eastAsia="Segoe UI" w:hAnsi="Segoe UI" w:cs="Segoe UI"/>
                <w:b/>
                <w:color w:val="000000"/>
                <w:kern w:val="24"/>
                <w:sz w:val="14"/>
                <w:szCs w:val="14"/>
                <w:lang w:eastAsia="el-GR"/>
              </w:rPr>
              <w:t xml:space="preserve">από φόρους </w:t>
            </w:r>
            <w:r w:rsidRPr="0098297F">
              <w:rPr>
                <w:rFonts w:ascii="Segoe UI" w:eastAsia="Segoe UI" w:hAnsi="Segoe UI" w:cs="Segoe UI"/>
                <w:b/>
                <w:color w:val="000000"/>
                <w:kern w:val="24"/>
                <w:sz w:val="14"/>
                <w:szCs w:val="14"/>
                <w:lang w:eastAsia="el-GR"/>
              </w:rPr>
              <w:t>περιόδου</w:t>
            </w:r>
          </w:p>
        </w:tc>
        <w:tc>
          <w:tcPr>
            <w:tcW w:w="480" w:type="pct"/>
            <w:tcBorders>
              <w:top w:val="nil"/>
              <w:left w:val="nil"/>
              <w:bottom w:val="single" w:sz="12" w:space="0" w:color="000000"/>
              <w:right w:val="nil"/>
            </w:tcBorders>
            <w:shd w:val="clear" w:color="auto" w:fill="F2F2F2" w:themeFill="background1" w:themeFillShade="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55 </w:t>
            </w:r>
          </w:p>
        </w:tc>
        <w:tc>
          <w:tcPr>
            <w:tcW w:w="480" w:type="pct"/>
            <w:tcBorders>
              <w:top w:val="nil"/>
              <w:left w:val="nil"/>
              <w:bottom w:val="single" w:sz="12" w:space="0" w:color="000000"/>
              <w:right w:val="nil"/>
            </w:tcBorders>
            <w:shd w:val="clear" w:color="auto" w:fill="F2F2F2" w:themeFill="background1" w:themeFillShade="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303 </w:t>
            </w:r>
          </w:p>
        </w:tc>
        <w:tc>
          <w:tcPr>
            <w:tcW w:w="480" w:type="pct"/>
            <w:tcBorders>
              <w:top w:val="nil"/>
              <w:left w:val="nil"/>
              <w:bottom w:val="single" w:sz="12" w:space="0" w:color="000000"/>
              <w:right w:val="nil"/>
            </w:tcBorders>
            <w:shd w:val="clear" w:color="auto" w:fill="F2F2F2" w:themeFill="background1" w:themeFillShade="F2"/>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-82%</w:t>
            </w:r>
          </w:p>
        </w:tc>
        <w:tc>
          <w:tcPr>
            <w:tcW w:w="480" w:type="pct"/>
            <w:tcBorders>
              <w:top w:val="nil"/>
              <w:left w:val="nil"/>
              <w:bottom w:val="single" w:sz="12" w:space="0" w:color="000000"/>
              <w:right w:val="nil"/>
            </w:tcBorders>
            <w:shd w:val="clear" w:color="auto" w:fill="F2F2F2" w:themeFill="background1" w:themeFillShade="F2"/>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359 </w:t>
            </w:r>
          </w:p>
        </w:tc>
        <w:tc>
          <w:tcPr>
            <w:tcW w:w="480" w:type="pct"/>
            <w:tcBorders>
              <w:top w:val="nil"/>
              <w:left w:val="nil"/>
              <w:bottom w:val="single" w:sz="12" w:space="0" w:color="000000"/>
              <w:right w:val="nil"/>
            </w:tcBorders>
            <w:shd w:val="clear" w:color="auto" w:fill="F2F2F2" w:themeFill="background1" w:themeFillShade="F2"/>
            <w:tcMar>
              <w:top w:w="15" w:type="dxa"/>
              <w:left w:w="15" w:type="dxa"/>
              <w:bottom w:w="0" w:type="dxa"/>
              <w:right w:w="78" w:type="dxa"/>
            </w:tcMar>
            <w:vAlign w:val="center"/>
          </w:tcPr>
          <w:p w:rsidR="00941DDA" w:rsidRPr="00941DDA" w:rsidRDefault="00941DDA" w:rsidP="00C02F1B">
            <w:pPr>
              <w:ind w:right="148"/>
              <w:jc w:val="right"/>
              <w:rPr>
                <w:rFonts w:ascii="Segoe UI" w:eastAsia="Times New Roman" w:hAnsi="Segoe UI" w:cs="Segoe UI"/>
                <w:b/>
                <w:bCs/>
                <w:color w:val="000000" w:themeColor="text1"/>
                <w:kern w:val="24"/>
                <w:sz w:val="14"/>
                <w:szCs w:val="16"/>
                <w:lang w:eastAsia="el-GR"/>
              </w:rPr>
            </w:pPr>
            <w:r w:rsidRPr="00941DDA">
              <w:rPr>
                <w:rFonts w:ascii="Segoe UI" w:eastAsia="Times New Roman" w:hAnsi="Segoe UI" w:cs="Segoe UI"/>
                <w:b/>
                <w:bCs/>
                <w:color w:val="000000" w:themeColor="text1"/>
                <w:kern w:val="24"/>
                <w:sz w:val="14"/>
                <w:szCs w:val="16"/>
                <w:lang w:eastAsia="el-GR"/>
              </w:rPr>
              <w:t xml:space="preserve">203 </w:t>
            </w:r>
          </w:p>
        </w:tc>
        <w:tc>
          <w:tcPr>
            <w:tcW w:w="480" w:type="pct"/>
            <w:tcBorders>
              <w:top w:val="nil"/>
              <w:left w:val="nil"/>
              <w:bottom w:val="single" w:sz="12" w:space="0" w:color="000000"/>
              <w:right w:val="nil"/>
            </w:tcBorders>
            <w:shd w:val="clear" w:color="auto" w:fill="F2F2F2" w:themeFill="background1" w:themeFillShade="F2"/>
            <w:tcMar>
              <w:top w:w="15" w:type="dxa"/>
              <w:left w:w="15" w:type="dxa"/>
              <w:bottom w:w="0" w:type="dxa"/>
              <w:right w:w="84" w:type="dxa"/>
            </w:tcMar>
            <w:vAlign w:val="bottom"/>
          </w:tcPr>
          <w:p w:rsidR="00941DDA" w:rsidRPr="00941DDA" w:rsidRDefault="00941DDA" w:rsidP="00C02F1B">
            <w:pPr>
              <w:ind w:right="148"/>
              <w:jc w:val="right"/>
              <w:rPr>
                <w:rFonts w:ascii="Segoe UI" w:eastAsia="Times New Roman" w:hAnsi="Segoe UI" w:cs="Segoe UI"/>
                <w:b/>
                <w:bCs/>
                <w:i/>
                <w:color w:val="000000" w:themeColor="text1"/>
                <w:kern w:val="24"/>
                <w:sz w:val="14"/>
                <w:szCs w:val="16"/>
                <w:lang w:eastAsia="el-GR"/>
              </w:rPr>
            </w:pPr>
            <w:r w:rsidRPr="00941DDA">
              <w:rPr>
                <w:rFonts w:ascii="Segoe UI" w:eastAsia="Times New Roman" w:hAnsi="Segoe UI" w:cs="Segoe UI"/>
                <w:b/>
                <w:bCs/>
                <w:i/>
                <w:color w:val="000000" w:themeColor="text1"/>
                <w:kern w:val="24"/>
                <w:sz w:val="14"/>
                <w:szCs w:val="16"/>
                <w:lang w:eastAsia="el-GR"/>
              </w:rPr>
              <w:t>77%</w:t>
            </w:r>
          </w:p>
        </w:tc>
      </w:tr>
    </w:tbl>
    <w:p w:rsidR="00683A2B" w:rsidRPr="00D26A04" w:rsidRDefault="00C00739" w:rsidP="00E55AED">
      <w:pPr>
        <w:textAlignment w:val="baseline"/>
        <w:rPr>
          <w:rFonts w:ascii="Segoe UI" w:hAnsi="Segoe UI" w:cs="Segoe UI"/>
          <w:color w:val="000000" w:themeColor="text1"/>
          <w:kern w:val="24"/>
          <w:sz w:val="8"/>
          <w:szCs w:val="10"/>
        </w:rPr>
      </w:pPr>
      <w:r w:rsidRPr="00C00739">
        <w:rPr>
          <w:rFonts w:ascii="Segoe UI" w:hAnsi="Segoe UI" w:cs="Segoe UI"/>
          <w:noProof/>
          <w:sz w:val="28"/>
          <w:vertAlign w:val="superscript"/>
          <w:lang w:eastAsia="el-GR"/>
        </w:rPr>
        <w:pict>
          <v:rect id="Rectangle 7" o:spid="_x0000_s1035" style="position:absolute;margin-left:-4.4pt;margin-top:20.8pt;width:336.55pt;height:25.9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" filled="f" stroked="f">
            <v:path arrowok="t"/>
            <o:lock v:ext="edit" grouping="t"/>
            <v:textbox inset="1.2699mm,1.2699mm,1.2699mm,1.2699mm">
              <w:txbxContent>
                <w:p w:rsidR="003B131A" w:rsidRPr="00705BB6" w:rsidRDefault="003B131A"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793815">
                    <w:rPr>
                      <w:rFonts w:ascii="Segoe UI" w:eastAsia="Segoe UI" w:hAnsi="Segoe UI" w:cs="Segoe UI"/>
                      <w:b/>
                      <w:color w:val="008080"/>
                      <w:kern w:val="24"/>
                      <w:sz w:val="20"/>
                    </w:rPr>
                    <w:t xml:space="preserve">Κατάσταση Αποτελεσμάτων </w:t>
                  </w:r>
                  <w:r w:rsidRPr="00DE335A">
                    <w:rPr>
                      <w:rFonts w:ascii="Segoe UI" w:eastAsia="Segoe UI" w:hAnsi="Segoe UI" w:cs="Segoe UI"/>
                      <w:b/>
                      <w:color w:val="008080"/>
                      <w:kern w:val="24"/>
                      <w:sz w:val="20"/>
                    </w:rPr>
                    <w:t xml:space="preserve">| </w:t>
                  </w:r>
                  <w:r>
                    <w:rPr>
                      <w:rFonts w:ascii="Segoe UI" w:eastAsia="Segoe UI" w:hAnsi="Segoe UI" w:cs="Segoe UI"/>
                      <w:b/>
                      <w:color w:val="008080"/>
                      <w:kern w:val="24"/>
                      <w:sz w:val="20"/>
                    </w:rPr>
                    <w:t>Δ</w:t>
                  </w:r>
                  <w:r w:rsidRPr="00DE335A">
                    <w:rPr>
                      <w:rFonts w:ascii="Segoe UI" w:eastAsia="Segoe UI" w:hAnsi="Segoe UI" w:cs="Segoe UI"/>
                      <w:b/>
                      <w:color w:val="008080"/>
                      <w:kern w:val="24"/>
                      <w:sz w:val="20"/>
                    </w:rPr>
                    <w:t>ιεθνείς δραστηριότητες</w:t>
                  </w:r>
                  <w:r w:rsidR="00705BB6" w:rsidRPr="00705BB6">
                    <w:rPr>
                      <w:rFonts w:ascii="Segoe UI" w:eastAsia="Segoe UI" w:hAnsi="Segoe UI" w:cs="Segoe UI"/>
                      <w:b/>
                      <w:color w:val="008080"/>
                      <w:kern w:val="24"/>
                      <w:sz w:val="20"/>
                      <w:vertAlign w:val="superscript"/>
                      <w:lang w:val="en-US"/>
                    </w:rPr>
                    <w:t>1</w:t>
                  </w:r>
                </w:p>
                <w:p w:rsidR="003B131A" w:rsidRPr="00DE335A" w:rsidRDefault="003B131A" w:rsidP="00E55AED">
                  <w:pPr>
                    <w:kinsoku w:val="0"/>
                    <w:overflowPunct w:val="0"/>
                    <w:spacing w:before="40"/>
                    <w:ind w:left="547" w:hanging="547"/>
                    <w:textAlignment w:val="baseline"/>
                    <w:rPr>
                      <w:rFonts w:ascii="Segoe UI" w:eastAsia="Segoe UI" w:hAnsi="Segoe UI" w:cs="Segoe UI"/>
                      <w:b/>
                      <w:color w:val="008080"/>
                      <w:kern w:val="24"/>
                      <w:sz w:val="18"/>
                    </w:rPr>
                  </w:pPr>
                </w:p>
                <w:p w:rsidR="003B131A" w:rsidRPr="00DE335A" w:rsidRDefault="003B131A" w:rsidP="00E55AED">
                  <w:pPr>
                    <w:kinsoku w:val="0"/>
                    <w:overflowPunct w:val="0"/>
                    <w:spacing w:before="40"/>
                    <w:ind w:left="547" w:hanging="547"/>
                    <w:textAlignment w:val="baseline"/>
                    <w:rPr>
                      <w:rFonts w:ascii="Segoe UI" w:eastAsia="Segoe UI" w:hAnsi="Segoe UI" w:cs="Segoe UI"/>
                      <w:b/>
                      <w:color w:val="008080"/>
                      <w:kern w:val="24"/>
                      <w:sz w:val="18"/>
                    </w:rPr>
                  </w:pPr>
                </w:p>
                <w:p w:rsidR="003B131A" w:rsidRPr="00DE335A" w:rsidRDefault="003B131A" w:rsidP="00E55AED">
                  <w:pPr>
                    <w:kinsoku w:val="0"/>
                    <w:overflowPunct w:val="0"/>
                    <w:spacing w:before="40"/>
                    <w:ind w:left="547" w:hanging="547"/>
                    <w:textAlignment w:val="baseline"/>
                    <w:rPr>
                      <w:rFonts w:ascii="Segoe UI" w:eastAsia="Segoe UI" w:hAnsi="Segoe UI" w:cs="Segoe UI"/>
                      <w:b/>
                      <w:color w:val="008080"/>
                      <w:kern w:val="24"/>
                      <w:sz w:val="18"/>
                    </w:rPr>
                  </w:pPr>
                </w:p>
                <w:p w:rsidR="003B131A" w:rsidRPr="00D46FEC" w:rsidRDefault="003B131A" w:rsidP="00E55AED">
                  <w:pPr>
                    <w:kinsoku w:val="0"/>
                    <w:overflowPunct w:val="0"/>
                    <w:spacing w:before="40"/>
                    <w:ind w:left="547" w:hanging="547"/>
                    <w:textAlignment w:val="baseline"/>
                    <w:rPr>
                      <w:rFonts w:ascii="Segoe UI" w:eastAsia="Segoe UI" w:hAnsi="Segoe UI" w:cs="Segoe UI"/>
                      <w:b/>
                      <w:color w:val="008080"/>
                      <w:kern w:val="24"/>
                      <w:sz w:val="16"/>
                    </w:rPr>
                  </w:pPr>
                </w:p>
                <w:p w:rsidR="003B131A" w:rsidRPr="00D46FEC" w:rsidRDefault="003B131A" w:rsidP="00E55AED">
                  <w:pPr>
                    <w:kinsoku w:val="0"/>
                    <w:overflowPunct w:val="0"/>
                    <w:spacing w:before="40"/>
                    <w:ind w:left="547" w:hanging="547"/>
                    <w:textAlignment w:val="baseline"/>
                    <w:rPr>
                      <w:rFonts w:ascii="Segoe UI" w:eastAsia="Segoe UI" w:hAnsi="Segoe UI" w:cs="Segoe UI"/>
                      <w:b/>
                      <w:color w:val="008080"/>
                      <w:kern w:val="24"/>
                      <w:sz w:val="16"/>
                    </w:rPr>
                  </w:pPr>
                </w:p>
                <w:p w:rsidR="003B131A" w:rsidRPr="00D46FEC" w:rsidRDefault="003B131A" w:rsidP="00E55AED">
                  <w:pPr>
                    <w:kinsoku w:val="0"/>
                    <w:overflowPunct w:val="0"/>
                    <w:spacing w:before="40"/>
                    <w:ind w:left="547" w:hanging="547"/>
                    <w:textAlignment w:val="baseline"/>
                    <w:rPr>
                      <w:rFonts w:ascii="Segoe UI" w:eastAsia="Segoe UI" w:hAnsi="Segoe UI" w:cs="Segoe UI"/>
                      <w:b/>
                      <w:color w:val="008080"/>
                      <w:kern w:val="24"/>
                      <w:sz w:val="16"/>
                    </w:rPr>
                  </w:pPr>
                </w:p>
                <w:p w:rsidR="003B131A" w:rsidRPr="00FE1137" w:rsidRDefault="003B131A" w:rsidP="00E55AED">
                  <w:pPr>
                    <w:kinsoku w:val="0"/>
                    <w:overflowPunct w:val="0"/>
                    <w:spacing w:before="40"/>
                    <w:ind w:left="547" w:hanging="547"/>
                    <w:textAlignment w:val="baseline"/>
                    <w:rPr>
                      <w:b/>
                      <w:color w:val="008080"/>
                      <w:sz w:val="16"/>
                    </w:rPr>
                  </w:pPr>
                </w:p>
              </w:txbxContent>
            </v:textbox>
          </v:rect>
        </w:pict>
      </w:r>
      <w:r w:rsidR="00132FA3">
        <w:rPr>
          <w:rFonts w:ascii="Segoe UI" w:hAnsi="Segoe UI" w:cs="Segoe UI"/>
          <w:color w:val="000000" w:themeColor="text1"/>
          <w:kern w:val="24"/>
          <w:sz w:val="8"/>
          <w:szCs w:val="10"/>
          <w:vertAlign w:val="superscript"/>
        </w:rPr>
        <w:t xml:space="preserve">1 </w:t>
      </w:r>
      <w:r w:rsidR="00132FA3" w:rsidRPr="005748DD">
        <w:rPr>
          <w:rFonts w:ascii="Segoe UI" w:hAnsi="Segoe UI" w:cs="Segoe UI"/>
          <w:color w:val="000000" w:themeColor="text1"/>
          <w:kern w:val="24"/>
          <w:sz w:val="8"/>
          <w:szCs w:val="10"/>
        </w:rPr>
        <w:t>Περιλαμβάνουν μη επαναλαμβανόμενα κέρδη σχετιζόμενα</w:t>
      </w:r>
      <w:r w:rsidR="00132FA3">
        <w:rPr>
          <w:rFonts w:ascii="Segoe UI" w:hAnsi="Segoe UI" w:cs="Segoe UI"/>
          <w:color w:val="000000" w:themeColor="text1"/>
          <w:kern w:val="24"/>
          <w:sz w:val="8"/>
          <w:szCs w:val="10"/>
        </w:rPr>
        <w:t xml:space="preserve"> </w:t>
      </w:r>
      <w:r w:rsidR="00132FA3" w:rsidRPr="005748DD">
        <w:rPr>
          <w:rFonts w:ascii="Segoe UI" w:hAnsi="Segoe UI" w:cs="Segoe UI"/>
          <w:color w:val="000000" w:themeColor="text1"/>
          <w:kern w:val="24"/>
          <w:sz w:val="8"/>
          <w:szCs w:val="10"/>
        </w:rPr>
        <w:t xml:space="preserve">με </w:t>
      </w:r>
      <w:r w:rsidR="00132FA3">
        <w:rPr>
          <w:rFonts w:ascii="Segoe UI" w:hAnsi="Segoe UI" w:cs="Segoe UI"/>
          <w:color w:val="000000" w:themeColor="text1"/>
          <w:kern w:val="24"/>
          <w:sz w:val="8"/>
          <w:szCs w:val="10"/>
        </w:rPr>
        <w:t>(α)</w:t>
      </w:r>
      <w:r w:rsidR="00132FA3" w:rsidRPr="005748DD">
        <w:rPr>
          <w:rFonts w:ascii="Segoe UI" w:hAnsi="Segoe UI" w:cs="Segoe UI"/>
          <w:color w:val="000000" w:themeColor="text1"/>
          <w:kern w:val="24"/>
          <w:sz w:val="8"/>
          <w:szCs w:val="10"/>
        </w:rPr>
        <w:t xml:space="preserve"> </w:t>
      </w:r>
      <w:r w:rsidR="00132FA3" w:rsidRPr="0020487F">
        <w:rPr>
          <w:rFonts w:ascii="Segoe UI" w:hAnsi="Segoe UI" w:cs="Segoe UI"/>
          <w:color w:val="000000" w:themeColor="text1"/>
          <w:kern w:val="24"/>
          <w:sz w:val="8"/>
          <w:szCs w:val="10"/>
        </w:rPr>
        <w:t>τη</w:t>
      </w:r>
      <w:r w:rsidR="00132FA3">
        <w:rPr>
          <w:rFonts w:ascii="Segoe UI" w:hAnsi="Segoe UI" w:cs="Segoe UI"/>
          <w:color w:val="000000" w:themeColor="text1"/>
          <w:kern w:val="24"/>
          <w:sz w:val="8"/>
          <w:szCs w:val="10"/>
        </w:rPr>
        <w:t>ν</w:t>
      </w:r>
      <w:r w:rsidR="00132FA3" w:rsidRPr="0020487F">
        <w:rPr>
          <w:rFonts w:ascii="Segoe UI" w:hAnsi="Segoe UI" w:cs="Segoe UI"/>
          <w:color w:val="000000" w:themeColor="text1"/>
          <w:kern w:val="24"/>
          <w:sz w:val="8"/>
          <w:szCs w:val="10"/>
        </w:rPr>
        <w:t xml:space="preserve"> ανταλλαγή τριών υφιστάμενων ΟΕΔ που κατείχε η ΕΤΕ με ένα νέο ΟΕΔ </w:t>
      </w:r>
      <w:r w:rsidR="00132FA3">
        <w:rPr>
          <w:rFonts w:ascii="Segoe UI" w:hAnsi="Segoe UI" w:cs="Segoe UI"/>
          <w:color w:val="000000" w:themeColor="text1"/>
          <w:kern w:val="24"/>
          <w:sz w:val="8"/>
          <w:szCs w:val="10"/>
        </w:rPr>
        <w:t xml:space="preserve">ύψους €515 εκατ. και την πώληση ΟΕΔ στο </w:t>
      </w:r>
      <w:r w:rsidR="00132FA3" w:rsidRPr="006B19F6">
        <w:rPr>
          <w:rFonts w:ascii="Segoe UI" w:hAnsi="Segoe UI" w:cs="Segoe UI"/>
          <w:color w:val="000000" w:themeColor="text1"/>
          <w:kern w:val="24"/>
          <w:sz w:val="8"/>
          <w:szCs w:val="10"/>
        </w:rPr>
        <w:t>χαρτοφυλάκιο «διακρατούμενων για την είσπραξη συμβατικών ταμειακών ροών και για ενδεχόμενη πώληση» (HTCS)</w:t>
      </w:r>
      <w:r w:rsidR="00132FA3">
        <w:rPr>
          <w:rFonts w:ascii="Segoe UI" w:hAnsi="Segoe UI" w:cs="Segoe UI"/>
          <w:color w:val="000000" w:themeColor="text1"/>
          <w:kern w:val="24"/>
          <w:sz w:val="8"/>
          <w:szCs w:val="10"/>
        </w:rPr>
        <w:t xml:space="preserve"> </w:t>
      </w:r>
      <w:r w:rsidR="00132FA3" w:rsidRPr="007F54DF">
        <w:rPr>
          <w:rFonts w:ascii="Segoe UI" w:hAnsi="Segoe UI" w:cs="Segoe UI"/>
          <w:color w:val="000000" w:themeColor="text1"/>
          <w:kern w:val="24"/>
          <w:sz w:val="8"/>
          <w:szCs w:val="10"/>
        </w:rPr>
        <w:t xml:space="preserve">ύψους </w:t>
      </w:r>
      <w:r w:rsidR="00132FA3">
        <w:rPr>
          <w:rFonts w:ascii="Segoe UI" w:hAnsi="Segoe UI" w:cs="Segoe UI"/>
          <w:color w:val="000000" w:themeColor="text1"/>
          <w:kern w:val="24"/>
          <w:sz w:val="8"/>
          <w:szCs w:val="10"/>
        </w:rPr>
        <w:t>€26</w:t>
      </w:r>
      <w:r w:rsidR="00132FA3" w:rsidRPr="00D537BD">
        <w:rPr>
          <w:rFonts w:ascii="Segoe UI" w:hAnsi="Segoe UI" w:cs="Segoe UI"/>
          <w:color w:val="000000" w:themeColor="text1"/>
          <w:kern w:val="24"/>
          <w:sz w:val="8"/>
          <w:szCs w:val="10"/>
        </w:rPr>
        <w:t>4</w:t>
      </w:r>
      <w:r w:rsidR="00132FA3">
        <w:rPr>
          <w:rFonts w:ascii="Segoe UI" w:hAnsi="Segoe UI" w:cs="Segoe UI"/>
          <w:color w:val="000000" w:themeColor="text1"/>
          <w:kern w:val="24"/>
          <w:sz w:val="8"/>
          <w:szCs w:val="10"/>
        </w:rPr>
        <w:t xml:space="preserve"> εκατ. το Α΄ </w:t>
      </w:r>
      <w:r w:rsidR="001A6BE9">
        <w:rPr>
          <w:rFonts w:ascii="Segoe UI" w:hAnsi="Segoe UI" w:cs="Segoe UI"/>
          <w:color w:val="000000" w:themeColor="text1"/>
          <w:kern w:val="24"/>
          <w:sz w:val="8"/>
          <w:szCs w:val="10"/>
        </w:rPr>
        <w:t>τρίμηνο</w:t>
      </w:r>
      <w:r w:rsidR="00132FA3" w:rsidRPr="00FE5147">
        <w:rPr>
          <w:rFonts w:ascii="Segoe UI" w:hAnsi="Segoe UI" w:cs="Segoe UI"/>
          <w:color w:val="000000" w:themeColor="text1"/>
          <w:kern w:val="24"/>
          <w:sz w:val="8"/>
          <w:szCs w:val="10"/>
        </w:rPr>
        <w:t xml:space="preserve"> </w:t>
      </w:r>
      <w:r w:rsidR="00132FA3">
        <w:rPr>
          <w:rFonts w:ascii="Segoe UI" w:hAnsi="Segoe UI" w:cs="Segoe UI"/>
          <w:color w:val="000000" w:themeColor="text1"/>
          <w:kern w:val="24"/>
          <w:sz w:val="8"/>
          <w:szCs w:val="10"/>
        </w:rPr>
        <w:t xml:space="preserve">2020 και (β) </w:t>
      </w:r>
      <w:r w:rsidR="00132FA3" w:rsidRPr="005748DD">
        <w:rPr>
          <w:rFonts w:ascii="Segoe UI" w:hAnsi="Segoe UI" w:cs="Segoe UI"/>
          <w:color w:val="000000" w:themeColor="text1"/>
          <w:kern w:val="24"/>
          <w:sz w:val="8"/>
          <w:szCs w:val="10"/>
        </w:rPr>
        <w:t>την αντικατάσταση της Συμφωνίας Ανταλλαγής Επιτοκίων με Ο</w:t>
      </w:r>
      <w:r w:rsidR="00132FA3">
        <w:rPr>
          <w:rFonts w:ascii="Segoe UI" w:hAnsi="Segoe UI" w:cs="Segoe UI"/>
          <w:color w:val="000000" w:themeColor="text1"/>
          <w:kern w:val="24"/>
          <w:sz w:val="8"/>
          <w:szCs w:val="10"/>
        </w:rPr>
        <w:t xml:space="preserve">ΕΔ ύψους </w:t>
      </w:r>
      <w:r w:rsidR="00C64509" w:rsidRPr="00C64509">
        <w:rPr>
          <w:rFonts w:ascii="Segoe UI" w:hAnsi="Segoe UI" w:cs="Segoe UI"/>
          <w:color w:val="000000" w:themeColor="text1"/>
          <w:kern w:val="24"/>
          <w:sz w:val="8"/>
          <w:szCs w:val="10"/>
        </w:rPr>
        <w:t xml:space="preserve">€65 εκατ. Α’ τρίμηνο 2019 και την πώληση του ξενοδοχείου “Grand Hotel” ύψους €30 εκατ. το Β’ τρίμηνο 2019 </w:t>
      </w:r>
      <w:r w:rsidR="00132FA3">
        <w:rPr>
          <w:rFonts w:ascii="Segoe UI" w:hAnsi="Segoe UI" w:cs="Segoe UI"/>
          <w:color w:val="000000" w:themeColor="text1"/>
          <w:kern w:val="24"/>
          <w:sz w:val="8"/>
          <w:szCs w:val="10"/>
        </w:rPr>
        <w:t xml:space="preserve">/ </w:t>
      </w:r>
      <w:r w:rsidR="00132FA3" w:rsidRPr="006313CE">
        <w:rPr>
          <w:rFonts w:ascii="Segoe UI" w:hAnsi="Segoe UI" w:cs="Segoe UI"/>
          <w:color w:val="000000" w:themeColor="text1"/>
          <w:kern w:val="24"/>
          <w:sz w:val="8"/>
          <w:szCs w:val="10"/>
          <w:vertAlign w:val="superscript"/>
        </w:rPr>
        <w:t>2</w:t>
      </w:r>
      <w:r w:rsidR="00132FA3">
        <w:rPr>
          <w:rFonts w:ascii="Segoe UI" w:hAnsi="Segoe UI" w:cs="Segoe UI"/>
          <w:color w:val="000000" w:themeColor="text1"/>
          <w:kern w:val="24"/>
          <w:sz w:val="8"/>
          <w:szCs w:val="10"/>
          <w:vertAlign w:val="superscript"/>
        </w:rPr>
        <w:t xml:space="preserve"> </w:t>
      </w:r>
      <w:r w:rsidR="00467E58" w:rsidRPr="00467E58">
        <w:rPr>
          <w:rFonts w:ascii="Segoe UI" w:hAnsi="Segoe UI" w:cs="Segoe UI"/>
          <w:color w:val="000000" w:themeColor="text1"/>
          <w:kern w:val="24"/>
          <w:sz w:val="8"/>
          <w:szCs w:val="10"/>
        </w:rPr>
        <w:t xml:space="preserve">Εξαιρούν τα έσοδα από χρηματοοικονομικές πράξεις και λοιπά έσοδα και τις προβλέψεις σχετιζόμενες με την πανδημία του κορωνοϊού ύψους €416 εκατ. το Α’ τρίμηνο 2020 και €10 εκατ. το Β’ τρίμηνο 2020 </w:t>
      </w:r>
      <w:r w:rsidR="00132FA3">
        <w:rPr>
          <w:rFonts w:ascii="Segoe UI" w:hAnsi="Segoe UI" w:cs="Segoe UI"/>
          <w:color w:val="000000" w:themeColor="text1"/>
          <w:kern w:val="24"/>
          <w:sz w:val="8"/>
          <w:szCs w:val="10"/>
        </w:rPr>
        <w:t xml:space="preserve"> / </w:t>
      </w:r>
      <w:r w:rsidR="00132FA3">
        <w:rPr>
          <w:rFonts w:ascii="Segoe UI" w:hAnsi="Segoe UI" w:cs="Segoe UI"/>
          <w:color w:val="000000" w:themeColor="text1"/>
          <w:kern w:val="24"/>
          <w:sz w:val="8"/>
          <w:szCs w:val="10"/>
          <w:vertAlign w:val="superscript"/>
        </w:rPr>
        <w:t xml:space="preserve">3 </w:t>
      </w:r>
      <w:r w:rsidR="00132FA3" w:rsidRPr="004949C1">
        <w:rPr>
          <w:rFonts w:ascii="Segoe UI" w:hAnsi="Segoe UI" w:cs="Segoe UI"/>
          <w:color w:val="000000" w:themeColor="text1"/>
          <w:kern w:val="24"/>
          <w:sz w:val="8"/>
          <w:szCs w:val="10"/>
        </w:rPr>
        <w:t>Κόστος Εθελουσίας Εξόδου Προσωπικού (€9</w:t>
      </w:r>
      <w:r w:rsidR="00132FA3">
        <w:rPr>
          <w:rFonts w:ascii="Segoe UI" w:hAnsi="Segoe UI" w:cs="Segoe UI"/>
          <w:color w:val="000000" w:themeColor="text1"/>
          <w:kern w:val="24"/>
          <w:sz w:val="8"/>
          <w:szCs w:val="10"/>
        </w:rPr>
        <w:t>0 εκατ.), κόστη αναδιάρθρωσης (€</w:t>
      </w:r>
      <w:r w:rsidR="008D4437">
        <w:rPr>
          <w:rFonts w:ascii="Segoe UI" w:hAnsi="Segoe UI" w:cs="Segoe UI"/>
          <w:color w:val="000000" w:themeColor="text1"/>
          <w:kern w:val="24"/>
          <w:sz w:val="8"/>
          <w:szCs w:val="10"/>
        </w:rPr>
        <w:t>4</w:t>
      </w:r>
      <w:r w:rsidR="00132FA3" w:rsidRPr="004949C1">
        <w:rPr>
          <w:rFonts w:ascii="Segoe UI" w:hAnsi="Segoe UI" w:cs="Segoe UI"/>
          <w:color w:val="000000" w:themeColor="text1"/>
          <w:kern w:val="24"/>
          <w:sz w:val="8"/>
          <w:szCs w:val="10"/>
        </w:rPr>
        <w:t xml:space="preserve"> εκατ.)</w:t>
      </w:r>
      <w:r w:rsidR="00132FA3">
        <w:rPr>
          <w:rFonts w:ascii="Segoe UI" w:hAnsi="Segoe UI" w:cs="Segoe UI"/>
          <w:color w:val="000000" w:themeColor="text1"/>
          <w:kern w:val="24"/>
          <w:sz w:val="8"/>
          <w:szCs w:val="10"/>
        </w:rPr>
        <w:t xml:space="preserve"> </w:t>
      </w:r>
      <w:r w:rsidR="00132FA3" w:rsidRPr="0020487F">
        <w:rPr>
          <w:rFonts w:ascii="Segoe UI" w:hAnsi="Segoe UI" w:cs="Segoe UI"/>
          <w:color w:val="000000" w:themeColor="text1"/>
          <w:kern w:val="24"/>
          <w:sz w:val="8"/>
          <w:szCs w:val="10"/>
        </w:rPr>
        <w:t>και λοιπές μη επαναλαμβανόμενες δαπάνες</w:t>
      </w:r>
      <w:r w:rsidR="00132FA3">
        <w:rPr>
          <w:rFonts w:ascii="Segoe UI" w:hAnsi="Segoe UI" w:cs="Segoe UI"/>
          <w:color w:val="000000" w:themeColor="text1"/>
          <w:kern w:val="24"/>
          <w:sz w:val="8"/>
          <w:szCs w:val="10"/>
        </w:rPr>
        <w:t xml:space="preserve"> (€4 εκατ.) για το Α’ εξάμηνο 2020</w:t>
      </w:r>
      <w:r w:rsidR="00132FA3" w:rsidRPr="004949C1">
        <w:rPr>
          <w:rFonts w:ascii="Segoe UI" w:hAnsi="Segoe UI" w:cs="Segoe UI"/>
          <w:color w:val="000000" w:themeColor="text1"/>
          <w:kern w:val="24"/>
          <w:sz w:val="8"/>
          <w:szCs w:val="10"/>
        </w:rPr>
        <w:t xml:space="preserve">, </w:t>
      </w:r>
      <w:r w:rsidR="00132FA3">
        <w:rPr>
          <w:rFonts w:ascii="Segoe UI" w:hAnsi="Segoe UI" w:cs="Segoe UI"/>
          <w:color w:val="000000" w:themeColor="text1"/>
          <w:kern w:val="24"/>
          <w:sz w:val="8"/>
          <w:szCs w:val="10"/>
        </w:rPr>
        <w:t xml:space="preserve">καθώς και το </w:t>
      </w:r>
      <w:r w:rsidR="00132FA3" w:rsidRPr="00C56174">
        <w:rPr>
          <w:rFonts w:ascii="Segoe UI" w:hAnsi="Segoe UI" w:cs="Segoe UI"/>
          <w:color w:val="000000" w:themeColor="text1"/>
          <w:kern w:val="24"/>
          <w:sz w:val="8"/>
          <w:szCs w:val="10"/>
        </w:rPr>
        <w:t xml:space="preserve">κόστος Εθελουσίας Εξόδου Προσωπικού </w:t>
      </w:r>
      <w:r w:rsidR="00132FA3">
        <w:rPr>
          <w:rFonts w:ascii="Segoe UI" w:hAnsi="Segoe UI" w:cs="Segoe UI"/>
          <w:color w:val="000000" w:themeColor="text1"/>
          <w:kern w:val="24"/>
          <w:sz w:val="8"/>
          <w:szCs w:val="10"/>
        </w:rPr>
        <w:t>(</w:t>
      </w:r>
      <w:r w:rsidR="00132FA3" w:rsidRPr="004949C1">
        <w:rPr>
          <w:rFonts w:ascii="Segoe UI" w:hAnsi="Segoe UI" w:cs="Segoe UI"/>
          <w:color w:val="000000" w:themeColor="text1"/>
          <w:kern w:val="24"/>
          <w:sz w:val="8"/>
          <w:szCs w:val="10"/>
        </w:rPr>
        <w:t>€</w:t>
      </w:r>
      <w:r w:rsidR="00132FA3">
        <w:rPr>
          <w:rFonts w:ascii="Segoe UI" w:hAnsi="Segoe UI" w:cs="Segoe UI"/>
          <w:color w:val="000000" w:themeColor="text1"/>
          <w:kern w:val="24"/>
          <w:sz w:val="8"/>
          <w:szCs w:val="10"/>
        </w:rPr>
        <w:t>94</w:t>
      </w:r>
      <w:r w:rsidR="00132FA3" w:rsidRPr="004949C1">
        <w:rPr>
          <w:rFonts w:ascii="Segoe UI" w:hAnsi="Segoe UI" w:cs="Segoe UI"/>
          <w:color w:val="000000" w:themeColor="text1"/>
          <w:kern w:val="24"/>
          <w:sz w:val="8"/>
          <w:szCs w:val="10"/>
        </w:rPr>
        <w:t xml:space="preserve"> εκατ.</w:t>
      </w:r>
      <w:r w:rsidR="00132FA3">
        <w:rPr>
          <w:rFonts w:ascii="Segoe UI" w:hAnsi="Segoe UI" w:cs="Segoe UI"/>
          <w:color w:val="000000" w:themeColor="text1"/>
          <w:kern w:val="24"/>
          <w:sz w:val="8"/>
          <w:szCs w:val="10"/>
        </w:rPr>
        <w:t>)</w:t>
      </w:r>
      <w:r w:rsidR="00132FA3" w:rsidRPr="004949C1">
        <w:rPr>
          <w:rFonts w:ascii="Segoe UI" w:hAnsi="Segoe UI" w:cs="Segoe UI"/>
          <w:color w:val="000000" w:themeColor="text1"/>
          <w:kern w:val="24"/>
          <w:sz w:val="8"/>
          <w:szCs w:val="10"/>
        </w:rPr>
        <w:t xml:space="preserve"> και κόστη αναδιάρθρωσης </w:t>
      </w:r>
      <w:r w:rsidR="00132FA3">
        <w:rPr>
          <w:rFonts w:ascii="Segoe UI" w:hAnsi="Segoe UI" w:cs="Segoe UI"/>
          <w:color w:val="000000" w:themeColor="text1"/>
          <w:kern w:val="24"/>
          <w:sz w:val="8"/>
          <w:szCs w:val="10"/>
        </w:rPr>
        <w:t>(</w:t>
      </w:r>
      <w:r w:rsidR="00132FA3" w:rsidRPr="004949C1">
        <w:rPr>
          <w:rFonts w:ascii="Segoe UI" w:hAnsi="Segoe UI" w:cs="Segoe UI"/>
          <w:color w:val="000000" w:themeColor="text1"/>
          <w:kern w:val="24"/>
          <w:sz w:val="8"/>
          <w:szCs w:val="10"/>
        </w:rPr>
        <w:t>€</w:t>
      </w:r>
      <w:r w:rsidR="00132FA3">
        <w:rPr>
          <w:rFonts w:ascii="Segoe UI" w:hAnsi="Segoe UI" w:cs="Segoe UI"/>
          <w:color w:val="000000" w:themeColor="text1"/>
          <w:kern w:val="24"/>
          <w:sz w:val="8"/>
          <w:szCs w:val="10"/>
        </w:rPr>
        <w:t>11</w:t>
      </w:r>
      <w:r w:rsidR="00132FA3" w:rsidRPr="004949C1">
        <w:rPr>
          <w:rFonts w:ascii="Segoe UI" w:hAnsi="Segoe UI" w:cs="Segoe UI"/>
          <w:color w:val="000000" w:themeColor="text1"/>
          <w:kern w:val="24"/>
          <w:sz w:val="8"/>
          <w:szCs w:val="10"/>
        </w:rPr>
        <w:t xml:space="preserve"> εκατ.</w:t>
      </w:r>
      <w:r w:rsidR="00132FA3">
        <w:rPr>
          <w:rFonts w:ascii="Segoe UI" w:hAnsi="Segoe UI" w:cs="Segoe UI"/>
          <w:color w:val="000000" w:themeColor="text1"/>
          <w:kern w:val="24"/>
          <w:sz w:val="8"/>
          <w:szCs w:val="10"/>
        </w:rPr>
        <w:t>)</w:t>
      </w:r>
      <w:r w:rsidR="00132FA3" w:rsidRPr="004949C1">
        <w:rPr>
          <w:rFonts w:ascii="Segoe UI" w:hAnsi="Segoe UI" w:cs="Segoe UI"/>
          <w:color w:val="000000" w:themeColor="text1"/>
          <w:kern w:val="24"/>
          <w:sz w:val="8"/>
          <w:szCs w:val="10"/>
        </w:rPr>
        <w:t xml:space="preserve"> για το </w:t>
      </w:r>
      <w:r w:rsidR="00132FA3">
        <w:rPr>
          <w:rFonts w:ascii="Segoe UI" w:hAnsi="Segoe UI" w:cs="Segoe UI"/>
          <w:color w:val="000000" w:themeColor="text1"/>
          <w:kern w:val="24"/>
          <w:sz w:val="8"/>
          <w:szCs w:val="10"/>
        </w:rPr>
        <w:t>Α’ εξάμηνο 2019</w:t>
      </w:r>
    </w:p>
    <w:p w:rsidR="00E55AED" w:rsidRPr="00D26A04" w:rsidRDefault="00E55AED" w:rsidP="00E55AED">
      <w:pPr>
        <w:textAlignment w:val="baseline"/>
        <w:rPr>
          <w:rFonts w:ascii="Segoe UI" w:eastAsia="Times New Roman" w:hAnsi="Segoe UI" w:cs="Segoe UI"/>
          <w:color w:val="000000" w:themeColor="text1"/>
          <w:kern w:val="24"/>
          <w:sz w:val="16"/>
          <w:szCs w:val="10"/>
          <w:lang w:eastAsia="el-GR"/>
        </w:rPr>
      </w:pPr>
    </w:p>
    <w:p w:rsidR="00E55AED" w:rsidRPr="0098297F" w:rsidRDefault="00C00739" w:rsidP="00E55AED">
      <w:pPr>
        <w:textAlignment w:val="baseline"/>
        <w:rPr>
          <w:rFonts w:ascii="Segoe UI" w:eastAsia="Times New Roman" w:hAnsi="Segoe UI" w:cs="Segoe UI"/>
          <w:color w:val="000000" w:themeColor="text1"/>
          <w:kern w:val="24"/>
          <w:sz w:val="12"/>
          <w:szCs w:val="10"/>
          <w:lang w:eastAsia="el-GR"/>
        </w:rPr>
      </w:pPr>
      <w:r w:rsidRPr="00C00739">
        <w:rPr>
          <w:rFonts w:ascii="Segoe UI" w:hAnsi="Segoe UI" w:cs="Segoe UI"/>
          <w:noProof/>
          <w:lang w:eastAsia="el-GR"/>
        </w:rPr>
        <w:pict>
          <v:roundrect id="_x0000_s1058" style="position:absolute;margin-left:215.4pt;margin-top:7.4pt;width:48.2pt;height:204.1pt;z-index:2516587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" filled="f" strokecolor="#ff7415">
            <v:path arrowok="t"/>
          </v:roundrect>
        </w:pict>
      </w:r>
    </w:p>
    <w:tbl>
      <w:tblPr>
        <w:tblW w:w="4998" w:type="pct"/>
        <w:tblCellMar>
          <w:left w:w="0" w:type="dxa"/>
          <w:right w:w="0" w:type="dxa"/>
        </w:tblCellMar>
        <w:tblLook w:val="0420"/>
      </w:tblPr>
      <w:tblGrid>
        <w:gridCol w:w="4362"/>
        <w:gridCol w:w="993"/>
        <w:gridCol w:w="993"/>
        <w:gridCol w:w="993"/>
        <w:gridCol w:w="993"/>
        <w:gridCol w:w="993"/>
        <w:gridCol w:w="991"/>
      </w:tblGrid>
      <w:tr w:rsidR="000C14F0" w:rsidRPr="0098297F" w:rsidTr="00340A5F">
        <w:trPr>
          <w:trHeight w:val="289"/>
        </w:trPr>
        <w:tc>
          <w:tcPr>
            <w:tcW w:w="2114"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rsidR="000C14F0" w:rsidRPr="0098297F" w:rsidRDefault="000C14F0" w:rsidP="0098297F">
            <w:pPr>
              <w:spacing w:before="38"/>
              <w:textAlignment w:val="baseline"/>
              <w:rPr>
                <w:rFonts w:ascii="Segoe UI" w:eastAsia="Times New Roman" w:hAnsi="Segoe UI" w:cs="Segoe UI"/>
                <w:sz w:val="14"/>
                <w:szCs w:val="16"/>
                <w:lang w:eastAsia="el-GR"/>
              </w:rPr>
            </w:pPr>
            <w:r w:rsidRPr="0098297F">
              <w:rPr>
                <w:rFonts w:ascii="Segoe UI" w:eastAsia="Segoe UI" w:hAnsi="Segoe UI" w:cs="Segoe UI"/>
                <w:b/>
                <w:bCs/>
                <w:color w:val="000000"/>
                <w:kern w:val="24"/>
                <w:sz w:val="14"/>
                <w:szCs w:val="16"/>
                <w:lang w:eastAsia="el-GR"/>
              </w:rPr>
              <w:t xml:space="preserve">€ </w:t>
            </w:r>
            <w:r>
              <w:rPr>
                <w:rFonts w:ascii="Segoe UI" w:eastAsia="Segoe UI" w:hAnsi="Segoe UI" w:cs="Segoe UI"/>
                <w:b/>
                <w:bCs/>
                <w:color w:val="000000"/>
                <w:kern w:val="24"/>
                <w:sz w:val="14"/>
                <w:szCs w:val="16"/>
                <w:lang w:eastAsia="el-GR"/>
              </w:rPr>
              <w:t>εκατ.</w:t>
            </w:r>
          </w:p>
        </w:tc>
        <w:tc>
          <w:tcPr>
            <w:tcW w:w="481" w:type="pct"/>
            <w:tcBorders>
              <w:top w:val="single" w:sz="8" w:space="0" w:color="000000"/>
              <w:left w:val="nil"/>
              <w:bottom w:val="single" w:sz="8" w:space="0" w:color="000000"/>
              <w:right w:val="nil"/>
            </w:tcBorders>
            <w:vAlign w:val="center"/>
          </w:tcPr>
          <w:p w:rsidR="000C14F0" w:rsidRPr="00E95FD5" w:rsidRDefault="000C14F0" w:rsidP="00C02F1B">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1" w:type="pct"/>
            <w:tcBorders>
              <w:top w:val="single" w:sz="8" w:space="0" w:color="000000"/>
              <w:left w:val="nil"/>
              <w:bottom w:val="single" w:sz="8" w:space="0" w:color="000000"/>
              <w:right w:val="nil"/>
            </w:tcBorders>
            <w:vAlign w:val="center"/>
          </w:tcPr>
          <w:p w:rsidR="000C14F0" w:rsidRPr="00E95FD5" w:rsidRDefault="000C14F0" w:rsidP="00C02F1B">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E95FD5">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20</w:t>
            </w:r>
            <w:r w:rsidRPr="00E95FD5">
              <w:rPr>
                <w:rFonts w:ascii="Segoe UI" w:eastAsia="Times New Roman" w:hAnsi="Segoe UI" w:cs="Segoe UI"/>
                <w:b/>
                <w:bCs/>
                <w:color w:val="000000" w:themeColor="text1"/>
                <w:kern w:val="24"/>
                <w:sz w:val="14"/>
                <w:szCs w:val="14"/>
                <w:lang w:eastAsia="el-GR"/>
              </w:rPr>
              <w:t xml:space="preserve"> </w:t>
            </w:r>
          </w:p>
        </w:tc>
        <w:tc>
          <w:tcPr>
            <w:tcW w:w="481" w:type="pct"/>
            <w:tcBorders>
              <w:top w:val="single" w:sz="8" w:space="0" w:color="000000"/>
              <w:left w:val="nil"/>
              <w:bottom w:val="single" w:sz="8" w:space="0" w:color="000000"/>
              <w:right w:val="nil"/>
            </w:tcBorders>
            <w:vAlign w:val="center"/>
          </w:tcPr>
          <w:p w:rsidR="000C14F0" w:rsidRPr="00E95FD5" w:rsidRDefault="000C14F0" w:rsidP="00C02F1B">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c>
          <w:tcPr>
            <w:tcW w:w="481" w:type="pct"/>
            <w:tcBorders>
              <w:top w:val="single" w:sz="8" w:space="0" w:color="000000"/>
              <w:left w:val="nil"/>
              <w:bottom w:val="single" w:sz="8" w:space="0" w:color="000000"/>
              <w:right w:val="nil"/>
            </w:tcBorders>
            <w:vAlign w:val="center"/>
          </w:tcPr>
          <w:p w:rsidR="000C14F0" w:rsidRPr="00E95FD5" w:rsidRDefault="000C14F0" w:rsidP="00C02F1B">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77020D">
              <w:rPr>
                <w:rFonts w:ascii="Segoe UI" w:eastAsia="Times New Roman" w:hAnsi="Segoe UI" w:cs="Segoe UI"/>
                <w:b/>
                <w:bCs/>
                <w:color w:val="000000" w:themeColor="text1"/>
                <w:kern w:val="24"/>
                <w:sz w:val="14"/>
                <w:szCs w:val="14"/>
                <w:lang w:eastAsia="el-GR"/>
              </w:rPr>
              <w:t xml:space="preserve">‘ </w:t>
            </w:r>
            <w:r>
              <w:rPr>
                <w:rFonts w:ascii="Segoe UI" w:eastAsia="Times New Roman" w:hAnsi="Segoe UI" w:cs="Segoe UI"/>
                <w:b/>
                <w:bCs/>
                <w:color w:val="000000" w:themeColor="text1"/>
                <w:kern w:val="24"/>
                <w:sz w:val="14"/>
                <w:szCs w:val="14"/>
                <w:lang w:eastAsia="el-GR"/>
              </w:rPr>
              <w:t>εξάμηνο</w:t>
            </w:r>
            <w:r w:rsidRPr="0077020D">
              <w:rPr>
                <w:rFonts w:ascii="Segoe UI" w:eastAsia="Times New Roman" w:hAnsi="Segoe UI" w:cs="Segoe UI"/>
                <w:b/>
                <w:bCs/>
                <w:color w:val="000000" w:themeColor="text1"/>
                <w:kern w:val="24"/>
                <w:sz w:val="14"/>
                <w:szCs w:val="14"/>
                <w:lang w:eastAsia="el-GR"/>
              </w:rPr>
              <w:t xml:space="preserve"> 20</w:t>
            </w:r>
            <w:r>
              <w:rPr>
                <w:rFonts w:ascii="Segoe UI" w:eastAsia="Times New Roman" w:hAnsi="Segoe UI" w:cs="Segoe UI"/>
                <w:b/>
                <w:bCs/>
                <w:color w:val="000000" w:themeColor="text1"/>
                <w:kern w:val="24"/>
                <w:sz w:val="14"/>
                <w:szCs w:val="14"/>
                <w:lang w:eastAsia="el-GR"/>
              </w:rPr>
              <w:t>20</w:t>
            </w:r>
          </w:p>
        </w:tc>
        <w:tc>
          <w:tcPr>
            <w:tcW w:w="481" w:type="pct"/>
            <w:tcBorders>
              <w:top w:val="single" w:sz="8" w:space="0" w:color="000000"/>
              <w:left w:val="nil"/>
              <w:bottom w:val="single" w:sz="8" w:space="0" w:color="000000"/>
              <w:right w:val="nil"/>
            </w:tcBorders>
            <w:shd w:val="clear" w:color="auto" w:fill="auto"/>
            <w:vAlign w:val="center"/>
          </w:tcPr>
          <w:p w:rsidR="000C14F0" w:rsidRPr="00E95FD5" w:rsidRDefault="000C14F0" w:rsidP="00C02F1B">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E95FD5">
              <w:rPr>
                <w:rFonts w:ascii="Segoe UI" w:eastAsia="Times New Roman" w:hAnsi="Segoe UI" w:cs="Segoe UI"/>
                <w:b/>
                <w:bCs/>
                <w:color w:val="000000" w:themeColor="text1"/>
                <w:kern w:val="24"/>
                <w:sz w:val="14"/>
                <w:szCs w:val="14"/>
                <w:lang w:eastAsia="el-GR"/>
              </w:rPr>
              <w:t>‘</w:t>
            </w:r>
            <w:r>
              <w:rPr>
                <w:rFonts w:ascii="Segoe UI" w:eastAsia="Times New Roman" w:hAnsi="Segoe UI" w:cs="Segoe UI"/>
                <w:b/>
                <w:bCs/>
                <w:color w:val="000000" w:themeColor="text1"/>
                <w:kern w:val="24"/>
                <w:sz w:val="14"/>
                <w:szCs w:val="14"/>
                <w:lang w:eastAsia="el-GR"/>
              </w:rPr>
              <w:t xml:space="preserve"> εξάμηνο</w:t>
            </w:r>
            <w:r w:rsidRPr="0077020D">
              <w:rPr>
                <w:rFonts w:ascii="Segoe UI" w:eastAsia="Times New Roman" w:hAnsi="Segoe UI" w:cs="Segoe UI"/>
                <w:b/>
                <w:bCs/>
                <w:color w:val="000000" w:themeColor="text1"/>
                <w:kern w:val="24"/>
                <w:sz w:val="14"/>
                <w:szCs w:val="14"/>
                <w:lang w:eastAsia="el-GR"/>
              </w:rPr>
              <w:t xml:space="preserve"> </w:t>
            </w:r>
            <w:r w:rsidRPr="00E95FD5">
              <w:rPr>
                <w:rFonts w:ascii="Segoe UI" w:eastAsia="Times New Roman" w:hAnsi="Segoe UI" w:cs="Segoe UI"/>
                <w:b/>
                <w:bCs/>
                <w:color w:val="000000" w:themeColor="text1"/>
                <w:kern w:val="24"/>
                <w:sz w:val="14"/>
                <w:szCs w:val="14"/>
                <w:lang w:eastAsia="el-GR"/>
              </w:rPr>
              <w:t>2019</w:t>
            </w:r>
          </w:p>
        </w:tc>
        <w:tc>
          <w:tcPr>
            <w:tcW w:w="480" w:type="pct"/>
            <w:tcBorders>
              <w:top w:val="single" w:sz="8" w:space="0" w:color="000000"/>
              <w:left w:val="nil"/>
              <w:bottom w:val="single" w:sz="8" w:space="0" w:color="000000"/>
              <w:right w:val="nil"/>
            </w:tcBorders>
            <w:shd w:val="clear" w:color="auto" w:fill="auto"/>
            <w:tcMar>
              <w:top w:w="15" w:type="dxa"/>
              <w:left w:w="15" w:type="dxa"/>
              <w:bottom w:w="0" w:type="dxa"/>
              <w:right w:w="82" w:type="dxa"/>
            </w:tcMar>
            <w:vAlign w:val="center"/>
            <w:hideMark/>
          </w:tcPr>
          <w:p w:rsidR="000C14F0" w:rsidRPr="00E95FD5" w:rsidRDefault="000C14F0" w:rsidP="00C02F1B">
            <w:pPr>
              <w:spacing w:before="38"/>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340A5F" w:rsidRPr="0098297F" w:rsidTr="00340A5F">
        <w:trPr>
          <w:trHeight w:val="113"/>
        </w:trPr>
        <w:tc>
          <w:tcPr>
            <w:tcW w:w="2114"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Καθαρά έσοδα από τόκους</w:t>
            </w:r>
          </w:p>
        </w:tc>
        <w:tc>
          <w:tcPr>
            <w:tcW w:w="481" w:type="pct"/>
            <w:tcBorders>
              <w:top w:val="single" w:sz="8" w:space="0" w:color="000000"/>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14 </w:t>
            </w:r>
          </w:p>
        </w:tc>
        <w:tc>
          <w:tcPr>
            <w:tcW w:w="481" w:type="pct"/>
            <w:tcBorders>
              <w:top w:val="single" w:sz="8" w:space="0" w:color="000000"/>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16 </w:t>
            </w:r>
          </w:p>
        </w:tc>
        <w:tc>
          <w:tcPr>
            <w:tcW w:w="481" w:type="pct"/>
            <w:tcBorders>
              <w:top w:val="single" w:sz="8" w:space="0" w:color="000000"/>
              <w:left w:val="nil"/>
              <w:bottom w:val="nil"/>
              <w:right w:val="nil"/>
            </w:tcBorders>
            <w:vAlign w:val="bottom"/>
          </w:tcPr>
          <w:p w:rsidR="00340A5F" w:rsidRPr="00C84853" w:rsidRDefault="00340A5F" w:rsidP="00340A5F">
            <w:pPr>
              <w:ind w:right="148"/>
              <w:jc w:val="right"/>
              <w:rPr>
                <w:rFonts w:ascii="Segoe UI" w:eastAsia="Times New Roman" w:hAnsi="Segoe UI" w:cs="Segoe UI"/>
                <w:bCs/>
                <w:i/>
                <w:color w:val="000000" w:themeColor="text1"/>
                <w:kern w:val="24"/>
                <w:sz w:val="14"/>
                <w:szCs w:val="16"/>
                <w:lang w:eastAsia="el-GR"/>
              </w:rPr>
            </w:pPr>
            <w:r w:rsidRPr="00C84853">
              <w:rPr>
                <w:rFonts w:ascii="Segoe UI" w:eastAsia="Times New Roman" w:hAnsi="Segoe UI" w:cs="Segoe UI"/>
                <w:bCs/>
                <w:i/>
                <w:color w:val="000000" w:themeColor="text1"/>
                <w:kern w:val="24"/>
                <w:sz w:val="14"/>
                <w:szCs w:val="16"/>
                <w:lang w:eastAsia="el-GR"/>
              </w:rPr>
              <w:t>-14%</w:t>
            </w:r>
          </w:p>
        </w:tc>
        <w:tc>
          <w:tcPr>
            <w:tcW w:w="481" w:type="pct"/>
            <w:tcBorders>
              <w:top w:val="single" w:sz="8" w:space="0" w:color="000000"/>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29 </w:t>
            </w:r>
          </w:p>
        </w:tc>
        <w:tc>
          <w:tcPr>
            <w:tcW w:w="481" w:type="pct"/>
            <w:tcBorders>
              <w:top w:val="single" w:sz="8" w:space="0" w:color="000000"/>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33 </w:t>
            </w:r>
          </w:p>
        </w:tc>
        <w:tc>
          <w:tcPr>
            <w:tcW w:w="480" w:type="pct"/>
            <w:tcBorders>
              <w:top w:val="single" w:sz="4" w:space="0" w:color="auto"/>
              <w:left w:val="nil"/>
              <w:bottom w:val="nil"/>
              <w:right w:val="nil"/>
            </w:tcBorders>
            <w:shd w:val="clear" w:color="auto" w:fill="auto"/>
            <w:tcMar>
              <w:top w:w="15" w:type="dxa"/>
              <w:left w:w="15" w:type="dxa"/>
              <w:bottom w:w="0" w:type="dxa"/>
              <w:right w:w="78" w:type="dxa"/>
            </w:tcMar>
            <w:vAlign w:val="bottom"/>
            <w:hideMark/>
          </w:tcPr>
          <w:p w:rsidR="00340A5F" w:rsidRPr="00340A5F" w:rsidRDefault="00340A5F" w:rsidP="00340A5F">
            <w:pPr>
              <w:ind w:right="148"/>
              <w:jc w:val="right"/>
              <w:rPr>
                <w:rFonts w:ascii="Segoe UI" w:eastAsia="Times New Roman" w:hAnsi="Segoe UI" w:cs="Segoe UI"/>
                <w:bCs/>
                <w:i/>
                <w:color w:val="000000" w:themeColor="text1"/>
                <w:kern w:val="24"/>
                <w:sz w:val="14"/>
                <w:szCs w:val="16"/>
                <w:lang w:eastAsia="el-GR"/>
              </w:rPr>
            </w:pPr>
            <w:r w:rsidRPr="00340A5F">
              <w:rPr>
                <w:rFonts w:ascii="Segoe UI" w:eastAsia="Times New Roman" w:hAnsi="Segoe UI" w:cs="Segoe UI"/>
                <w:bCs/>
                <w:i/>
                <w:color w:val="000000" w:themeColor="text1"/>
                <w:kern w:val="24"/>
                <w:sz w:val="14"/>
                <w:szCs w:val="16"/>
                <w:lang w:eastAsia="el-GR"/>
              </w:rPr>
              <w:t>-11%</w:t>
            </w:r>
          </w:p>
        </w:tc>
      </w:tr>
      <w:tr w:rsidR="00340A5F" w:rsidRPr="0098297F" w:rsidTr="00340A5F">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color w:val="000000" w:themeColor="text1"/>
                <w:kern w:val="24"/>
                <w:sz w:val="14"/>
                <w:szCs w:val="14"/>
                <w:lang w:eastAsia="el-GR"/>
              </w:rPr>
              <w:t>Καθαρά έσοδα από προμήθειες</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3 </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3 </w:t>
            </w:r>
          </w:p>
        </w:tc>
        <w:tc>
          <w:tcPr>
            <w:tcW w:w="481" w:type="pct"/>
            <w:tcBorders>
              <w:top w:val="nil"/>
              <w:left w:val="nil"/>
              <w:bottom w:val="nil"/>
              <w:right w:val="nil"/>
            </w:tcBorders>
            <w:vAlign w:val="bottom"/>
          </w:tcPr>
          <w:p w:rsidR="00340A5F" w:rsidRPr="00C84853" w:rsidRDefault="00340A5F" w:rsidP="00340A5F">
            <w:pPr>
              <w:ind w:right="148"/>
              <w:jc w:val="right"/>
              <w:rPr>
                <w:rFonts w:ascii="Segoe UI" w:eastAsia="Times New Roman" w:hAnsi="Segoe UI" w:cs="Segoe UI"/>
                <w:bCs/>
                <w:i/>
                <w:color w:val="000000" w:themeColor="text1"/>
                <w:kern w:val="24"/>
                <w:sz w:val="14"/>
                <w:szCs w:val="16"/>
                <w:lang w:eastAsia="el-GR"/>
              </w:rPr>
            </w:pPr>
            <w:r w:rsidRPr="00C84853">
              <w:rPr>
                <w:rFonts w:ascii="Segoe UI" w:eastAsia="Times New Roman" w:hAnsi="Segoe UI" w:cs="Segoe UI"/>
                <w:bCs/>
                <w:i/>
                <w:color w:val="000000" w:themeColor="text1"/>
                <w:kern w:val="24"/>
                <w:sz w:val="14"/>
                <w:szCs w:val="16"/>
                <w:lang w:eastAsia="el-GR"/>
              </w:rPr>
              <w:t>-19%</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6 </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7 </w:t>
            </w:r>
          </w:p>
        </w:tc>
        <w:tc>
          <w:tcPr>
            <w:tcW w:w="480" w:type="pct"/>
            <w:tcBorders>
              <w:top w:val="nil"/>
              <w:left w:val="nil"/>
              <w:bottom w:val="nil"/>
              <w:right w:val="nil"/>
            </w:tcBorders>
            <w:shd w:val="clear" w:color="auto" w:fill="auto"/>
            <w:tcMar>
              <w:top w:w="15" w:type="dxa"/>
              <w:left w:w="15" w:type="dxa"/>
              <w:bottom w:w="0" w:type="dxa"/>
              <w:right w:w="78" w:type="dxa"/>
            </w:tcMar>
            <w:vAlign w:val="bottom"/>
            <w:hideMark/>
          </w:tcPr>
          <w:p w:rsidR="00340A5F" w:rsidRPr="00340A5F" w:rsidRDefault="00340A5F" w:rsidP="00340A5F">
            <w:pPr>
              <w:ind w:right="148"/>
              <w:jc w:val="right"/>
              <w:rPr>
                <w:rFonts w:ascii="Segoe UI" w:eastAsia="Times New Roman" w:hAnsi="Segoe UI" w:cs="Segoe UI"/>
                <w:bCs/>
                <w:i/>
                <w:color w:val="000000" w:themeColor="text1"/>
                <w:kern w:val="24"/>
                <w:sz w:val="14"/>
                <w:szCs w:val="16"/>
                <w:lang w:eastAsia="el-GR"/>
              </w:rPr>
            </w:pPr>
            <w:r w:rsidRPr="00340A5F">
              <w:rPr>
                <w:rFonts w:ascii="Segoe UI" w:eastAsia="Times New Roman" w:hAnsi="Segoe UI" w:cs="Segoe UI"/>
                <w:bCs/>
                <w:i/>
                <w:color w:val="000000" w:themeColor="text1"/>
                <w:kern w:val="24"/>
                <w:sz w:val="14"/>
                <w:szCs w:val="16"/>
                <w:lang w:eastAsia="el-GR"/>
              </w:rPr>
              <w:t>-16%</w:t>
            </w:r>
          </w:p>
        </w:tc>
      </w:tr>
      <w:tr w:rsidR="00340A5F" w:rsidRPr="0098297F" w:rsidTr="00340A5F">
        <w:trPr>
          <w:trHeight w:val="113"/>
        </w:trPr>
        <w:tc>
          <w:tcPr>
            <w:tcW w:w="2114" w:type="pct"/>
            <w:tcBorders>
              <w:top w:val="nil"/>
              <w:left w:val="nil"/>
              <w:bottom w:val="nil"/>
              <w:right w:val="nil"/>
            </w:tcBorders>
            <w:shd w:val="clear" w:color="auto" w:fill="F2F2F2"/>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themeColor="text1"/>
                <w:kern w:val="24"/>
                <w:sz w:val="14"/>
                <w:szCs w:val="14"/>
                <w:lang w:eastAsia="el-GR"/>
              </w:rPr>
              <w:t>Οργανικά έσοδα</w:t>
            </w:r>
          </w:p>
        </w:tc>
        <w:tc>
          <w:tcPr>
            <w:tcW w:w="481" w:type="pct"/>
            <w:tcBorders>
              <w:top w:val="nil"/>
              <w:left w:val="nil"/>
              <w:bottom w:val="nil"/>
              <w:right w:val="nil"/>
            </w:tcBorders>
            <w:shd w:val="clear" w:color="auto" w:fill="F2F2F2" w:themeFill="background1" w:themeFillShade="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16 </w:t>
            </w:r>
          </w:p>
        </w:tc>
        <w:tc>
          <w:tcPr>
            <w:tcW w:w="481" w:type="pct"/>
            <w:tcBorders>
              <w:top w:val="nil"/>
              <w:left w:val="nil"/>
              <w:bottom w:val="nil"/>
              <w:right w:val="nil"/>
            </w:tcBorders>
            <w:shd w:val="clear" w:color="auto" w:fill="F2F2F2" w:themeFill="background1" w:themeFillShade="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19 </w:t>
            </w:r>
          </w:p>
        </w:tc>
        <w:tc>
          <w:tcPr>
            <w:tcW w:w="481" w:type="pct"/>
            <w:tcBorders>
              <w:top w:val="nil"/>
              <w:left w:val="nil"/>
              <w:bottom w:val="nil"/>
              <w:right w:val="nil"/>
            </w:tcBorders>
            <w:shd w:val="clear" w:color="auto" w:fill="F2F2F2" w:themeFill="background1" w:themeFillShade="F2"/>
            <w:vAlign w:val="bottom"/>
          </w:tcPr>
          <w:p w:rsidR="00340A5F" w:rsidRPr="00C84853" w:rsidRDefault="00340A5F" w:rsidP="00340A5F">
            <w:pPr>
              <w:ind w:right="148"/>
              <w:jc w:val="right"/>
              <w:rPr>
                <w:rFonts w:ascii="Segoe UI" w:eastAsia="Times New Roman" w:hAnsi="Segoe UI" w:cs="Segoe UI"/>
                <w:b/>
                <w:bCs/>
                <w:i/>
                <w:color w:val="000000" w:themeColor="text1"/>
                <w:kern w:val="24"/>
                <w:sz w:val="14"/>
                <w:szCs w:val="16"/>
                <w:lang w:eastAsia="el-GR"/>
              </w:rPr>
            </w:pPr>
            <w:r w:rsidRPr="00C84853">
              <w:rPr>
                <w:rFonts w:ascii="Segoe UI" w:eastAsia="Times New Roman" w:hAnsi="Segoe UI" w:cs="Segoe UI"/>
                <w:b/>
                <w:bCs/>
                <w:i/>
                <w:color w:val="000000" w:themeColor="text1"/>
                <w:kern w:val="24"/>
                <w:sz w:val="14"/>
                <w:szCs w:val="16"/>
                <w:lang w:eastAsia="el-GR"/>
              </w:rPr>
              <w:t>-15%</w:t>
            </w:r>
          </w:p>
        </w:tc>
        <w:tc>
          <w:tcPr>
            <w:tcW w:w="481" w:type="pct"/>
            <w:tcBorders>
              <w:top w:val="nil"/>
              <w:left w:val="nil"/>
              <w:bottom w:val="nil"/>
              <w:right w:val="nil"/>
            </w:tcBorders>
            <w:shd w:val="clear" w:color="auto" w:fill="F2F2F2" w:themeFill="background1" w:themeFillShade="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35 </w:t>
            </w:r>
          </w:p>
        </w:tc>
        <w:tc>
          <w:tcPr>
            <w:tcW w:w="481" w:type="pct"/>
            <w:tcBorders>
              <w:top w:val="nil"/>
              <w:left w:val="nil"/>
              <w:bottom w:val="nil"/>
              <w:right w:val="nil"/>
            </w:tcBorders>
            <w:shd w:val="clear" w:color="auto" w:fill="F2F2F2" w:themeFill="background1" w:themeFillShade="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40 </w:t>
            </w:r>
          </w:p>
        </w:tc>
        <w:tc>
          <w:tcPr>
            <w:tcW w:w="480" w:type="pct"/>
            <w:tcBorders>
              <w:top w:val="nil"/>
              <w:left w:val="nil"/>
              <w:bottom w:val="nil"/>
              <w:right w:val="nil"/>
            </w:tcBorders>
            <w:shd w:val="clear" w:color="000000" w:fill="F2F2F2"/>
            <w:tcMar>
              <w:top w:w="15" w:type="dxa"/>
              <w:left w:w="15" w:type="dxa"/>
              <w:bottom w:w="0" w:type="dxa"/>
              <w:right w:w="78" w:type="dxa"/>
            </w:tcMar>
            <w:vAlign w:val="bottom"/>
            <w:hideMark/>
          </w:tcPr>
          <w:p w:rsidR="00340A5F" w:rsidRPr="00340A5F" w:rsidRDefault="00340A5F" w:rsidP="00340A5F">
            <w:pPr>
              <w:ind w:right="148"/>
              <w:jc w:val="right"/>
              <w:rPr>
                <w:rFonts w:ascii="Segoe UI" w:eastAsia="Times New Roman" w:hAnsi="Segoe UI" w:cs="Segoe UI"/>
                <w:b/>
                <w:bCs/>
                <w:i/>
                <w:color w:val="000000" w:themeColor="text1"/>
                <w:kern w:val="24"/>
                <w:sz w:val="14"/>
                <w:szCs w:val="16"/>
                <w:lang w:eastAsia="el-GR"/>
              </w:rPr>
            </w:pPr>
            <w:r w:rsidRPr="00340A5F">
              <w:rPr>
                <w:rFonts w:ascii="Segoe UI" w:eastAsia="Times New Roman" w:hAnsi="Segoe UI" w:cs="Segoe UI"/>
                <w:b/>
                <w:bCs/>
                <w:i/>
                <w:color w:val="000000" w:themeColor="text1"/>
                <w:kern w:val="24"/>
                <w:sz w:val="14"/>
                <w:szCs w:val="16"/>
                <w:lang w:eastAsia="el-GR"/>
              </w:rPr>
              <w:t>-12%</w:t>
            </w:r>
          </w:p>
        </w:tc>
      </w:tr>
      <w:tr w:rsidR="00340A5F" w:rsidRPr="0098297F" w:rsidTr="00340A5F">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C62FEB">
              <w:rPr>
                <w:rFonts w:ascii="Segoe UI" w:eastAsia="Segoe UI" w:hAnsi="Segoe UI" w:cs="Segoe UI"/>
                <w:color w:val="000000"/>
                <w:kern w:val="24"/>
                <w:sz w:val="14"/>
                <w:szCs w:val="14"/>
                <w:lang w:eastAsia="el-GR"/>
              </w:rPr>
              <w:t>πράξεις και λοιπά έσοδα</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3 </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(1) </w:t>
            </w:r>
          </w:p>
        </w:tc>
        <w:tc>
          <w:tcPr>
            <w:tcW w:w="481" w:type="pct"/>
            <w:tcBorders>
              <w:top w:val="nil"/>
              <w:left w:val="nil"/>
              <w:bottom w:val="nil"/>
              <w:right w:val="nil"/>
            </w:tcBorders>
            <w:vAlign w:val="bottom"/>
          </w:tcPr>
          <w:p w:rsidR="00340A5F" w:rsidRPr="00C84853" w:rsidRDefault="00340A5F" w:rsidP="00340A5F">
            <w:pPr>
              <w:ind w:right="148"/>
              <w:jc w:val="right"/>
              <w:rPr>
                <w:rFonts w:ascii="Segoe UI" w:eastAsia="Times New Roman" w:hAnsi="Segoe UI" w:cs="Segoe UI"/>
                <w:bCs/>
                <w:i/>
                <w:color w:val="000000" w:themeColor="text1"/>
                <w:kern w:val="24"/>
                <w:sz w:val="14"/>
                <w:szCs w:val="16"/>
                <w:lang w:eastAsia="el-GR"/>
              </w:rPr>
            </w:pPr>
            <w:r>
              <w:rPr>
                <w:rFonts w:ascii="Segoe UI" w:eastAsia="Times New Roman" w:hAnsi="Segoe UI" w:cs="Segoe UI"/>
                <w:bCs/>
                <w:i/>
                <w:color w:val="000000" w:themeColor="text1"/>
                <w:kern w:val="24"/>
                <w:sz w:val="14"/>
                <w:szCs w:val="16"/>
                <w:lang w:eastAsia="el-GR"/>
              </w:rPr>
              <w:t>--</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2 </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(4) </w:t>
            </w:r>
          </w:p>
        </w:tc>
        <w:tc>
          <w:tcPr>
            <w:tcW w:w="480" w:type="pct"/>
            <w:tcBorders>
              <w:top w:val="nil"/>
              <w:left w:val="nil"/>
              <w:bottom w:val="nil"/>
              <w:right w:val="nil"/>
            </w:tcBorders>
            <w:shd w:val="clear" w:color="auto" w:fill="auto"/>
            <w:tcMar>
              <w:top w:w="15" w:type="dxa"/>
              <w:left w:w="15" w:type="dxa"/>
              <w:bottom w:w="0" w:type="dxa"/>
              <w:right w:w="78" w:type="dxa"/>
            </w:tcMar>
            <w:vAlign w:val="bottom"/>
            <w:hideMark/>
          </w:tcPr>
          <w:p w:rsidR="00340A5F" w:rsidRPr="00340A5F" w:rsidRDefault="00340A5F" w:rsidP="00340A5F">
            <w:pPr>
              <w:ind w:right="148"/>
              <w:jc w:val="right"/>
              <w:rPr>
                <w:rFonts w:ascii="Segoe UI" w:eastAsia="Times New Roman" w:hAnsi="Segoe UI" w:cs="Segoe UI"/>
                <w:bCs/>
                <w:i/>
                <w:color w:val="000000" w:themeColor="text1"/>
                <w:kern w:val="24"/>
                <w:sz w:val="14"/>
                <w:szCs w:val="16"/>
                <w:lang w:eastAsia="el-GR"/>
              </w:rPr>
            </w:pPr>
            <w:r>
              <w:rPr>
                <w:rFonts w:ascii="Segoe UI" w:eastAsia="Times New Roman" w:hAnsi="Segoe UI" w:cs="Segoe UI"/>
                <w:bCs/>
                <w:i/>
                <w:color w:val="000000" w:themeColor="text1"/>
                <w:kern w:val="24"/>
                <w:sz w:val="14"/>
                <w:szCs w:val="16"/>
                <w:lang w:eastAsia="el-GR"/>
              </w:rPr>
              <w:t>--</w:t>
            </w:r>
          </w:p>
        </w:tc>
      </w:tr>
      <w:tr w:rsidR="00340A5F" w:rsidRPr="0098297F" w:rsidTr="00340A5F">
        <w:trPr>
          <w:trHeight w:val="113"/>
        </w:trPr>
        <w:tc>
          <w:tcPr>
            <w:tcW w:w="2114" w:type="pct"/>
            <w:tcBorders>
              <w:top w:val="nil"/>
              <w:left w:val="nil"/>
              <w:bottom w:val="nil"/>
              <w:right w:val="nil"/>
            </w:tcBorders>
            <w:shd w:val="clear" w:color="auto" w:fill="F2F2F2"/>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Καθαρά λειτουργικά έσοδα </w:t>
            </w:r>
          </w:p>
        </w:tc>
        <w:tc>
          <w:tcPr>
            <w:tcW w:w="481" w:type="pct"/>
            <w:tcBorders>
              <w:top w:val="nil"/>
              <w:left w:val="nil"/>
              <w:bottom w:val="nil"/>
              <w:right w:val="nil"/>
            </w:tcBorders>
            <w:shd w:val="clear" w:color="auto" w:fill="F2F2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19 </w:t>
            </w:r>
          </w:p>
        </w:tc>
        <w:tc>
          <w:tcPr>
            <w:tcW w:w="481" w:type="pct"/>
            <w:tcBorders>
              <w:top w:val="nil"/>
              <w:left w:val="nil"/>
              <w:bottom w:val="nil"/>
              <w:right w:val="nil"/>
            </w:tcBorders>
            <w:shd w:val="clear" w:color="auto" w:fill="F2F2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18 </w:t>
            </w:r>
          </w:p>
        </w:tc>
        <w:tc>
          <w:tcPr>
            <w:tcW w:w="481" w:type="pct"/>
            <w:tcBorders>
              <w:top w:val="nil"/>
              <w:left w:val="nil"/>
              <w:bottom w:val="nil"/>
              <w:right w:val="nil"/>
            </w:tcBorders>
            <w:shd w:val="clear" w:color="auto" w:fill="F2F2F2"/>
            <w:vAlign w:val="bottom"/>
          </w:tcPr>
          <w:p w:rsidR="00340A5F" w:rsidRPr="00C84853" w:rsidRDefault="00340A5F" w:rsidP="00340A5F">
            <w:pPr>
              <w:ind w:right="148"/>
              <w:jc w:val="right"/>
              <w:rPr>
                <w:rFonts w:ascii="Segoe UI" w:eastAsia="Times New Roman" w:hAnsi="Segoe UI" w:cs="Segoe UI"/>
                <w:b/>
                <w:bCs/>
                <w:i/>
                <w:color w:val="000000" w:themeColor="text1"/>
                <w:kern w:val="24"/>
                <w:sz w:val="14"/>
                <w:szCs w:val="16"/>
                <w:lang w:eastAsia="el-GR"/>
              </w:rPr>
            </w:pPr>
            <w:r w:rsidRPr="00C84853">
              <w:rPr>
                <w:rFonts w:ascii="Segoe UI" w:eastAsia="Times New Roman" w:hAnsi="Segoe UI" w:cs="Segoe UI"/>
                <w:b/>
                <w:bCs/>
                <w:i/>
                <w:color w:val="000000" w:themeColor="text1"/>
                <w:kern w:val="24"/>
                <w:sz w:val="14"/>
                <w:szCs w:val="16"/>
                <w:lang w:eastAsia="el-GR"/>
              </w:rPr>
              <w:t>7%</w:t>
            </w:r>
          </w:p>
        </w:tc>
        <w:tc>
          <w:tcPr>
            <w:tcW w:w="481" w:type="pct"/>
            <w:tcBorders>
              <w:top w:val="nil"/>
              <w:left w:val="nil"/>
              <w:bottom w:val="nil"/>
              <w:right w:val="nil"/>
            </w:tcBorders>
            <w:shd w:val="clear" w:color="auto" w:fill="F2F2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37 </w:t>
            </w:r>
          </w:p>
        </w:tc>
        <w:tc>
          <w:tcPr>
            <w:tcW w:w="481" w:type="pct"/>
            <w:tcBorders>
              <w:top w:val="nil"/>
              <w:left w:val="nil"/>
              <w:bottom w:val="nil"/>
              <w:right w:val="nil"/>
            </w:tcBorders>
            <w:shd w:val="clear" w:color="auto" w:fill="F2F2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37 </w:t>
            </w:r>
          </w:p>
        </w:tc>
        <w:tc>
          <w:tcPr>
            <w:tcW w:w="480" w:type="pct"/>
            <w:tcBorders>
              <w:top w:val="nil"/>
              <w:left w:val="nil"/>
              <w:bottom w:val="nil"/>
              <w:right w:val="nil"/>
            </w:tcBorders>
            <w:shd w:val="clear" w:color="000000" w:fill="F2F2F2"/>
            <w:tcMar>
              <w:top w:w="15" w:type="dxa"/>
              <w:left w:w="15" w:type="dxa"/>
              <w:bottom w:w="0" w:type="dxa"/>
              <w:right w:w="78" w:type="dxa"/>
            </w:tcMar>
            <w:vAlign w:val="bottom"/>
            <w:hideMark/>
          </w:tcPr>
          <w:p w:rsidR="00340A5F" w:rsidRPr="00340A5F" w:rsidRDefault="00340A5F" w:rsidP="00340A5F">
            <w:pPr>
              <w:ind w:right="148"/>
              <w:jc w:val="right"/>
              <w:rPr>
                <w:rFonts w:ascii="Segoe UI" w:eastAsia="Times New Roman" w:hAnsi="Segoe UI" w:cs="Segoe UI"/>
                <w:b/>
                <w:bCs/>
                <w:i/>
                <w:color w:val="000000" w:themeColor="text1"/>
                <w:kern w:val="24"/>
                <w:sz w:val="14"/>
                <w:szCs w:val="16"/>
                <w:lang w:eastAsia="el-GR"/>
              </w:rPr>
            </w:pPr>
            <w:r w:rsidRPr="00340A5F">
              <w:rPr>
                <w:rFonts w:ascii="Segoe UI" w:eastAsia="Times New Roman" w:hAnsi="Segoe UI" w:cs="Segoe UI"/>
                <w:b/>
                <w:bCs/>
                <w:i/>
                <w:color w:val="000000" w:themeColor="text1"/>
                <w:kern w:val="24"/>
                <w:sz w:val="14"/>
                <w:szCs w:val="16"/>
                <w:lang w:eastAsia="el-GR"/>
              </w:rPr>
              <w:t>1%</w:t>
            </w:r>
          </w:p>
        </w:tc>
      </w:tr>
      <w:tr w:rsidR="00340A5F" w:rsidRPr="0098297F" w:rsidTr="00340A5F">
        <w:trPr>
          <w:trHeight w:val="113"/>
        </w:trPr>
        <w:tc>
          <w:tcPr>
            <w:tcW w:w="2114" w:type="pct"/>
            <w:tcBorders>
              <w:top w:val="nil"/>
              <w:left w:val="nil"/>
              <w:right w:val="nil"/>
            </w:tcBorders>
            <w:shd w:val="clear" w:color="auto" w:fill="auto"/>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Λειτουργικές δαπάνες</w:t>
            </w:r>
          </w:p>
        </w:tc>
        <w:tc>
          <w:tcPr>
            <w:tcW w:w="481" w:type="pct"/>
            <w:tcBorders>
              <w:top w:val="nil"/>
              <w:left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(13) </w:t>
            </w:r>
          </w:p>
        </w:tc>
        <w:tc>
          <w:tcPr>
            <w:tcW w:w="481" w:type="pct"/>
            <w:tcBorders>
              <w:top w:val="nil"/>
              <w:left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(11) </w:t>
            </w:r>
          </w:p>
        </w:tc>
        <w:tc>
          <w:tcPr>
            <w:tcW w:w="481" w:type="pct"/>
            <w:tcBorders>
              <w:top w:val="nil"/>
              <w:left w:val="nil"/>
              <w:right w:val="nil"/>
            </w:tcBorders>
            <w:vAlign w:val="bottom"/>
          </w:tcPr>
          <w:p w:rsidR="00340A5F" w:rsidRPr="00C84853" w:rsidRDefault="00340A5F" w:rsidP="00340A5F">
            <w:pPr>
              <w:ind w:right="148"/>
              <w:jc w:val="right"/>
              <w:rPr>
                <w:rFonts w:ascii="Segoe UI" w:eastAsia="Times New Roman" w:hAnsi="Segoe UI" w:cs="Segoe UI"/>
                <w:bCs/>
                <w:i/>
                <w:color w:val="000000" w:themeColor="text1"/>
                <w:kern w:val="24"/>
                <w:sz w:val="14"/>
                <w:szCs w:val="16"/>
                <w:lang w:eastAsia="el-GR"/>
              </w:rPr>
            </w:pPr>
            <w:r w:rsidRPr="00C84853">
              <w:rPr>
                <w:rFonts w:ascii="Segoe UI" w:eastAsia="Times New Roman" w:hAnsi="Segoe UI" w:cs="Segoe UI"/>
                <w:bCs/>
                <w:i/>
                <w:color w:val="000000" w:themeColor="text1"/>
                <w:kern w:val="24"/>
                <w:sz w:val="14"/>
                <w:szCs w:val="16"/>
                <w:lang w:eastAsia="el-GR"/>
              </w:rPr>
              <w:t>23%</w:t>
            </w:r>
          </w:p>
        </w:tc>
        <w:tc>
          <w:tcPr>
            <w:tcW w:w="481" w:type="pct"/>
            <w:tcBorders>
              <w:top w:val="nil"/>
              <w:left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(24) </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(22) </w:t>
            </w:r>
          </w:p>
        </w:tc>
        <w:tc>
          <w:tcPr>
            <w:tcW w:w="480" w:type="pct"/>
            <w:tcBorders>
              <w:top w:val="nil"/>
              <w:left w:val="nil"/>
              <w:bottom w:val="nil"/>
              <w:right w:val="nil"/>
            </w:tcBorders>
            <w:shd w:val="clear" w:color="auto" w:fill="auto"/>
            <w:tcMar>
              <w:top w:w="15" w:type="dxa"/>
              <w:left w:w="15" w:type="dxa"/>
              <w:bottom w:w="0" w:type="dxa"/>
              <w:right w:w="78" w:type="dxa"/>
            </w:tcMar>
            <w:vAlign w:val="bottom"/>
            <w:hideMark/>
          </w:tcPr>
          <w:p w:rsidR="00340A5F" w:rsidRPr="00340A5F" w:rsidRDefault="00340A5F" w:rsidP="00340A5F">
            <w:pPr>
              <w:ind w:right="148"/>
              <w:jc w:val="right"/>
              <w:rPr>
                <w:rFonts w:ascii="Segoe UI" w:eastAsia="Times New Roman" w:hAnsi="Segoe UI" w:cs="Segoe UI"/>
                <w:bCs/>
                <w:i/>
                <w:color w:val="000000" w:themeColor="text1"/>
                <w:kern w:val="24"/>
                <w:sz w:val="14"/>
                <w:szCs w:val="16"/>
                <w:lang w:eastAsia="el-GR"/>
              </w:rPr>
            </w:pPr>
            <w:r w:rsidRPr="00340A5F">
              <w:rPr>
                <w:rFonts w:ascii="Segoe UI" w:eastAsia="Times New Roman" w:hAnsi="Segoe UI" w:cs="Segoe UI"/>
                <w:bCs/>
                <w:i/>
                <w:color w:val="000000" w:themeColor="text1"/>
                <w:kern w:val="24"/>
                <w:sz w:val="14"/>
                <w:szCs w:val="16"/>
                <w:lang w:eastAsia="el-GR"/>
              </w:rPr>
              <w:t>9%</w:t>
            </w:r>
          </w:p>
        </w:tc>
      </w:tr>
      <w:tr w:rsidR="00340A5F" w:rsidRPr="0098297F" w:rsidTr="00340A5F">
        <w:trPr>
          <w:trHeight w:val="113"/>
        </w:trPr>
        <w:tc>
          <w:tcPr>
            <w:tcW w:w="2114"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81" w:type="pct"/>
            <w:tcBorders>
              <w:top w:val="nil"/>
              <w:left w:val="nil"/>
              <w:bottom w:val="nil"/>
              <w:right w:val="nil"/>
            </w:tcBorders>
            <w:shd w:val="clear" w:color="auto" w:fill="F2F2F2" w:themeFill="background1" w:themeFillShade="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3 </w:t>
            </w:r>
          </w:p>
        </w:tc>
        <w:tc>
          <w:tcPr>
            <w:tcW w:w="481" w:type="pct"/>
            <w:tcBorders>
              <w:top w:val="nil"/>
              <w:left w:val="nil"/>
              <w:bottom w:val="nil"/>
              <w:right w:val="nil"/>
            </w:tcBorders>
            <w:shd w:val="clear" w:color="auto" w:fill="F2F2F2" w:themeFill="background1" w:themeFillShade="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8 </w:t>
            </w:r>
          </w:p>
        </w:tc>
        <w:tc>
          <w:tcPr>
            <w:tcW w:w="481" w:type="pct"/>
            <w:tcBorders>
              <w:top w:val="nil"/>
              <w:left w:val="nil"/>
              <w:bottom w:val="nil"/>
              <w:right w:val="nil"/>
            </w:tcBorders>
            <w:shd w:val="clear" w:color="auto" w:fill="F2F2F2" w:themeFill="background1" w:themeFillShade="F2"/>
            <w:vAlign w:val="bottom"/>
          </w:tcPr>
          <w:p w:rsidR="00340A5F" w:rsidRPr="00C84853" w:rsidRDefault="00340A5F" w:rsidP="00340A5F">
            <w:pPr>
              <w:ind w:right="148"/>
              <w:jc w:val="right"/>
              <w:rPr>
                <w:rFonts w:ascii="Segoe UI" w:eastAsia="Times New Roman" w:hAnsi="Segoe UI" w:cs="Segoe UI"/>
                <w:b/>
                <w:bCs/>
                <w:i/>
                <w:color w:val="000000" w:themeColor="text1"/>
                <w:kern w:val="24"/>
                <w:sz w:val="14"/>
                <w:szCs w:val="16"/>
                <w:lang w:eastAsia="el-GR"/>
              </w:rPr>
            </w:pPr>
            <w:r w:rsidRPr="00C84853">
              <w:rPr>
                <w:rFonts w:ascii="Segoe UI" w:eastAsia="Times New Roman" w:hAnsi="Segoe UI" w:cs="Segoe UI"/>
                <w:b/>
                <w:bCs/>
                <w:i/>
                <w:color w:val="000000" w:themeColor="text1"/>
                <w:kern w:val="24"/>
                <w:sz w:val="14"/>
                <w:szCs w:val="16"/>
                <w:lang w:eastAsia="el-GR"/>
              </w:rPr>
              <w:t>-62%</w:t>
            </w:r>
          </w:p>
        </w:tc>
        <w:tc>
          <w:tcPr>
            <w:tcW w:w="481" w:type="pct"/>
            <w:tcBorders>
              <w:top w:val="nil"/>
              <w:left w:val="nil"/>
              <w:bottom w:val="nil"/>
              <w:right w:val="nil"/>
            </w:tcBorders>
            <w:shd w:val="clear" w:color="auto" w:fill="F2F2F2" w:themeFill="background1" w:themeFillShade="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12 </w:t>
            </w:r>
          </w:p>
        </w:tc>
        <w:tc>
          <w:tcPr>
            <w:tcW w:w="481" w:type="pct"/>
            <w:tcBorders>
              <w:top w:val="nil"/>
              <w:left w:val="nil"/>
              <w:bottom w:val="nil"/>
              <w:right w:val="nil"/>
            </w:tcBorders>
            <w:shd w:val="clear" w:color="auto" w:fill="F2F2F2" w:themeFill="background1" w:themeFillShade="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18 </w:t>
            </w:r>
          </w:p>
        </w:tc>
        <w:tc>
          <w:tcPr>
            <w:tcW w:w="480" w:type="pct"/>
            <w:tcBorders>
              <w:top w:val="nil"/>
              <w:left w:val="nil"/>
              <w:bottom w:val="nil"/>
              <w:right w:val="nil"/>
            </w:tcBorders>
            <w:shd w:val="clear" w:color="000000" w:fill="F2F2F2"/>
            <w:tcMar>
              <w:top w:w="15" w:type="dxa"/>
              <w:left w:w="15" w:type="dxa"/>
              <w:bottom w:w="0" w:type="dxa"/>
              <w:right w:w="78" w:type="dxa"/>
            </w:tcMar>
            <w:vAlign w:val="bottom"/>
            <w:hideMark/>
          </w:tcPr>
          <w:p w:rsidR="00340A5F" w:rsidRPr="00340A5F" w:rsidRDefault="00340A5F" w:rsidP="00340A5F">
            <w:pPr>
              <w:ind w:right="148"/>
              <w:jc w:val="right"/>
              <w:rPr>
                <w:rFonts w:ascii="Segoe UI" w:eastAsia="Times New Roman" w:hAnsi="Segoe UI" w:cs="Segoe UI"/>
                <w:b/>
                <w:bCs/>
                <w:i/>
                <w:color w:val="000000" w:themeColor="text1"/>
                <w:kern w:val="24"/>
                <w:sz w:val="14"/>
                <w:szCs w:val="16"/>
                <w:lang w:eastAsia="el-GR"/>
              </w:rPr>
            </w:pPr>
            <w:r w:rsidRPr="00340A5F">
              <w:rPr>
                <w:rFonts w:ascii="Segoe UI" w:eastAsia="Times New Roman" w:hAnsi="Segoe UI" w:cs="Segoe UI"/>
                <w:b/>
                <w:bCs/>
                <w:i/>
                <w:color w:val="000000" w:themeColor="text1"/>
                <w:kern w:val="24"/>
                <w:sz w:val="14"/>
                <w:szCs w:val="16"/>
                <w:lang w:eastAsia="el-GR"/>
              </w:rPr>
              <w:t>-37%</w:t>
            </w:r>
          </w:p>
        </w:tc>
      </w:tr>
      <w:tr w:rsidR="00340A5F" w:rsidRPr="0098297F" w:rsidTr="00340A5F">
        <w:trPr>
          <w:trHeight w:val="113"/>
        </w:trPr>
        <w:tc>
          <w:tcPr>
            <w:tcW w:w="2114"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Κέρδη / (ζημίες) προ προβλέψεων</w:t>
            </w:r>
          </w:p>
        </w:tc>
        <w:tc>
          <w:tcPr>
            <w:tcW w:w="481" w:type="pct"/>
            <w:tcBorders>
              <w:top w:val="nil"/>
              <w:left w:val="nil"/>
              <w:bottom w:val="nil"/>
              <w:right w:val="nil"/>
            </w:tcBorders>
            <w:shd w:val="clear" w:color="auto" w:fill="F2F2F2" w:themeFill="background1" w:themeFillShade="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6 </w:t>
            </w:r>
          </w:p>
        </w:tc>
        <w:tc>
          <w:tcPr>
            <w:tcW w:w="481" w:type="pct"/>
            <w:tcBorders>
              <w:top w:val="nil"/>
              <w:left w:val="nil"/>
              <w:bottom w:val="nil"/>
              <w:right w:val="nil"/>
            </w:tcBorders>
            <w:shd w:val="clear" w:color="auto" w:fill="F2F2F2" w:themeFill="background1" w:themeFillShade="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7 </w:t>
            </w:r>
          </w:p>
        </w:tc>
        <w:tc>
          <w:tcPr>
            <w:tcW w:w="481" w:type="pct"/>
            <w:tcBorders>
              <w:top w:val="nil"/>
              <w:left w:val="nil"/>
              <w:bottom w:val="nil"/>
              <w:right w:val="nil"/>
            </w:tcBorders>
            <w:shd w:val="clear" w:color="auto" w:fill="F2F2F2" w:themeFill="background1" w:themeFillShade="F2"/>
            <w:vAlign w:val="bottom"/>
          </w:tcPr>
          <w:p w:rsidR="00340A5F" w:rsidRPr="00C84853" w:rsidRDefault="00340A5F" w:rsidP="00340A5F">
            <w:pPr>
              <w:ind w:right="148"/>
              <w:jc w:val="right"/>
              <w:rPr>
                <w:rFonts w:ascii="Segoe UI" w:eastAsia="Times New Roman" w:hAnsi="Segoe UI" w:cs="Segoe UI"/>
                <w:b/>
                <w:bCs/>
                <w:i/>
                <w:color w:val="000000" w:themeColor="text1"/>
                <w:kern w:val="24"/>
                <w:sz w:val="14"/>
                <w:szCs w:val="16"/>
                <w:lang w:eastAsia="el-GR"/>
              </w:rPr>
            </w:pPr>
            <w:r w:rsidRPr="00C84853">
              <w:rPr>
                <w:rFonts w:ascii="Segoe UI" w:eastAsia="Times New Roman" w:hAnsi="Segoe UI" w:cs="Segoe UI"/>
                <w:b/>
                <w:bCs/>
                <w:i/>
                <w:color w:val="000000" w:themeColor="text1"/>
                <w:kern w:val="24"/>
                <w:sz w:val="14"/>
                <w:szCs w:val="16"/>
                <w:lang w:eastAsia="el-GR"/>
              </w:rPr>
              <w:t>-15%</w:t>
            </w:r>
          </w:p>
        </w:tc>
        <w:tc>
          <w:tcPr>
            <w:tcW w:w="481" w:type="pct"/>
            <w:tcBorders>
              <w:top w:val="nil"/>
              <w:left w:val="nil"/>
              <w:bottom w:val="nil"/>
              <w:right w:val="nil"/>
            </w:tcBorders>
            <w:shd w:val="clear" w:color="auto" w:fill="F2F2F2" w:themeFill="background1" w:themeFillShade="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13 </w:t>
            </w:r>
          </w:p>
        </w:tc>
        <w:tc>
          <w:tcPr>
            <w:tcW w:w="481" w:type="pct"/>
            <w:tcBorders>
              <w:top w:val="nil"/>
              <w:left w:val="nil"/>
              <w:bottom w:val="nil"/>
              <w:right w:val="nil"/>
            </w:tcBorders>
            <w:shd w:val="clear" w:color="auto" w:fill="F2F2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15 </w:t>
            </w:r>
          </w:p>
        </w:tc>
        <w:tc>
          <w:tcPr>
            <w:tcW w:w="480" w:type="pct"/>
            <w:tcBorders>
              <w:top w:val="nil"/>
              <w:left w:val="nil"/>
              <w:bottom w:val="nil"/>
              <w:right w:val="nil"/>
            </w:tcBorders>
            <w:shd w:val="clear" w:color="000000" w:fill="F2F2F2"/>
            <w:tcMar>
              <w:top w:w="15" w:type="dxa"/>
              <w:left w:w="15" w:type="dxa"/>
              <w:bottom w:w="0" w:type="dxa"/>
              <w:right w:w="78" w:type="dxa"/>
            </w:tcMar>
            <w:vAlign w:val="bottom"/>
            <w:hideMark/>
          </w:tcPr>
          <w:p w:rsidR="00340A5F" w:rsidRPr="00340A5F" w:rsidRDefault="00340A5F" w:rsidP="00340A5F">
            <w:pPr>
              <w:ind w:right="148"/>
              <w:jc w:val="right"/>
              <w:rPr>
                <w:rFonts w:ascii="Segoe UI" w:eastAsia="Times New Roman" w:hAnsi="Segoe UI" w:cs="Segoe UI"/>
                <w:b/>
                <w:bCs/>
                <w:i/>
                <w:color w:val="000000" w:themeColor="text1"/>
                <w:kern w:val="24"/>
                <w:sz w:val="14"/>
                <w:szCs w:val="16"/>
                <w:lang w:eastAsia="el-GR"/>
              </w:rPr>
            </w:pPr>
            <w:r w:rsidRPr="00340A5F">
              <w:rPr>
                <w:rFonts w:ascii="Segoe UI" w:eastAsia="Times New Roman" w:hAnsi="Segoe UI" w:cs="Segoe UI"/>
                <w:b/>
                <w:bCs/>
                <w:i/>
                <w:color w:val="000000" w:themeColor="text1"/>
                <w:kern w:val="24"/>
                <w:sz w:val="14"/>
                <w:szCs w:val="16"/>
                <w:lang w:eastAsia="el-GR"/>
              </w:rPr>
              <w:t>-10%</w:t>
            </w:r>
          </w:p>
        </w:tc>
      </w:tr>
      <w:tr w:rsidR="00340A5F" w:rsidRPr="0098297F" w:rsidTr="00340A5F">
        <w:trPr>
          <w:trHeight w:val="113"/>
        </w:trPr>
        <w:tc>
          <w:tcPr>
            <w:tcW w:w="2114" w:type="pct"/>
            <w:tcBorders>
              <w:top w:val="nil"/>
              <w:left w:val="nil"/>
              <w:right w:val="nil"/>
            </w:tcBorders>
            <w:shd w:val="clear" w:color="auto" w:fill="auto"/>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Προβλέψεις για επισφαλή δάνεια</w:t>
            </w:r>
          </w:p>
        </w:tc>
        <w:tc>
          <w:tcPr>
            <w:tcW w:w="481" w:type="pct"/>
            <w:tcBorders>
              <w:top w:val="nil"/>
              <w:left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(2) </w:t>
            </w:r>
          </w:p>
        </w:tc>
        <w:tc>
          <w:tcPr>
            <w:tcW w:w="481" w:type="pct"/>
            <w:tcBorders>
              <w:top w:val="nil"/>
              <w:left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 </w:t>
            </w:r>
          </w:p>
        </w:tc>
        <w:tc>
          <w:tcPr>
            <w:tcW w:w="481" w:type="pct"/>
            <w:tcBorders>
              <w:top w:val="nil"/>
              <w:left w:val="nil"/>
              <w:right w:val="nil"/>
            </w:tcBorders>
            <w:vAlign w:val="bottom"/>
          </w:tcPr>
          <w:p w:rsidR="00340A5F" w:rsidRPr="00C84853" w:rsidRDefault="00340A5F" w:rsidP="00340A5F">
            <w:pPr>
              <w:ind w:right="148"/>
              <w:jc w:val="right"/>
              <w:rPr>
                <w:rFonts w:ascii="Segoe UI" w:eastAsia="Times New Roman" w:hAnsi="Segoe UI" w:cs="Segoe UI"/>
                <w:bCs/>
                <w:i/>
                <w:color w:val="000000" w:themeColor="text1"/>
                <w:kern w:val="24"/>
                <w:sz w:val="14"/>
                <w:szCs w:val="16"/>
                <w:lang w:eastAsia="el-GR"/>
              </w:rPr>
            </w:pPr>
            <w:r>
              <w:rPr>
                <w:rFonts w:ascii="Segoe UI" w:eastAsia="Times New Roman" w:hAnsi="Segoe UI" w:cs="Segoe UI"/>
                <w:bCs/>
                <w:i/>
                <w:color w:val="000000" w:themeColor="text1"/>
                <w:kern w:val="24"/>
                <w:sz w:val="14"/>
                <w:szCs w:val="16"/>
                <w:lang w:eastAsia="el-GR"/>
              </w:rPr>
              <w:t>--</w:t>
            </w:r>
          </w:p>
        </w:tc>
        <w:tc>
          <w:tcPr>
            <w:tcW w:w="481" w:type="pct"/>
            <w:tcBorders>
              <w:top w:val="nil"/>
              <w:left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(2) </w:t>
            </w:r>
          </w:p>
        </w:tc>
        <w:tc>
          <w:tcPr>
            <w:tcW w:w="481" w:type="pct"/>
            <w:tcBorders>
              <w:top w:val="nil"/>
              <w:left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(0) </w:t>
            </w:r>
          </w:p>
        </w:tc>
        <w:tc>
          <w:tcPr>
            <w:tcW w:w="480" w:type="pct"/>
            <w:tcBorders>
              <w:top w:val="nil"/>
              <w:left w:val="nil"/>
              <w:bottom w:val="nil"/>
              <w:right w:val="nil"/>
            </w:tcBorders>
            <w:shd w:val="clear" w:color="auto" w:fill="auto"/>
            <w:tcMar>
              <w:top w:w="15" w:type="dxa"/>
              <w:left w:w="15" w:type="dxa"/>
              <w:bottom w:w="0" w:type="dxa"/>
              <w:right w:w="78" w:type="dxa"/>
            </w:tcMar>
            <w:vAlign w:val="bottom"/>
            <w:hideMark/>
          </w:tcPr>
          <w:p w:rsidR="00340A5F" w:rsidRPr="00340A5F" w:rsidRDefault="00340A5F" w:rsidP="00340A5F">
            <w:pPr>
              <w:ind w:right="148"/>
              <w:jc w:val="right"/>
              <w:rPr>
                <w:rFonts w:ascii="Segoe UI" w:eastAsia="Times New Roman" w:hAnsi="Segoe UI" w:cs="Segoe UI"/>
                <w:bCs/>
                <w:i/>
                <w:color w:val="000000" w:themeColor="text1"/>
                <w:kern w:val="24"/>
                <w:sz w:val="14"/>
                <w:szCs w:val="16"/>
                <w:lang w:eastAsia="el-GR"/>
              </w:rPr>
            </w:pPr>
            <w:r w:rsidRPr="00340A5F">
              <w:rPr>
                <w:rFonts w:ascii="Segoe UI" w:eastAsia="Times New Roman" w:hAnsi="Segoe UI" w:cs="Segoe UI"/>
                <w:bCs/>
                <w:i/>
                <w:color w:val="000000" w:themeColor="text1"/>
                <w:kern w:val="24"/>
                <w:sz w:val="14"/>
                <w:szCs w:val="16"/>
                <w:lang w:eastAsia="el-GR"/>
              </w:rPr>
              <w:t>&gt;100%</w:t>
            </w:r>
          </w:p>
        </w:tc>
      </w:tr>
      <w:tr w:rsidR="00340A5F" w:rsidRPr="0098297F" w:rsidTr="00340A5F">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Λειτουργικά κέρδη / (ζημίες)</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5 </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7 </w:t>
            </w:r>
          </w:p>
        </w:tc>
        <w:tc>
          <w:tcPr>
            <w:tcW w:w="481" w:type="pct"/>
            <w:tcBorders>
              <w:top w:val="nil"/>
              <w:left w:val="nil"/>
              <w:bottom w:val="nil"/>
              <w:right w:val="nil"/>
            </w:tcBorders>
            <w:shd w:val="clear" w:color="auto" w:fill="auto"/>
            <w:vAlign w:val="bottom"/>
          </w:tcPr>
          <w:p w:rsidR="00340A5F" w:rsidRPr="00C84853" w:rsidRDefault="00340A5F" w:rsidP="00340A5F">
            <w:pPr>
              <w:ind w:right="148"/>
              <w:jc w:val="right"/>
              <w:rPr>
                <w:rFonts w:ascii="Segoe UI" w:eastAsia="Times New Roman" w:hAnsi="Segoe UI" w:cs="Segoe UI"/>
                <w:b/>
                <w:bCs/>
                <w:i/>
                <w:color w:val="000000" w:themeColor="text1"/>
                <w:kern w:val="24"/>
                <w:sz w:val="14"/>
                <w:szCs w:val="16"/>
                <w:lang w:eastAsia="el-GR"/>
              </w:rPr>
            </w:pPr>
            <w:r w:rsidRPr="00C84853">
              <w:rPr>
                <w:rFonts w:ascii="Segoe UI" w:eastAsia="Times New Roman" w:hAnsi="Segoe UI" w:cs="Segoe UI"/>
                <w:b/>
                <w:bCs/>
                <w:i/>
                <w:color w:val="000000" w:themeColor="text1"/>
                <w:kern w:val="24"/>
                <w:sz w:val="14"/>
                <w:szCs w:val="16"/>
                <w:lang w:eastAsia="el-GR"/>
              </w:rPr>
              <w:t>-36%</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12 </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15 </w:t>
            </w:r>
          </w:p>
        </w:tc>
        <w:tc>
          <w:tcPr>
            <w:tcW w:w="480" w:type="pct"/>
            <w:tcBorders>
              <w:top w:val="nil"/>
              <w:left w:val="nil"/>
              <w:right w:val="nil"/>
            </w:tcBorders>
            <w:shd w:val="clear" w:color="auto" w:fill="auto"/>
            <w:tcMar>
              <w:top w:w="15" w:type="dxa"/>
              <w:left w:w="15" w:type="dxa"/>
              <w:bottom w:w="0" w:type="dxa"/>
              <w:right w:w="78" w:type="dxa"/>
            </w:tcMar>
            <w:vAlign w:val="bottom"/>
            <w:hideMark/>
          </w:tcPr>
          <w:p w:rsidR="00340A5F" w:rsidRPr="00340A5F" w:rsidRDefault="00340A5F" w:rsidP="00340A5F">
            <w:pPr>
              <w:ind w:right="148"/>
              <w:jc w:val="right"/>
              <w:rPr>
                <w:rFonts w:ascii="Segoe UI" w:eastAsia="Times New Roman" w:hAnsi="Segoe UI" w:cs="Segoe UI"/>
                <w:b/>
                <w:bCs/>
                <w:i/>
                <w:color w:val="000000" w:themeColor="text1"/>
                <w:kern w:val="24"/>
                <w:sz w:val="14"/>
                <w:szCs w:val="16"/>
                <w:lang w:eastAsia="el-GR"/>
              </w:rPr>
            </w:pPr>
            <w:r w:rsidRPr="00340A5F">
              <w:rPr>
                <w:rFonts w:ascii="Segoe UI" w:eastAsia="Times New Roman" w:hAnsi="Segoe UI" w:cs="Segoe UI"/>
                <w:b/>
                <w:bCs/>
                <w:i/>
                <w:color w:val="000000" w:themeColor="text1"/>
                <w:kern w:val="24"/>
                <w:sz w:val="14"/>
                <w:szCs w:val="16"/>
                <w:lang w:eastAsia="el-GR"/>
              </w:rPr>
              <w:t>-18%</w:t>
            </w:r>
          </w:p>
        </w:tc>
      </w:tr>
      <w:tr w:rsidR="00340A5F" w:rsidRPr="0098297F" w:rsidTr="00340A5F">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tcPr>
          <w:p w:rsidR="00340A5F" w:rsidRPr="00C62FEB" w:rsidRDefault="00340A5F" w:rsidP="00340A5F">
            <w:pPr>
              <w:textAlignment w:val="center"/>
              <w:rPr>
                <w:rFonts w:ascii="Segoe UI" w:eastAsia="Segoe UI" w:hAnsi="Segoe UI" w:cs="Segoe UI"/>
                <w:b/>
                <w:bCs/>
                <w:color w:val="000000"/>
                <w:kern w:val="24"/>
                <w:sz w:val="14"/>
                <w:szCs w:val="14"/>
                <w:lang w:eastAsia="el-GR"/>
              </w:rPr>
            </w:pPr>
            <w:r w:rsidRPr="00AF683D">
              <w:rPr>
                <w:rFonts w:ascii="Segoe UI" w:eastAsia="Segoe UI" w:hAnsi="Segoe UI" w:cs="Segoe UI"/>
                <w:b/>
                <w:bCs/>
                <w:color w:val="000000"/>
                <w:kern w:val="24"/>
                <w:sz w:val="14"/>
                <w:szCs w:val="14"/>
                <w:lang w:eastAsia="el-GR"/>
              </w:rPr>
              <w:t>Οργανικά κέρδη / (ζημίες)</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2 </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8 </w:t>
            </w:r>
          </w:p>
        </w:tc>
        <w:tc>
          <w:tcPr>
            <w:tcW w:w="481" w:type="pct"/>
            <w:tcBorders>
              <w:top w:val="nil"/>
              <w:left w:val="nil"/>
              <w:bottom w:val="nil"/>
              <w:right w:val="nil"/>
            </w:tcBorders>
            <w:shd w:val="clear" w:color="auto" w:fill="auto"/>
            <w:vAlign w:val="bottom"/>
          </w:tcPr>
          <w:p w:rsidR="00340A5F" w:rsidRPr="00C84853" w:rsidRDefault="00340A5F" w:rsidP="00340A5F">
            <w:pPr>
              <w:ind w:right="148"/>
              <w:jc w:val="right"/>
              <w:rPr>
                <w:rFonts w:ascii="Segoe UI" w:eastAsia="Times New Roman" w:hAnsi="Segoe UI" w:cs="Segoe UI"/>
                <w:b/>
                <w:bCs/>
                <w:i/>
                <w:color w:val="000000" w:themeColor="text1"/>
                <w:kern w:val="24"/>
                <w:sz w:val="14"/>
                <w:szCs w:val="16"/>
                <w:lang w:eastAsia="el-GR"/>
              </w:rPr>
            </w:pPr>
            <w:r w:rsidRPr="00C84853">
              <w:rPr>
                <w:rFonts w:ascii="Segoe UI" w:eastAsia="Times New Roman" w:hAnsi="Segoe UI" w:cs="Segoe UI"/>
                <w:b/>
                <w:bCs/>
                <w:i/>
                <w:color w:val="000000" w:themeColor="text1"/>
                <w:kern w:val="24"/>
                <w:sz w:val="14"/>
                <w:szCs w:val="16"/>
                <w:lang w:eastAsia="el-GR"/>
              </w:rPr>
              <w:t>-80%</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10 </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18 </w:t>
            </w:r>
          </w:p>
        </w:tc>
        <w:tc>
          <w:tcPr>
            <w:tcW w:w="480" w:type="pct"/>
            <w:tcBorders>
              <w:top w:val="nil"/>
              <w:bottom w:val="nil"/>
              <w:right w:val="nil"/>
            </w:tcBorders>
            <w:shd w:val="clear" w:color="auto" w:fill="F2F2F2" w:themeFill="background1" w:themeFillShade="F2"/>
            <w:tcMar>
              <w:top w:w="15" w:type="dxa"/>
              <w:left w:w="15" w:type="dxa"/>
              <w:bottom w:w="0" w:type="dxa"/>
              <w:right w:w="78" w:type="dxa"/>
            </w:tcMar>
            <w:vAlign w:val="bottom"/>
          </w:tcPr>
          <w:p w:rsidR="00340A5F" w:rsidRPr="00340A5F" w:rsidRDefault="00340A5F" w:rsidP="00340A5F">
            <w:pPr>
              <w:ind w:right="148"/>
              <w:jc w:val="right"/>
              <w:rPr>
                <w:rFonts w:ascii="Segoe UI" w:eastAsia="Times New Roman" w:hAnsi="Segoe UI" w:cs="Segoe UI"/>
                <w:b/>
                <w:bCs/>
                <w:i/>
                <w:color w:val="000000" w:themeColor="text1"/>
                <w:kern w:val="24"/>
                <w:sz w:val="14"/>
                <w:szCs w:val="16"/>
                <w:lang w:eastAsia="el-GR"/>
              </w:rPr>
            </w:pPr>
            <w:r w:rsidRPr="00340A5F">
              <w:rPr>
                <w:rFonts w:ascii="Segoe UI" w:eastAsia="Times New Roman" w:hAnsi="Segoe UI" w:cs="Segoe UI"/>
                <w:b/>
                <w:bCs/>
                <w:i/>
                <w:color w:val="000000" w:themeColor="text1"/>
                <w:kern w:val="24"/>
                <w:sz w:val="14"/>
                <w:szCs w:val="16"/>
                <w:lang w:eastAsia="el-GR"/>
              </w:rPr>
              <w:t>-44%</w:t>
            </w:r>
          </w:p>
        </w:tc>
      </w:tr>
      <w:tr w:rsidR="00340A5F" w:rsidRPr="0098297F" w:rsidTr="00340A5F">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Λοιπές προβλέψεις</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2 </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(2) </w:t>
            </w:r>
          </w:p>
        </w:tc>
        <w:tc>
          <w:tcPr>
            <w:tcW w:w="481" w:type="pct"/>
            <w:tcBorders>
              <w:top w:val="nil"/>
              <w:left w:val="nil"/>
              <w:bottom w:val="nil"/>
              <w:right w:val="nil"/>
            </w:tcBorders>
            <w:vAlign w:val="bottom"/>
          </w:tcPr>
          <w:p w:rsidR="00340A5F" w:rsidRPr="00C84853" w:rsidRDefault="00340A5F" w:rsidP="00340A5F">
            <w:pPr>
              <w:ind w:right="148"/>
              <w:jc w:val="right"/>
              <w:rPr>
                <w:rFonts w:ascii="Segoe UI" w:eastAsia="Times New Roman" w:hAnsi="Segoe UI" w:cs="Segoe UI"/>
                <w:bCs/>
                <w:i/>
                <w:color w:val="000000" w:themeColor="text1"/>
                <w:kern w:val="24"/>
                <w:sz w:val="14"/>
                <w:szCs w:val="16"/>
                <w:lang w:eastAsia="el-GR"/>
              </w:rPr>
            </w:pPr>
            <w:r>
              <w:rPr>
                <w:rFonts w:ascii="Segoe UI" w:eastAsia="Times New Roman" w:hAnsi="Segoe UI" w:cs="Segoe UI"/>
                <w:bCs/>
                <w:i/>
                <w:color w:val="000000" w:themeColor="text1"/>
                <w:kern w:val="24"/>
                <w:sz w:val="14"/>
                <w:szCs w:val="16"/>
                <w:lang w:eastAsia="el-GR"/>
              </w:rPr>
              <w:t>--</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1 </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(6) </w:t>
            </w:r>
          </w:p>
        </w:tc>
        <w:tc>
          <w:tcPr>
            <w:tcW w:w="480" w:type="pct"/>
            <w:tcBorders>
              <w:top w:val="nil"/>
              <w:left w:val="nil"/>
              <w:bottom w:val="nil"/>
              <w:right w:val="nil"/>
            </w:tcBorders>
            <w:shd w:val="clear" w:color="auto" w:fill="auto"/>
            <w:tcMar>
              <w:top w:w="15" w:type="dxa"/>
              <w:left w:w="15" w:type="dxa"/>
              <w:bottom w:w="0" w:type="dxa"/>
              <w:right w:w="84" w:type="dxa"/>
            </w:tcMar>
            <w:vAlign w:val="bottom"/>
            <w:hideMark/>
          </w:tcPr>
          <w:p w:rsidR="00340A5F" w:rsidRPr="00340A5F" w:rsidRDefault="00340A5F" w:rsidP="00340A5F">
            <w:pPr>
              <w:ind w:right="148"/>
              <w:jc w:val="right"/>
              <w:rPr>
                <w:rFonts w:ascii="Segoe UI" w:eastAsia="Times New Roman" w:hAnsi="Segoe UI" w:cs="Segoe UI"/>
                <w:bCs/>
                <w:i/>
                <w:color w:val="000000" w:themeColor="text1"/>
                <w:kern w:val="24"/>
                <w:sz w:val="14"/>
                <w:szCs w:val="16"/>
                <w:lang w:eastAsia="el-GR"/>
              </w:rPr>
            </w:pPr>
            <w:r>
              <w:rPr>
                <w:rFonts w:ascii="Segoe UI" w:eastAsia="Times New Roman" w:hAnsi="Segoe UI" w:cs="Segoe UI"/>
                <w:bCs/>
                <w:i/>
                <w:color w:val="000000" w:themeColor="text1"/>
                <w:kern w:val="24"/>
                <w:sz w:val="14"/>
                <w:szCs w:val="16"/>
                <w:lang w:eastAsia="el-GR"/>
              </w:rPr>
              <w:t>--</w:t>
            </w:r>
          </w:p>
        </w:tc>
      </w:tr>
      <w:tr w:rsidR="00340A5F" w:rsidRPr="0098297F" w:rsidTr="00340A5F">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40A5F" w:rsidRPr="00C1153F" w:rsidRDefault="00340A5F" w:rsidP="00340A5F">
            <w:pPr>
              <w:textAlignment w:val="center"/>
              <w:rPr>
                <w:rFonts w:ascii="Segoe UI" w:eastAsia="Times New Roman" w:hAnsi="Segoe UI" w:cs="Segoe UI"/>
                <w:b/>
                <w:sz w:val="14"/>
                <w:szCs w:val="14"/>
                <w:lang w:eastAsia="el-GR"/>
              </w:rPr>
            </w:pPr>
            <w:r w:rsidRPr="00C1153F">
              <w:rPr>
                <w:rFonts w:ascii="Segoe UI" w:eastAsia="Segoe UI" w:hAnsi="Segoe UI" w:cs="Segoe UI"/>
                <w:b/>
                <w:color w:val="000000"/>
                <w:kern w:val="24"/>
                <w:sz w:val="14"/>
                <w:szCs w:val="14"/>
                <w:lang w:eastAsia="el-GR"/>
              </w:rPr>
              <w:t>Κέρδη / (ζημίες) προ φόρων</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7 </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6 </w:t>
            </w:r>
          </w:p>
        </w:tc>
        <w:tc>
          <w:tcPr>
            <w:tcW w:w="481" w:type="pct"/>
            <w:tcBorders>
              <w:top w:val="nil"/>
              <w:left w:val="nil"/>
              <w:bottom w:val="nil"/>
              <w:right w:val="nil"/>
            </w:tcBorders>
            <w:vAlign w:val="bottom"/>
          </w:tcPr>
          <w:p w:rsidR="00340A5F" w:rsidRPr="00C84853" w:rsidRDefault="00340A5F" w:rsidP="00340A5F">
            <w:pPr>
              <w:ind w:right="148"/>
              <w:jc w:val="right"/>
              <w:rPr>
                <w:rFonts w:ascii="Segoe UI" w:eastAsia="Times New Roman" w:hAnsi="Segoe UI" w:cs="Segoe UI"/>
                <w:b/>
                <w:bCs/>
                <w:i/>
                <w:color w:val="000000" w:themeColor="text1"/>
                <w:kern w:val="24"/>
                <w:sz w:val="14"/>
                <w:szCs w:val="16"/>
                <w:lang w:eastAsia="el-GR"/>
              </w:rPr>
            </w:pPr>
            <w:r w:rsidRPr="00C84853">
              <w:rPr>
                <w:rFonts w:ascii="Segoe UI" w:eastAsia="Times New Roman" w:hAnsi="Segoe UI" w:cs="Segoe UI"/>
                <w:b/>
                <w:bCs/>
                <w:i/>
                <w:color w:val="000000" w:themeColor="text1"/>
                <w:kern w:val="24"/>
                <w:sz w:val="14"/>
                <w:szCs w:val="16"/>
                <w:lang w:eastAsia="el-GR"/>
              </w:rPr>
              <w:t>19%</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13 </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9 </w:t>
            </w:r>
          </w:p>
        </w:tc>
        <w:tc>
          <w:tcPr>
            <w:tcW w:w="480" w:type="pct"/>
            <w:tcBorders>
              <w:top w:val="nil"/>
              <w:left w:val="nil"/>
              <w:bottom w:val="nil"/>
              <w:right w:val="nil"/>
            </w:tcBorders>
            <w:shd w:val="clear" w:color="auto" w:fill="auto"/>
            <w:tcMar>
              <w:top w:w="15" w:type="dxa"/>
              <w:left w:w="15" w:type="dxa"/>
              <w:bottom w:w="0" w:type="dxa"/>
              <w:right w:w="84" w:type="dxa"/>
            </w:tcMar>
            <w:vAlign w:val="bottom"/>
            <w:hideMark/>
          </w:tcPr>
          <w:p w:rsidR="00340A5F" w:rsidRPr="00340A5F" w:rsidRDefault="00340A5F" w:rsidP="00340A5F">
            <w:pPr>
              <w:ind w:right="148"/>
              <w:jc w:val="right"/>
              <w:rPr>
                <w:rFonts w:ascii="Segoe UI" w:eastAsia="Times New Roman" w:hAnsi="Segoe UI" w:cs="Segoe UI"/>
                <w:b/>
                <w:bCs/>
                <w:i/>
                <w:color w:val="000000" w:themeColor="text1"/>
                <w:kern w:val="24"/>
                <w:sz w:val="14"/>
                <w:szCs w:val="16"/>
                <w:lang w:eastAsia="el-GR"/>
              </w:rPr>
            </w:pPr>
            <w:r w:rsidRPr="00340A5F">
              <w:rPr>
                <w:rFonts w:ascii="Segoe UI" w:eastAsia="Times New Roman" w:hAnsi="Segoe UI" w:cs="Segoe UI"/>
                <w:b/>
                <w:bCs/>
                <w:i/>
                <w:color w:val="000000" w:themeColor="text1"/>
                <w:kern w:val="24"/>
                <w:sz w:val="14"/>
                <w:szCs w:val="16"/>
                <w:lang w:eastAsia="el-GR"/>
              </w:rPr>
              <w:t>45%</w:t>
            </w:r>
          </w:p>
        </w:tc>
      </w:tr>
      <w:tr w:rsidR="00340A5F" w:rsidRPr="0098297F" w:rsidTr="00340A5F">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Φόροι </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(1) </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(3) </w:t>
            </w:r>
          </w:p>
        </w:tc>
        <w:tc>
          <w:tcPr>
            <w:tcW w:w="481" w:type="pct"/>
            <w:tcBorders>
              <w:top w:val="nil"/>
              <w:left w:val="nil"/>
              <w:bottom w:val="nil"/>
              <w:right w:val="nil"/>
            </w:tcBorders>
            <w:shd w:val="clear" w:color="auto" w:fill="auto"/>
            <w:vAlign w:val="bottom"/>
          </w:tcPr>
          <w:p w:rsidR="00340A5F" w:rsidRPr="00C84853" w:rsidRDefault="00340A5F" w:rsidP="00340A5F">
            <w:pPr>
              <w:ind w:right="148"/>
              <w:jc w:val="right"/>
              <w:rPr>
                <w:rFonts w:ascii="Segoe UI" w:eastAsia="Times New Roman" w:hAnsi="Segoe UI" w:cs="Segoe UI"/>
                <w:bCs/>
                <w:i/>
                <w:color w:val="000000" w:themeColor="text1"/>
                <w:kern w:val="24"/>
                <w:sz w:val="14"/>
                <w:szCs w:val="16"/>
                <w:lang w:eastAsia="el-GR"/>
              </w:rPr>
            </w:pPr>
            <w:r w:rsidRPr="00C84853">
              <w:rPr>
                <w:rFonts w:ascii="Segoe UI" w:eastAsia="Times New Roman" w:hAnsi="Segoe UI" w:cs="Segoe UI"/>
                <w:bCs/>
                <w:i/>
                <w:color w:val="000000" w:themeColor="text1"/>
                <w:kern w:val="24"/>
                <w:sz w:val="14"/>
                <w:szCs w:val="16"/>
                <w:lang w:eastAsia="el-GR"/>
              </w:rPr>
              <w:t>-59%</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(5) </w:t>
            </w:r>
          </w:p>
        </w:tc>
        <w:tc>
          <w:tcPr>
            <w:tcW w:w="481" w:type="pct"/>
            <w:tcBorders>
              <w:top w:val="nil"/>
              <w:left w:val="nil"/>
              <w:bottom w:val="nil"/>
              <w:right w:val="nil"/>
            </w:tcBorders>
            <w:shd w:val="clear" w:color="auto" w:fill="auto"/>
            <w:vAlign w:val="center"/>
          </w:tcPr>
          <w:p w:rsidR="00340A5F" w:rsidRPr="00C84853" w:rsidRDefault="00340A5F" w:rsidP="00340A5F">
            <w:pPr>
              <w:ind w:right="148"/>
              <w:jc w:val="right"/>
              <w:rPr>
                <w:rFonts w:ascii="Segoe UI" w:eastAsia="Times New Roman" w:hAnsi="Segoe UI" w:cs="Segoe UI"/>
                <w:bCs/>
                <w:color w:val="000000" w:themeColor="text1"/>
                <w:kern w:val="24"/>
                <w:sz w:val="14"/>
                <w:szCs w:val="16"/>
                <w:lang w:eastAsia="el-GR"/>
              </w:rPr>
            </w:pPr>
            <w:r w:rsidRPr="00C84853">
              <w:rPr>
                <w:rFonts w:ascii="Segoe UI" w:eastAsia="Times New Roman" w:hAnsi="Segoe UI" w:cs="Segoe UI"/>
                <w:bCs/>
                <w:color w:val="000000" w:themeColor="text1"/>
                <w:kern w:val="24"/>
                <w:sz w:val="14"/>
                <w:szCs w:val="16"/>
                <w:lang w:eastAsia="el-GR"/>
              </w:rPr>
              <w:t xml:space="preserve">(3) </w:t>
            </w:r>
          </w:p>
        </w:tc>
        <w:tc>
          <w:tcPr>
            <w:tcW w:w="480" w:type="pct"/>
            <w:tcBorders>
              <w:top w:val="nil"/>
              <w:left w:val="nil"/>
              <w:bottom w:val="nil"/>
              <w:right w:val="nil"/>
            </w:tcBorders>
            <w:shd w:val="clear" w:color="auto" w:fill="auto"/>
            <w:tcMar>
              <w:top w:w="15" w:type="dxa"/>
              <w:left w:w="15" w:type="dxa"/>
              <w:bottom w:w="0" w:type="dxa"/>
              <w:right w:w="84" w:type="dxa"/>
            </w:tcMar>
            <w:vAlign w:val="bottom"/>
            <w:hideMark/>
          </w:tcPr>
          <w:p w:rsidR="00340A5F" w:rsidRPr="00340A5F" w:rsidRDefault="00340A5F" w:rsidP="00340A5F">
            <w:pPr>
              <w:ind w:right="148"/>
              <w:jc w:val="right"/>
              <w:rPr>
                <w:rFonts w:ascii="Segoe UI" w:eastAsia="Times New Roman" w:hAnsi="Segoe UI" w:cs="Segoe UI"/>
                <w:bCs/>
                <w:i/>
                <w:color w:val="000000" w:themeColor="text1"/>
                <w:kern w:val="24"/>
                <w:sz w:val="14"/>
                <w:szCs w:val="16"/>
                <w:lang w:eastAsia="el-GR"/>
              </w:rPr>
            </w:pPr>
            <w:r w:rsidRPr="00340A5F">
              <w:rPr>
                <w:rFonts w:ascii="Segoe UI" w:eastAsia="Times New Roman" w:hAnsi="Segoe UI" w:cs="Segoe UI"/>
                <w:bCs/>
                <w:i/>
                <w:color w:val="000000" w:themeColor="text1"/>
                <w:kern w:val="24"/>
                <w:sz w:val="14"/>
                <w:szCs w:val="16"/>
                <w:lang w:eastAsia="el-GR"/>
              </w:rPr>
              <w:t>92%</w:t>
            </w:r>
          </w:p>
        </w:tc>
      </w:tr>
      <w:tr w:rsidR="00340A5F" w:rsidRPr="0098297F" w:rsidTr="00340A5F">
        <w:trPr>
          <w:trHeight w:val="113"/>
        </w:trPr>
        <w:tc>
          <w:tcPr>
            <w:tcW w:w="2114" w:type="pct"/>
            <w:tcBorders>
              <w:top w:val="nil"/>
              <w:left w:val="nil"/>
              <w:bottom w:val="nil"/>
              <w:right w:val="nil"/>
            </w:tcBorders>
            <w:shd w:val="clear" w:color="auto" w:fill="F2F2F2"/>
            <w:tcMar>
              <w:top w:w="15" w:type="dxa"/>
              <w:left w:w="42" w:type="dxa"/>
              <w:bottom w:w="0" w:type="dxa"/>
              <w:right w:w="15" w:type="dxa"/>
            </w:tcMar>
            <w:vAlign w:val="center"/>
            <w:hideMark/>
          </w:tcPr>
          <w:p w:rsidR="00340A5F" w:rsidRPr="00C62FEB" w:rsidRDefault="00340A5F" w:rsidP="00F5406B">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Κέρδη / (ζημίες) </w:t>
            </w:r>
            <w:r w:rsidR="00F5406B" w:rsidRPr="00F5406B">
              <w:rPr>
                <w:rFonts w:ascii="Segoe UI" w:eastAsia="Segoe UI" w:hAnsi="Segoe UI" w:cs="Segoe UI"/>
                <w:b/>
                <w:bCs/>
                <w:color w:val="000000"/>
                <w:kern w:val="24"/>
                <w:sz w:val="14"/>
                <w:szCs w:val="14"/>
                <w:lang w:eastAsia="el-GR"/>
              </w:rPr>
              <w:t xml:space="preserve">μετά από φόρους </w:t>
            </w:r>
            <w:r w:rsidRPr="00C62FEB">
              <w:rPr>
                <w:rFonts w:ascii="Segoe UI" w:eastAsia="Segoe UI" w:hAnsi="Segoe UI" w:cs="Segoe UI"/>
                <w:b/>
                <w:bCs/>
                <w:color w:val="000000"/>
                <w:kern w:val="24"/>
                <w:sz w:val="14"/>
                <w:szCs w:val="14"/>
                <w:lang w:eastAsia="el-GR"/>
              </w:rPr>
              <w:t>(</w:t>
            </w:r>
            <w:proofErr w:type="spellStart"/>
            <w:r w:rsidRPr="00C62FEB">
              <w:rPr>
                <w:rFonts w:ascii="Segoe UI" w:eastAsia="Segoe UI" w:hAnsi="Segoe UI" w:cs="Segoe UI"/>
                <w:b/>
                <w:bCs/>
                <w:color w:val="000000"/>
                <w:kern w:val="24"/>
                <w:sz w:val="14"/>
                <w:szCs w:val="14"/>
                <w:lang w:eastAsia="el-GR"/>
              </w:rPr>
              <w:t>συνεχ</w:t>
            </w:r>
            <w:proofErr w:type="spellEnd"/>
            <w:r w:rsidR="00F5406B">
              <w:rPr>
                <w:rFonts w:ascii="Segoe UI" w:eastAsia="Segoe UI" w:hAnsi="Segoe UI" w:cs="Segoe UI"/>
                <w:b/>
                <w:bCs/>
                <w:color w:val="000000"/>
                <w:kern w:val="24"/>
                <w:sz w:val="14"/>
                <w:szCs w:val="14"/>
                <w:lang w:eastAsia="el-GR"/>
              </w:rPr>
              <w:t>/</w:t>
            </w:r>
            <w:proofErr w:type="spellStart"/>
            <w:r w:rsidRPr="00C62FEB">
              <w:rPr>
                <w:rFonts w:ascii="Segoe UI" w:eastAsia="Segoe UI" w:hAnsi="Segoe UI" w:cs="Segoe UI"/>
                <w:b/>
                <w:bCs/>
                <w:color w:val="000000"/>
                <w:kern w:val="24"/>
                <w:sz w:val="14"/>
                <w:szCs w:val="14"/>
                <w:lang w:eastAsia="el-GR"/>
              </w:rPr>
              <w:t>μενες</w:t>
            </w:r>
            <w:proofErr w:type="spellEnd"/>
            <w:r w:rsidRPr="00C62FEB">
              <w:rPr>
                <w:rFonts w:ascii="Segoe UI" w:eastAsia="Segoe UI" w:hAnsi="Segoe UI" w:cs="Segoe UI"/>
                <w:b/>
                <w:bCs/>
                <w:color w:val="000000"/>
                <w:kern w:val="24"/>
                <w:sz w:val="14"/>
                <w:szCs w:val="14"/>
                <w:lang w:eastAsia="el-GR"/>
              </w:rPr>
              <w:t xml:space="preserve"> </w:t>
            </w:r>
            <w:proofErr w:type="spellStart"/>
            <w:r w:rsidRPr="00C62FEB">
              <w:rPr>
                <w:rFonts w:ascii="Segoe UI" w:eastAsia="Segoe UI" w:hAnsi="Segoe UI" w:cs="Segoe UI"/>
                <w:b/>
                <w:bCs/>
                <w:color w:val="000000"/>
                <w:kern w:val="24"/>
                <w:sz w:val="14"/>
                <w:szCs w:val="14"/>
                <w:lang w:eastAsia="el-GR"/>
              </w:rPr>
              <w:t>δραστ</w:t>
            </w:r>
            <w:proofErr w:type="spellEnd"/>
            <w:r w:rsidRPr="00C62FEB">
              <w:rPr>
                <w:rFonts w:ascii="Segoe UI" w:eastAsia="Segoe UI" w:hAnsi="Segoe UI" w:cs="Segoe UI"/>
                <w:b/>
                <w:bCs/>
                <w:color w:val="000000"/>
                <w:kern w:val="24"/>
                <w:sz w:val="14"/>
                <w:szCs w:val="14"/>
                <w:lang w:eastAsia="el-GR"/>
              </w:rPr>
              <w:t>/</w:t>
            </w:r>
            <w:proofErr w:type="spellStart"/>
            <w:r w:rsidRPr="00C62FEB">
              <w:rPr>
                <w:rFonts w:ascii="Segoe UI" w:eastAsia="Segoe UI" w:hAnsi="Segoe UI" w:cs="Segoe UI"/>
                <w:b/>
                <w:bCs/>
                <w:color w:val="000000"/>
                <w:kern w:val="24"/>
                <w:sz w:val="14"/>
                <w:szCs w:val="14"/>
                <w:lang w:eastAsia="el-GR"/>
              </w:rPr>
              <w:t>τητες</w:t>
            </w:r>
            <w:proofErr w:type="spellEnd"/>
            <w:r w:rsidRPr="00C62FEB">
              <w:rPr>
                <w:rFonts w:ascii="Segoe UI" w:eastAsia="Segoe UI" w:hAnsi="Segoe UI" w:cs="Segoe UI"/>
                <w:b/>
                <w:bCs/>
                <w:color w:val="000000"/>
                <w:kern w:val="24"/>
                <w:sz w:val="14"/>
                <w:szCs w:val="14"/>
                <w:lang w:eastAsia="el-GR"/>
              </w:rPr>
              <w:t>)</w:t>
            </w:r>
          </w:p>
        </w:tc>
        <w:tc>
          <w:tcPr>
            <w:tcW w:w="481" w:type="pct"/>
            <w:tcBorders>
              <w:top w:val="nil"/>
              <w:left w:val="nil"/>
              <w:bottom w:val="nil"/>
              <w:right w:val="nil"/>
            </w:tcBorders>
            <w:shd w:val="clear" w:color="auto" w:fill="F2F2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5 </w:t>
            </w:r>
          </w:p>
        </w:tc>
        <w:tc>
          <w:tcPr>
            <w:tcW w:w="481" w:type="pct"/>
            <w:tcBorders>
              <w:top w:val="nil"/>
              <w:left w:val="nil"/>
              <w:bottom w:val="nil"/>
              <w:right w:val="nil"/>
            </w:tcBorders>
            <w:shd w:val="clear" w:color="auto" w:fill="F2F2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2 </w:t>
            </w:r>
          </w:p>
        </w:tc>
        <w:tc>
          <w:tcPr>
            <w:tcW w:w="481" w:type="pct"/>
            <w:tcBorders>
              <w:top w:val="nil"/>
              <w:left w:val="nil"/>
              <w:bottom w:val="nil"/>
              <w:right w:val="nil"/>
            </w:tcBorders>
            <w:shd w:val="clear" w:color="auto" w:fill="F2F2F2"/>
            <w:vAlign w:val="bottom"/>
          </w:tcPr>
          <w:p w:rsidR="00340A5F" w:rsidRPr="00C84853" w:rsidRDefault="00340A5F" w:rsidP="00340A5F">
            <w:pPr>
              <w:ind w:right="148"/>
              <w:jc w:val="right"/>
              <w:rPr>
                <w:rFonts w:ascii="Segoe UI" w:eastAsia="Times New Roman" w:hAnsi="Segoe UI" w:cs="Segoe UI"/>
                <w:b/>
                <w:bCs/>
                <w:i/>
                <w:color w:val="000000" w:themeColor="text1"/>
                <w:kern w:val="24"/>
                <w:sz w:val="14"/>
                <w:szCs w:val="16"/>
                <w:lang w:eastAsia="el-GR"/>
              </w:rPr>
            </w:pPr>
            <w:r w:rsidRPr="00C84853">
              <w:rPr>
                <w:rFonts w:ascii="Segoe UI" w:eastAsia="Times New Roman" w:hAnsi="Segoe UI" w:cs="Segoe UI"/>
                <w:b/>
                <w:bCs/>
                <w:i/>
                <w:color w:val="000000" w:themeColor="text1"/>
                <w:kern w:val="24"/>
                <w:sz w:val="14"/>
                <w:szCs w:val="16"/>
                <w:lang w:eastAsia="el-GR"/>
              </w:rPr>
              <w:t>&gt;100%</w:t>
            </w:r>
          </w:p>
        </w:tc>
        <w:tc>
          <w:tcPr>
            <w:tcW w:w="481" w:type="pct"/>
            <w:tcBorders>
              <w:top w:val="nil"/>
              <w:left w:val="nil"/>
              <w:bottom w:val="nil"/>
              <w:right w:val="nil"/>
            </w:tcBorders>
            <w:shd w:val="clear" w:color="auto" w:fill="F2F2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8 </w:t>
            </w:r>
          </w:p>
        </w:tc>
        <w:tc>
          <w:tcPr>
            <w:tcW w:w="481" w:type="pct"/>
            <w:tcBorders>
              <w:top w:val="nil"/>
              <w:left w:val="nil"/>
              <w:bottom w:val="nil"/>
              <w:right w:val="nil"/>
            </w:tcBorders>
            <w:shd w:val="clear" w:color="auto" w:fill="F2F2F2"/>
            <w:vAlign w:val="center"/>
          </w:tcPr>
          <w:p w:rsidR="00340A5F" w:rsidRPr="00C84853" w:rsidRDefault="00340A5F" w:rsidP="00340A5F">
            <w:pPr>
              <w:ind w:right="148"/>
              <w:jc w:val="right"/>
              <w:rPr>
                <w:rFonts w:ascii="Segoe UI" w:eastAsia="Times New Roman" w:hAnsi="Segoe UI" w:cs="Segoe UI"/>
                <w:b/>
                <w:bCs/>
                <w:color w:val="000000" w:themeColor="text1"/>
                <w:kern w:val="24"/>
                <w:sz w:val="14"/>
                <w:szCs w:val="16"/>
                <w:lang w:eastAsia="el-GR"/>
              </w:rPr>
            </w:pPr>
            <w:r w:rsidRPr="00C84853">
              <w:rPr>
                <w:rFonts w:ascii="Segoe UI" w:eastAsia="Times New Roman" w:hAnsi="Segoe UI" w:cs="Segoe UI"/>
                <w:b/>
                <w:bCs/>
                <w:color w:val="000000" w:themeColor="text1"/>
                <w:kern w:val="24"/>
                <w:sz w:val="14"/>
                <w:szCs w:val="16"/>
                <w:lang w:eastAsia="el-GR"/>
              </w:rPr>
              <w:t xml:space="preserve">6 </w:t>
            </w:r>
          </w:p>
        </w:tc>
        <w:tc>
          <w:tcPr>
            <w:tcW w:w="480" w:type="pct"/>
            <w:tcBorders>
              <w:top w:val="nil"/>
              <w:left w:val="nil"/>
              <w:bottom w:val="nil"/>
              <w:right w:val="nil"/>
            </w:tcBorders>
            <w:shd w:val="clear" w:color="000000" w:fill="F2F2F2"/>
            <w:tcMar>
              <w:top w:w="15" w:type="dxa"/>
              <w:left w:w="15" w:type="dxa"/>
              <w:bottom w:w="0" w:type="dxa"/>
              <w:right w:w="84" w:type="dxa"/>
            </w:tcMar>
            <w:vAlign w:val="bottom"/>
            <w:hideMark/>
          </w:tcPr>
          <w:p w:rsidR="00340A5F" w:rsidRPr="00340A5F" w:rsidRDefault="00340A5F" w:rsidP="00340A5F">
            <w:pPr>
              <w:ind w:right="148"/>
              <w:jc w:val="right"/>
              <w:rPr>
                <w:rFonts w:ascii="Segoe UI" w:eastAsia="Times New Roman" w:hAnsi="Segoe UI" w:cs="Segoe UI"/>
                <w:b/>
                <w:bCs/>
                <w:i/>
                <w:color w:val="000000" w:themeColor="text1"/>
                <w:kern w:val="24"/>
                <w:sz w:val="14"/>
                <w:szCs w:val="16"/>
                <w:lang w:eastAsia="el-GR"/>
              </w:rPr>
            </w:pPr>
            <w:r w:rsidRPr="00340A5F">
              <w:rPr>
                <w:rFonts w:ascii="Segoe UI" w:eastAsia="Times New Roman" w:hAnsi="Segoe UI" w:cs="Segoe UI"/>
                <w:b/>
                <w:bCs/>
                <w:i/>
                <w:color w:val="000000" w:themeColor="text1"/>
                <w:kern w:val="24"/>
                <w:sz w:val="14"/>
                <w:szCs w:val="16"/>
                <w:lang w:eastAsia="el-GR"/>
              </w:rPr>
              <w:t>26%</w:t>
            </w:r>
          </w:p>
        </w:tc>
      </w:tr>
      <w:tr w:rsidR="00340A5F" w:rsidRPr="0098297F" w:rsidTr="00340A5F">
        <w:trPr>
          <w:trHeight w:val="113"/>
        </w:trPr>
        <w:tc>
          <w:tcPr>
            <w:tcW w:w="2114" w:type="pct"/>
            <w:tcBorders>
              <w:top w:val="nil"/>
              <w:left w:val="nil"/>
              <w:bottom w:val="nil"/>
              <w:right w:val="nil"/>
            </w:tcBorders>
            <w:shd w:val="clear" w:color="auto" w:fill="auto"/>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bCs/>
                <w:color w:val="000000"/>
                <w:kern w:val="24"/>
                <w:sz w:val="14"/>
                <w:szCs w:val="14"/>
                <w:lang w:eastAsia="el-GR"/>
              </w:rPr>
              <w:t xml:space="preserve">Κέρδη / (ζημίες) </w:t>
            </w:r>
            <w:r w:rsidR="00F5406B" w:rsidRPr="00F5406B">
              <w:rPr>
                <w:rFonts w:ascii="Segoe UI" w:eastAsia="Segoe UI" w:hAnsi="Segoe UI" w:cs="Segoe UI"/>
                <w:bCs/>
                <w:color w:val="000000"/>
                <w:kern w:val="24"/>
                <w:sz w:val="14"/>
                <w:szCs w:val="14"/>
                <w:lang w:eastAsia="el-GR"/>
              </w:rPr>
              <w:t xml:space="preserve">μετά από φόρους </w:t>
            </w:r>
            <w:r w:rsidRPr="00C62FEB">
              <w:rPr>
                <w:rFonts w:ascii="Segoe UI" w:eastAsia="Segoe UI" w:hAnsi="Segoe UI" w:cs="Segoe UI"/>
                <w:bCs/>
                <w:color w:val="000000"/>
                <w:kern w:val="24"/>
                <w:sz w:val="14"/>
                <w:szCs w:val="14"/>
                <w:lang w:eastAsia="el-GR"/>
              </w:rPr>
              <w:t>(διακοπείσες δραστηριότητες)</w:t>
            </w:r>
            <w:r>
              <w:rPr>
                <w:rFonts w:ascii="Segoe UI" w:eastAsia="Segoe UI" w:hAnsi="Segoe UI" w:cs="Segoe UI"/>
                <w:bCs/>
                <w:color w:val="000000"/>
                <w:kern w:val="24"/>
                <w:sz w:val="14"/>
                <w:szCs w:val="14"/>
                <w:vertAlign w:val="superscript"/>
                <w:lang w:eastAsia="el-GR"/>
              </w:rPr>
              <w:t>2</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Segoe UI" w:hAnsi="Segoe UI" w:cs="Segoe UI"/>
                <w:color w:val="000000"/>
                <w:kern w:val="24"/>
                <w:sz w:val="14"/>
                <w:szCs w:val="16"/>
                <w:lang w:val="en-US" w:eastAsia="en-GB"/>
              </w:rPr>
            </w:pPr>
            <w:r w:rsidRPr="00C84853">
              <w:rPr>
                <w:rFonts w:ascii="Segoe UI" w:eastAsia="Segoe UI" w:hAnsi="Segoe UI" w:cs="Segoe UI"/>
                <w:color w:val="000000"/>
                <w:kern w:val="24"/>
                <w:sz w:val="14"/>
                <w:szCs w:val="16"/>
                <w:lang w:val="en-US" w:eastAsia="en-GB"/>
              </w:rPr>
              <w:t xml:space="preserve">(4) </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Segoe UI" w:hAnsi="Segoe UI" w:cs="Segoe UI"/>
                <w:color w:val="000000"/>
                <w:kern w:val="24"/>
                <w:sz w:val="14"/>
                <w:szCs w:val="16"/>
                <w:lang w:val="en-US" w:eastAsia="en-GB"/>
              </w:rPr>
            </w:pPr>
            <w:r w:rsidRPr="00C84853">
              <w:rPr>
                <w:rFonts w:ascii="Segoe UI" w:eastAsia="Segoe UI" w:hAnsi="Segoe UI" w:cs="Segoe UI"/>
                <w:color w:val="000000"/>
                <w:kern w:val="24"/>
                <w:sz w:val="14"/>
                <w:szCs w:val="16"/>
                <w:lang w:val="en-US" w:eastAsia="en-GB"/>
              </w:rPr>
              <w:t xml:space="preserve">(1) </w:t>
            </w:r>
          </w:p>
        </w:tc>
        <w:tc>
          <w:tcPr>
            <w:tcW w:w="481" w:type="pct"/>
            <w:tcBorders>
              <w:top w:val="nil"/>
              <w:left w:val="nil"/>
              <w:bottom w:val="nil"/>
              <w:right w:val="nil"/>
            </w:tcBorders>
            <w:vAlign w:val="bottom"/>
          </w:tcPr>
          <w:p w:rsidR="00340A5F" w:rsidRPr="00C84853" w:rsidRDefault="00340A5F" w:rsidP="00340A5F">
            <w:pPr>
              <w:ind w:right="148"/>
              <w:jc w:val="right"/>
              <w:rPr>
                <w:rFonts w:ascii="Segoe UI" w:eastAsia="Segoe UI" w:hAnsi="Segoe UI" w:cs="Segoe UI"/>
                <w:i/>
                <w:color w:val="000000"/>
                <w:kern w:val="24"/>
                <w:sz w:val="14"/>
                <w:szCs w:val="16"/>
                <w:lang w:val="en-US" w:eastAsia="en-GB"/>
              </w:rPr>
            </w:pPr>
            <w:r w:rsidRPr="00C84853">
              <w:rPr>
                <w:rFonts w:ascii="Segoe UI" w:eastAsia="Segoe UI" w:hAnsi="Segoe UI" w:cs="Segoe UI"/>
                <w:i/>
                <w:color w:val="000000"/>
                <w:kern w:val="24"/>
                <w:sz w:val="14"/>
                <w:szCs w:val="16"/>
                <w:lang w:val="en-US" w:eastAsia="en-GB"/>
              </w:rPr>
              <w:t>&gt;100%</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Segoe UI" w:hAnsi="Segoe UI" w:cs="Segoe UI"/>
                <w:color w:val="000000"/>
                <w:kern w:val="24"/>
                <w:sz w:val="14"/>
                <w:szCs w:val="16"/>
                <w:lang w:val="en-US" w:eastAsia="en-GB"/>
              </w:rPr>
            </w:pPr>
            <w:r w:rsidRPr="00C84853">
              <w:rPr>
                <w:rFonts w:ascii="Segoe UI" w:eastAsia="Segoe UI" w:hAnsi="Segoe UI" w:cs="Segoe UI"/>
                <w:color w:val="000000"/>
                <w:kern w:val="24"/>
                <w:sz w:val="14"/>
                <w:szCs w:val="16"/>
                <w:lang w:val="en-US" w:eastAsia="en-GB"/>
              </w:rPr>
              <w:t xml:space="preserve">(5) </w:t>
            </w:r>
          </w:p>
        </w:tc>
        <w:tc>
          <w:tcPr>
            <w:tcW w:w="481" w:type="pct"/>
            <w:tcBorders>
              <w:top w:val="nil"/>
              <w:left w:val="nil"/>
              <w:bottom w:val="nil"/>
              <w:right w:val="nil"/>
            </w:tcBorders>
            <w:vAlign w:val="center"/>
          </w:tcPr>
          <w:p w:rsidR="00340A5F" w:rsidRPr="00C84853" w:rsidRDefault="00340A5F" w:rsidP="00340A5F">
            <w:pPr>
              <w:ind w:right="148"/>
              <w:jc w:val="right"/>
              <w:rPr>
                <w:rFonts w:ascii="Segoe UI" w:eastAsia="Segoe UI" w:hAnsi="Segoe UI" w:cs="Segoe UI"/>
                <w:color w:val="000000"/>
                <w:kern w:val="24"/>
                <w:sz w:val="14"/>
                <w:szCs w:val="16"/>
                <w:lang w:val="en-US" w:eastAsia="en-GB"/>
              </w:rPr>
            </w:pPr>
            <w:r w:rsidRPr="00C84853">
              <w:rPr>
                <w:rFonts w:ascii="Segoe UI" w:eastAsia="Segoe UI" w:hAnsi="Segoe UI" w:cs="Segoe UI"/>
                <w:color w:val="000000"/>
                <w:kern w:val="24"/>
                <w:sz w:val="14"/>
                <w:szCs w:val="16"/>
                <w:lang w:val="en-US" w:eastAsia="en-GB"/>
              </w:rPr>
              <w:t xml:space="preserve">25 </w:t>
            </w:r>
          </w:p>
        </w:tc>
        <w:tc>
          <w:tcPr>
            <w:tcW w:w="480" w:type="pct"/>
            <w:tcBorders>
              <w:top w:val="nil"/>
              <w:left w:val="nil"/>
              <w:bottom w:val="nil"/>
              <w:right w:val="nil"/>
            </w:tcBorders>
            <w:shd w:val="clear" w:color="auto" w:fill="auto"/>
            <w:tcMar>
              <w:top w:w="15" w:type="dxa"/>
              <w:left w:w="15" w:type="dxa"/>
              <w:bottom w:w="0" w:type="dxa"/>
              <w:right w:w="84" w:type="dxa"/>
            </w:tcMar>
            <w:vAlign w:val="bottom"/>
            <w:hideMark/>
          </w:tcPr>
          <w:p w:rsidR="00340A5F" w:rsidRPr="00340A5F" w:rsidRDefault="00340A5F" w:rsidP="00340A5F">
            <w:pPr>
              <w:ind w:right="148"/>
              <w:jc w:val="right"/>
              <w:rPr>
                <w:rFonts w:ascii="Segoe UI" w:eastAsia="Segoe UI" w:hAnsi="Segoe UI" w:cs="Segoe UI"/>
                <w:i/>
                <w:color w:val="000000"/>
                <w:kern w:val="24"/>
                <w:sz w:val="14"/>
                <w:szCs w:val="16"/>
                <w:lang w:eastAsia="en-GB"/>
              </w:rPr>
            </w:pPr>
            <w:r>
              <w:rPr>
                <w:rFonts w:ascii="Segoe UI" w:eastAsia="Segoe UI" w:hAnsi="Segoe UI" w:cs="Segoe UI"/>
                <w:i/>
                <w:color w:val="000000"/>
                <w:kern w:val="24"/>
                <w:sz w:val="14"/>
                <w:szCs w:val="16"/>
                <w:lang w:eastAsia="en-GB"/>
              </w:rPr>
              <w:t>--</w:t>
            </w:r>
          </w:p>
        </w:tc>
      </w:tr>
      <w:tr w:rsidR="00340A5F" w:rsidRPr="0098297F" w:rsidTr="00340A5F">
        <w:trPr>
          <w:trHeight w:val="113"/>
        </w:trPr>
        <w:tc>
          <w:tcPr>
            <w:tcW w:w="2114" w:type="pct"/>
            <w:tcBorders>
              <w:top w:val="nil"/>
              <w:left w:val="nil"/>
              <w:right w:val="nil"/>
            </w:tcBorders>
            <w:shd w:val="clear" w:color="auto" w:fill="auto"/>
            <w:tcMar>
              <w:top w:w="15" w:type="dxa"/>
              <w:left w:w="42" w:type="dxa"/>
              <w:bottom w:w="0" w:type="dxa"/>
              <w:right w:w="15" w:type="dxa"/>
            </w:tcMar>
            <w:vAlign w:val="center"/>
            <w:hideMark/>
          </w:tcPr>
          <w:p w:rsidR="00340A5F" w:rsidRPr="00C62FEB" w:rsidRDefault="00340A5F" w:rsidP="00340A5F">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Δικαιώματα μειοψηφίας</w:t>
            </w:r>
          </w:p>
        </w:tc>
        <w:tc>
          <w:tcPr>
            <w:tcW w:w="481" w:type="pct"/>
            <w:tcBorders>
              <w:top w:val="nil"/>
              <w:left w:val="nil"/>
              <w:right w:val="nil"/>
            </w:tcBorders>
            <w:vAlign w:val="center"/>
          </w:tcPr>
          <w:p w:rsidR="00340A5F" w:rsidRPr="00C84853" w:rsidRDefault="00340A5F" w:rsidP="00340A5F">
            <w:pPr>
              <w:ind w:right="148"/>
              <w:jc w:val="right"/>
              <w:rPr>
                <w:rFonts w:ascii="Segoe UI" w:eastAsia="Segoe UI" w:hAnsi="Segoe UI" w:cs="Segoe UI"/>
                <w:color w:val="000000"/>
                <w:kern w:val="24"/>
                <w:sz w:val="14"/>
                <w:szCs w:val="16"/>
                <w:lang w:val="en-US" w:eastAsia="en-GB"/>
              </w:rPr>
            </w:pPr>
            <w:r w:rsidRPr="00C84853">
              <w:rPr>
                <w:rFonts w:ascii="Segoe UI" w:eastAsia="Segoe UI" w:hAnsi="Segoe UI" w:cs="Segoe UI"/>
                <w:color w:val="000000"/>
                <w:kern w:val="24"/>
                <w:sz w:val="14"/>
                <w:szCs w:val="16"/>
                <w:lang w:val="en-US" w:eastAsia="en-GB"/>
              </w:rPr>
              <w:t xml:space="preserve">(0) </w:t>
            </w:r>
          </w:p>
        </w:tc>
        <w:tc>
          <w:tcPr>
            <w:tcW w:w="481" w:type="pct"/>
            <w:tcBorders>
              <w:top w:val="nil"/>
              <w:left w:val="nil"/>
              <w:right w:val="nil"/>
            </w:tcBorders>
            <w:vAlign w:val="center"/>
          </w:tcPr>
          <w:p w:rsidR="00340A5F" w:rsidRPr="00C84853" w:rsidRDefault="00340A5F" w:rsidP="00340A5F">
            <w:pPr>
              <w:ind w:right="148"/>
              <w:jc w:val="right"/>
              <w:rPr>
                <w:rFonts w:ascii="Segoe UI" w:eastAsia="Segoe UI" w:hAnsi="Segoe UI" w:cs="Segoe UI"/>
                <w:color w:val="000000"/>
                <w:kern w:val="24"/>
                <w:sz w:val="14"/>
                <w:szCs w:val="16"/>
                <w:lang w:val="en-US" w:eastAsia="en-GB"/>
              </w:rPr>
            </w:pPr>
            <w:r w:rsidRPr="00C84853">
              <w:rPr>
                <w:rFonts w:ascii="Segoe UI" w:eastAsia="Segoe UI" w:hAnsi="Segoe UI" w:cs="Segoe UI"/>
                <w:color w:val="000000"/>
                <w:kern w:val="24"/>
                <w:sz w:val="14"/>
                <w:szCs w:val="16"/>
                <w:lang w:val="en-US" w:eastAsia="en-GB"/>
              </w:rPr>
              <w:t xml:space="preserve">(1) </w:t>
            </w:r>
          </w:p>
        </w:tc>
        <w:tc>
          <w:tcPr>
            <w:tcW w:w="481" w:type="pct"/>
            <w:tcBorders>
              <w:top w:val="nil"/>
              <w:left w:val="nil"/>
              <w:right w:val="nil"/>
            </w:tcBorders>
            <w:vAlign w:val="bottom"/>
          </w:tcPr>
          <w:p w:rsidR="00340A5F" w:rsidRPr="00C84853" w:rsidRDefault="00340A5F" w:rsidP="00340A5F">
            <w:pPr>
              <w:ind w:right="148"/>
              <w:jc w:val="right"/>
              <w:rPr>
                <w:rFonts w:ascii="Segoe UI" w:eastAsia="Segoe UI" w:hAnsi="Segoe UI" w:cs="Segoe UI"/>
                <w:i/>
                <w:color w:val="000000"/>
                <w:kern w:val="24"/>
                <w:sz w:val="14"/>
                <w:szCs w:val="16"/>
                <w:lang w:val="en-US" w:eastAsia="en-GB"/>
              </w:rPr>
            </w:pPr>
            <w:r w:rsidRPr="00C84853">
              <w:rPr>
                <w:rFonts w:ascii="Segoe UI" w:eastAsia="Segoe UI" w:hAnsi="Segoe UI" w:cs="Segoe UI"/>
                <w:i/>
                <w:color w:val="000000"/>
                <w:kern w:val="24"/>
                <w:sz w:val="14"/>
                <w:szCs w:val="16"/>
                <w:lang w:val="en-US" w:eastAsia="en-GB"/>
              </w:rPr>
              <w:t>-20%</w:t>
            </w:r>
          </w:p>
        </w:tc>
        <w:tc>
          <w:tcPr>
            <w:tcW w:w="481" w:type="pct"/>
            <w:tcBorders>
              <w:top w:val="nil"/>
              <w:left w:val="nil"/>
              <w:right w:val="nil"/>
            </w:tcBorders>
            <w:vAlign w:val="center"/>
          </w:tcPr>
          <w:p w:rsidR="00340A5F" w:rsidRPr="00C84853" w:rsidRDefault="00340A5F" w:rsidP="00340A5F">
            <w:pPr>
              <w:ind w:right="148"/>
              <w:jc w:val="right"/>
              <w:rPr>
                <w:rFonts w:ascii="Segoe UI" w:eastAsia="Segoe UI" w:hAnsi="Segoe UI" w:cs="Segoe UI"/>
                <w:color w:val="000000"/>
                <w:kern w:val="24"/>
                <w:sz w:val="14"/>
                <w:szCs w:val="16"/>
                <w:lang w:val="en-US" w:eastAsia="en-GB"/>
              </w:rPr>
            </w:pPr>
            <w:r w:rsidRPr="00C84853">
              <w:rPr>
                <w:rFonts w:ascii="Segoe UI" w:eastAsia="Segoe UI" w:hAnsi="Segoe UI" w:cs="Segoe UI"/>
                <w:color w:val="000000"/>
                <w:kern w:val="24"/>
                <w:sz w:val="14"/>
                <w:szCs w:val="16"/>
                <w:lang w:val="en-US" w:eastAsia="en-GB"/>
              </w:rPr>
              <w:t xml:space="preserve">(1) </w:t>
            </w:r>
          </w:p>
        </w:tc>
        <w:tc>
          <w:tcPr>
            <w:tcW w:w="481" w:type="pct"/>
            <w:tcBorders>
              <w:top w:val="nil"/>
              <w:left w:val="nil"/>
              <w:right w:val="nil"/>
            </w:tcBorders>
            <w:vAlign w:val="center"/>
          </w:tcPr>
          <w:p w:rsidR="00340A5F" w:rsidRPr="00C84853" w:rsidRDefault="00340A5F" w:rsidP="00340A5F">
            <w:pPr>
              <w:ind w:right="148"/>
              <w:jc w:val="right"/>
              <w:rPr>
                <w:rFonts w:ascii="Segoe UI" w:eastAsia="Segoe UI" w:hAnsi="Segoe UI" w:cs="Segoe UI"/>
                <w:color w:val="000000"/>
                <w:kern w:val="24"/>
                <w:sz w:val="14"/>
                <w:szCs w:val="16"/>
                <w:lang w:val="en-US" w:eastAsia="en-GB"/>
              </w:rPr>
            </w:pPr>
            <w:r w:rsidRPr="00C84853">
              <w:rPr>
                <w:rFonts w:ascii="Segoe UI" w:eastAsia="Segoe UI" w:hAnsi="Segoe UI" w:cs="Segoe UI"/>
                <w:color w:val="000000"/>
                <w:kern w:val="24"/>
                <w:sz w:val="14"/>
                <w:szCs w:val="16"/>
                <w:lang w:val="en-US" w:eastAsia="en-GB"/>
              </w:rPr>
              <w:t xml:space="preserve">(1) </w:t>
            </w:r>
          </w:p>
        </w:tc>
        <w:tc>
          <w:tcPr>
            <w:tcW w:w="480" w:type="pct"/>
            <w:tcBorders>
              <w:top w:val="nil"/>
              <w:left w:val="nil"/>
              <w:bottom w:val="nil"/>
              <w:right w:val="nil"/>
            </w:tcBorders>
            <w:shd w:val="clear" w:color="auto" w:fill="auto"/>
            <w:tcMar>
              <w:top w:w="15" w:type="dxa"/>
              <w:left w:w="15" w:type="dxa"/>
              <w:bottom w:w="0" w:type="dxa"/>
              <w:right w:w="84" w:type="dxa"/>
            </w:tcMar>
            <w:vAlign w:val="bottom"/>
            <w:hideMark/>
          </w:tcPr>
          <w:p w:rsidR="00340A5F" w:rsidRPr="00340A5F" w:rsidRDefault="00340A5F" w:rsidP="00340A5F">
            <w:pPr>
              <w:ind w:right="148"/>
              <w:jc w:val="right"/>
              <w:rPr>
                <w:rFonts w:ascii="Segoe UI" w:eastAsia="Segoe UI" w:hAnsi="Segoe UI" w:cs="Segoe UI"/>
                <w:i/>
                <w:color w:val="000000"/>
                <w:kern w:val="24"/>
                <w:sz w:val="14"/>
                <w:szCs w:val="16"/>
                <w:lang w:val="en-US" w:eastAsia="en-GB"/>
              </w:rPr>
            </w:pPr>
            <w:r w:rsidRPr="00340A5F">
              <w:rPr>
                <w:rFonts w:ascii="Segoe UI" w:eastAsia="Segoe UI" w:hAnsi="Segoe UI" w:cs="Segoe UI"/>
                <w:i/>
                <w:color w:val="000000"/>
                <w:kern w:val="24"/>
                <w:sz w:val="14"/>
                <w:szCs w:val="16"/>
                <w:lang w:val="en-US" w:eastAsia="en-GB"/>
              </w:rPr>
              <w:t>-10%</w:t>
            </w:r>
          </w:p>
        </w:tc>
      </w:tr>
      <w:tr w:rsidR="00340A5F" w:rsidRPr="0098297F" w:rsidTr="00340A5F">
        <w:trPr>
          <w:trHeight w:val="113"/>
        </w:trPr>
        <w:tc>
          <w:tcPr>
            <w:tcW w:w="2114" w:type="pct"/>
            <w:tcBorders>
              <w:top w:val="nil"/>
              <w:left w:val="nil"/>
              <w:bottom w:val="single" w:sz="12" w:space="0" w:color="auto"/>
              <w:right w:val="nil"/>
            </w:tcBorders>
            <w:shd w:val="clear" w:color="auto" w:fill="F2F2F2" w:themeFill="background1" w:themeFillShade="F2"/>
            <w:tcMar>
              <w:top w:w="15" w:type="dxa"/>
              <w:left w:w="42" w:type="dxa"/>
              <w:bottom w:w="0" w:type="dxa"/>
              <w:right w:w="15" w:type="dxa"/>
            </w:tcMar>
            <w:vAlign w:val="center"/>
          </w:tcPr>
          <w:p w:rsidR="00340A5F" w:rsidRPr="00AB591B" w:rsidRDefault="00340A5F" w:rsidP="00976026">
            <w:pPr>
              <w:jc w:val="both"/>
              <w:textAlignment w:val="center"/>
              <w:rPr>
                <w:rFonts w:ascii="Segoe UI" w:eastAsia="Segoe UI" w:hAnsi="Segoe UI" w:cs="Segoe UI"/>
                <w:color w:val="000000"/>
                <w:kern w:val="24"/>
                <w:sz w:val="14"/>
                <w:szCs w:val="14"/>
                <w:lang w:eastAsia="el-GR"/>
              </w:rPr>
            </w:pPr>
            <w:r w:rsidRPr="00AB591B">
              <w:rPr>
                <w:rFonts w:ascii="Segoe UI" w:eastAsia="Segoe UI" w:hAnsi="Segoe UI" w:cs="Segoe UI"/>
                <w:b/>
                <w:color w:val="000000"/>
                <w:kern w:val="24"/>
                <w:sz w:val="14"/>
                <w:szCs w:val="14"/>
                <w:lang w:eastAsia="el-GR"/>
              </w:rPr>
              <w:t xml:space="preserve">Κέρδη / (ζημίες) </w:t>
            </w:r>
            <w:r>
              <w:rPr>
                <w:rFonts w:ascii="Segoe UI" w:eastAsia="Segoe UI" w:hAnsi="Segoe UI" w:cs="Segoe UI"/>
                <w:b/>
                <w:color w:val="000000"/>
                <w:kern w:val="24"/>
                <w:sz w:val="14"/>
                <w:szCs w:val="14"/>
                <w:lang w:eastAsia="el-GR"/>
              </w:rPr>
              <w:t xml:space="preserve">μετά </w:t>
            </w:r>
            <w:r w:rsidR="00976026" w:rsidRPr="00976026">
              <w:rPr>
                <w:rFonts w:ascii="Segoe UI" w:eastAsia="Segoe UI" w:hAnsi="Segoe UI" w:cs="Segoe UI"/>
                <w:b/>
                <w:color w:val="000000"/>
                <w:kern w:val="24"/>
                <w:sz w:val="14"/>
                <w:szCs w:val="14"/>
                <w:lang w:eastAsia="el-GR"/>
              </w:rPr>
              <w:t xml:space="preserve">από φόρους </w:t>
            </w:r>
            <w:r w:rsidRPr="00AB591B">
              <w:rPr>
                <w:rFonts w:ascii="Segoe UI" w:eastAsia="Segoe UI" w:hAnsi="Segoe UI" w:cs="Segoe UI"/>
                <w:b/>
                <w:color w:val="000000"/>
                <w:kern w:val="24"/>
                <w:sz w:val="14"/>
                <w:szCs w:val="14"/>
                <w:lang w:eastAsia="el-GR"/>
              </w:rPr>
              <w:t>περιόδου</w:t>
            </w:r>
          </w:p>
        </w:tc>
        <w:tc>
          <w:tcPr>
            <w:tcW w:w="481" w:type="pct"/>
            <w:tcBorders>
              <w:top w:val="nil"/>
              <w:left w:val="nil"/>
              <w:bottom w:val="single" w:sz="12" w:space="0" w:color="auto"/>
              <w:right w:val="nil"/>
            </w:tcBorders>
            <w:shd w:val="clear" w:color="auto" w:fill="F2F2F2" w:themeFill="background1" w:themeFillShade="F2"/>
            <w:vAlign w:val="center"/>
          </w:tcPr>
          <w:p w:rsidR="00340A5F" w:rsidRPr="00C84853" w:rsidRDefault="00340A5F" w:rsidP="00340A5F">
            <w:pPr>
              <w:ind w:right="148"/>
              <w:jc w:val="right"/>
              <w:rPr>
                <w:rFonts w:ascii="Segoe UI" w:eastAsia="Segoe UI" w:hAnsi="Segoe UI" w:cs="Segoe UI"/>
                <w:b/>
                <w:color w:val="000000"/>
                <w:kern w:val="24"/>
                <w:sz w:val="14"/>
                <w:szCs w:val="16"/>
                <w:lang w:val="en-US" w:eastAsia="en-GB"/>
              </w:rPr>
            </w:pPr>
            <w:r w:rsidRPr="00C84853">
              <w:rPr>
                <w:rFonts w:ascii="Segoe UI" w:eastAsia="Segoe UI" w:hAnsi="Segoe UI" w:cs="Segoe UI"/>
                <w:b/>
                <w:color w:val="000000"/>
                <w:kern w:val="24"/>
                <w:sz w:val="14"/>
                <w:szCs w:val="16"/>
                <w:lang w:val="en-US" w:eastAsia="en-GB"/>
              </w:rPr>
              <w:t xml:space="preserve">1 </w:t>
            </w:r>
          </w:p>
        </w:tc>
        <w:tc>
          <w:tcPr>
            <w:tcW w:w="481" w:type="pct"/>
            <w:tcBorders>
              <w:top w:val="nil"/>
              <w:left w:val="nil"/>
              <w:bottom w:val="single" w:sz="12" w:space="0" w:color="auto"/>
              <w:right w:val="nil"/>
            </w:tcBorders>
            <w:shd w:val="clear" w:color="auto" w:fill="F2F2F2" w:themeFill="background1" w:themeFillShade="F2"/>
            <w:vAlign w:val="center"/>
          </w:tcPr>
          <w:p w:rsidR="00340A5F" w:rsidRPr="00C84853" w:rsidRDefault="00340A5F" w:rsidP="00340A5F">
            <w:pPr>
              <w:ind w:right="148"/>
              <w:jc w:val="right"/>
              <w:rPr>
                <w:rFonts w:ascii="Segoe UI" w:eastAsia="Segoe UI" w:hAnsi="Segoe UI" w:cs="Segoe UI"/>
                <w:b/>
                <w:color w:val="000000"/>
                <w:kern w:val="24"/>
                <w:sz w:val="14"/>
                <w:szCs w:val="16"/>
                <w:lang w:val="en-US" w:eastAsia="en-GB"/>
              </w:rPr>
            </w:pPr>
            <w:r w:rsidRPr="00C84853">
              <w:rPr>
                <w:rFonts w:ascii="Segoe UI" w:eastAsia="Segoe UI" w:hAnsi="Segoe UI" w:cs="Segoe UI"/>
                <w:b/>
                <w:color w:val="000000"/>
                <w:kern w:val="24"/>
                <w:sz w:val="14"/>
                <w:szCs w:val="16"/>
                <w:lang w:val="en-US" w:eastAsia="en-GB"/>
              </w:rPr>
              <w:t xml:space="preserve">1 </w:t>
            </w:r>
          </w:p>
        </w:tc>
        <w:tc>
          <w:tcPr>
            <w:tcW w:w="481" w:type="pct"/>
            <w:tcBorders>
              <w:top w:val="nil"/>
              <w:left w:val="nil"/>
              <w:bottom w:val="single" w:sz="12" w:space="0" w:color="auto"/>
              <w:right w:val="nil"/>
            </w:tcBorders>
            <w:shd w:val="clear" w:color="auto" w:fill="F2F2F2" w:themeFill="background1" w:themeFillShade="F2"/>
            <w:vAlign w:val="bottom"/>
          </w:tcPr>
          <w:p w:rsidR="00340A5F" w:rsidRPr="00C84853" w:rsidRDefault="00340A5F" w:rsidP="00340A5F">
            <w:pPr>
              <w:ind w:right="148"/>
              <w:jc w:val="right"/>
              <w:rPr>
                <w:rFonts w:ascii="Segoe UI" w:eastAsia="Segoe UI" w:hAnsi="Segoe UI" w:cs="Segoe UI"/>
                <w:b/>
                <w:i/>
                <w:color w:val="000000"/>
                <w:kern w:val="24"/>
                <w:sz w:val="14"/>
                <w:szCs w:val="16"/>
                <w:lang w:val="en-US" w:eastAsia="en-GB"/>
              </w:rPr>
            </w:pPr>
            <w:r w:rsidRPr="00C84853">
              <w:rPr>
                <w:rFonts w:ascii="Segoe UI" w:eastAsia="Segoe UI" w:hAnsi="Segoe UI" w:cs="Segoe UI"/>
                <w:b/>
                <w:i/>
                <w:color w:val="000000"/>
                <w:kern w:val="24"/>
                <w:sz w:val="14"/>
                <w:szCs w:val="16"/>
                <w:lang w:val="en-US" w:eastAsia="en-GB"/>
              </w:rPr>
              <w:t>0%</w:t>
            </w:r>
          </w:p>
        </w:tc>
        <w:tc>
          <w:tcPr>
            <w:tcW w:w="481" w:type="pct"/>
            <w:tcBorders>
              <w:top w:val="nil"/>
              <w:left w:val="nil"/>
              <w:bottom w:val="single" w:sz="12" w:space="0" w:color="auto"/>
              <w:right w:val="nil"/>
            </w:tcBorders>
            <w:shd w:val="clear" w:color="auto" w:fill="F2F2F2" w:themeFill="background1" w:themeFillShade="F2"/>
            <w:vAlign w:val="center"/>
          </w:tcPr>
          <w:p w:rsidR="00340A5F" w:rsidRPr="00C84853" w:rsidRDefault="00340A5F" w:rsidP="00340A5F">
            <w:pPr>
              <w:ind w:right="148"/>
              <w:jc w:val="right"/>
              <w:rPr>
                <w:rFonts w:ascii="Segoe UI" w:eastAsia="Segoe UI" w:hAnsi="Segoe UI" w:cs="Segoe UI"/>
                <w:b/>
                <w:color w:val="000000"/>
                <w:kern w:val="24"/>
                <w:sz w:val="14"/>
                <w:szCs w:val="16"/>
                <w:lang w:val="en-US" w:eastAsia="en-GB"/>
              </w:rPr>
            </w:pPr>
            <w:r w:rsidRPr="00C84853">
              <w:rPr>
                <w:rFonts w:ascii="Segoe UI" w:eastAsia="Segoe UI" w:hAnsi="Segoe UI" w:cs="Segoe UI"/>
                <w:b/>
                <w:color w:val="000000"/>
                <w:kern w:val="24"/>
                <w:sz w:val="14"/>
                <w:szCs w:val="16"/>
                <w:lang w:val="en-US" w:eastAsia="en-GB"/>
              </w:rPr>
              <w:t xml:space="preserve">2 </w:t>
            </w:r>
          </w:p>
        </w:tc>
        <w:tc>
          <w:tcPr>
            <w:tcW w:w="481" w:type="pct"/>
            <w:tcBorders>
              <w:top w:val="nil"/>
              <w:left w:val="nil"/>
              <w:bottom w:val="single" w:sz="12" w:space="0" w:color="auto"/>
              <w:right w:val="nil"/>
            </w:tcBorders>
            <w:shd w:val="clear" w:color="auto" w:fill="F2F2F2" w:themeFill="background1" w:themeFillShade="F2"/>
            <w:vAlign w:val="center"/>
          </w:tcPr>
          <w:p w:rsidR="00340A5F" w:rsidRPr="00C84853" w:rsidRDefault="00340A5F" w:rsidP="00340A5F">
            <w:pPr>
              <w:ind w:right="148"/>
              <w:jc w:val="right"/>
              <w:rPr>
                <w:rFonts w:ascii="Segoe UI" w:eastAsia="Segoe UI" w:hAnsi="Segoe UI" w:cs="Segoe UI"/>
                <w:b/>
                <w:color w:val="000000"/>
                <w:kern w:val="24"/>
                <w:sz w:val="14"/>
                <w:szCs w:val="16"/>
                <w:lang w:val="en-US" w:eastAsia="en-GB"/>
              </w:rPr>
            </w:pPr>
            <w:r w:rsidRPr="00C84853">
              <w:rPr>
                <w:rFonts w:ascii="Segoe UI" w:eastAsia="Segoe UI" w:hAnsi="Segoe UI" w:cs="Segoe UI"/>
                <w:b/>
                <w:color w:val="000000"/>
                <w:kern w:val="24"/>
                <w:sz w:val="14"/>
                <w:szCs w:val="16"/>
                <w:lang w:val="en-US" w:eastAsia="en-GB"/>
              </w:rPr>
              <w:t xml:space="preserve">30 </w:t>
            </w:r>
          </w:p>
        </w:tc>
        <w:tc>
          <w:tcPr>
            <w:tcW w:w="480" w:type="pct"/>
            <w:tcBorders>
              <w:top w:val="nil"/>
              <w:left w:val="nil"/>
              <w:bottom w:val="single" w:sz="12" w:space="0" w:color="auto"/>
              <w:right w:val="nil"/>
            </w:tcBorders>
            <w:shd w:val="clear" w:color="000000" w:fill="F2F2F2"/>
            <w:tcMar>
              <w:top w:w="15" w:type="dxa"/>
              <w:left w:w="15" w:type="dxa"/>
              <w:bottom w:w="0" w:type="dxa"/>
              <w:right w:w="84" w:type="dxa"/>
            </w:tcMar>
            <w:vAlign w:val="bottom"/>
          </w:tcPr>
          <w:p w:rsidR="00340A5F" w:rsidRPr="00340A5F" w:rsidRDefault="00340A5F" w:rsidP="00340A5F">
            <w:pPr>
              <w:ind w:right="148"/>
              <w:jc w:val="right"/>
              <w:rPr>
                <w:rFonts w:ascii="Segoe UI" w:eastAsia="Segoe UI" w:hAnsi="Segoe UI" w:cs="Segoe UI"/>
                <w:b/>
                <w:i/>
                <w:color w:val="000000"/>
                <w:kern w:val="24"/>
                <w:sz w:val="14"/>
                <w:szCs w:val="16"/>
                <w:lang w:val="en-US" w:eastAsia="en-GB"/>
              </w:rPr>
            </w:pPr>
            <w:r w:rsidRPr="00340A5F">
              <w:rPr>
                <w:rFonts w:ascii="Segoe UI" w:eastAsia="Segoe UI" w:hAnsi="Segoe UI" w:cs="Segoe UI"/>
                <w:b/>
                <w:i/>
                <w:color w:val="000000"/>
                <w:kern w:val="24"/>
                <w:sz w:val="14"/>
                <w:szCs w:val="16"/>
                <w:lang w:val="en-US" w:eastAsia="en-GB"/>
              </w:rPr>
              <w:t>-94%</w:t>
            </w:r>
          </w:p>
        </w:tc>
      </w:tr>
    </w:tbl>
    <w:p w:rsidR="00E55AED" w:rsidRPr="00767DA0" w:rsidRDefault="00DE335A" w:rsidP="00E55AED">
      <w:pPr>
        <w:jc w:val="both"/>
        <w:textAlignment w:val="baseline"/>
        <w:rPr>
          <w:rFonts w:ascii="Segoe UI" w:hAnsi="Segoe UI" w:cs="Segoe UI"/>
          <w:color w:val="000000" w:themeColor="text1"/>
          <w:kern w:val="24"/>
          <w:sz w:val="8"/>
          <w:szCs w:val="10"/>
        </w:rPr>
      </w:pPr>
      <w:r w:rsidRPr="00DE335A">
        <w:rPr>
          <w:rFonts w:ascii="Segoe UI" w:hAnsi="Segoe UI" w:cs="Segoe UI"/>
          <w:color w:val="000000" w:themeColor="text1"/>
          <w:kern w:val="24"/>
          <w:sz w:val="8"/>
          <w:szCs w:val="10"/>
          <w:vertAlign w:val="superscript"/>
        </w:rPr>
        <w:t>1</w:t>
      </w:r>
      <w:r w:rsidR="00767DA0" w:rsidRPr="00767DA0">
        <w:rPr>
          <w:rFonts w:ascii="Segoe UI" w:hAnsi="Segoe UI" w:cs="Segoe UI"/>
          <w:color w:val="000000" w:themeColor="text1"/>
          <w:kern w:val="24"/>
          <w:sz w:val="8"/>
          <w:szCs w:val="10"/>
        </w:rPr>
        <w:t xml:space="preserve">Οι διεθνείς (συνεχιζόμενες) δραστηριότητες </w:t>
      </w:r>
      <w:r w:rsidR="000F1FBE" w:rsidRPr="00767DA0">
        <w:rPr>
          <w:rFonts w:ascii="Segoe UI" w:hAnsi="Segoe UI" w:cs="Segoe UI"/>
          <w:color w:val="000000" w:themeColor="text1"/>
          <w:kern w:val="24"/>
          <w:sz w:val="8"/>
          <w:szCs w:val="10"/>
        </w:rPr>
        <w:t>π</w:t>
      </w:r>
      <w:r w:rsidR="000F1FBE" w:rsidRPr="00DE335A">
        <w:rPr>
          <w:rFonts w:ascii="Segoe UI" w:hAnsi="Segoe UI" w:cs="Segoe UI"/>
          <w:color w:val="000000" w:themeColor="text1"/>
          <w:kern w:val="24"/>
          <w:sz w:val="8"/>
          <w:szCs w:val="10"/>
        </w:rPr>
        <w:t>εριλαμβάνουν</w:t>
      </w:r>
      <w:r w:rsidRPr="00DE335A">
        <w:rPr>
          <w:rFonts w:ascii="Segoe UI" w:hAnsi="Segoe UI" w:cs="Segoe UI"/>
          <w:color w:val="000000" w:themeColor="text1"/>
          <w:kern w:val="24"/>
          <w:sz w:val="8"/>
          <w:szCs w:val="10"/>
        </w:rPr>
        <w:t xml:space="preserve"> τις δραστηριότητες του Ομίλου στη Βόρεια Μακεδονία (Stopanska)</w:t>
      </w:r>
      <w:r w:rsidR="007870D7" w:rsidRPr="009F27D9">
        <w:rPr>
          <w:rFonts w:ascii="Segoe UI" w:hAnsi="Segoe UI" w:cs="Segoe UI"/>
          <w:color w:val="000000" w:themeColor="text1"/>
          <w:kern w:val="24"/>
          <w:sz w:val="8"/>
          <w:szCs w:val="10"/>
        </w:rPr>
        <w:t xml:space="preserve">, </w:t>
      </w:r>
      <w:r w:rsidRPr="00DE335A">
        <w:rPr>
          <w:rFonts w:ascii="Segoe UI" w:hAnsi="Segoe UI" w:cs="Segoe UI"/>
          <w:color w:val="000000" w:themeColor="text1"/>
          <w:kern w:val="24"/>
          <w:sz w:val="8"/>
          <w:szCs w:val="10"/>
        </w:rPr>
        <w:t>Μάλτα (NBG Malta)</w:t>
      </w:r>
      <w:r w:rsidR="007870D7" w:rsidRPr="009F27D9">
        <w:rPr>
          <w:rFonts w:ascii="Segoe UI" w:hAnsi="Segoe UI" w:cs="Segoe UI"/>
          <w:color w:val="000000" w:themeColor="text1"/>
          <w:kern w:val="24"/>
          <w:sz w:val="8"/>
          <w:szCs w:val="10"/>
        </w:rPr>
        <w:t xml:space="preserve"> </w:t>
      </w:r>
      <w:r w:rsidR="007870D7">
        <w:rPr>
          <w:rFonts w:ascii="Segoe UI" w:hAnsi="Segoe UI" w:cs="Segoe UI"/>
          <w:color w:val="000000" w:themeColor="text1"/>
          <w:kern w:val="24"/>
          <w:sz w:val="8"/>
          <w:szCs w:val="10"/>
        </w:rPr>
        <w:t>και Αίγυπτο (</w:t>
      </w:r>
      <w:r w:rsidR="00DA7E35">
        <w:rPr>
          <w:rFonts w:ascii="Segoe UI" w:hAnsi="Segoe UI" w:cs="Segoe UI"/>
          <w:color w:val="000000" w:themeColor="text1"/>
          <w:kern w:val="24"/>
          <w:sz w:val="8"/>
          <w:szCs w:val="10"/>
          <w:lang w:val="en-GB"/>
        </w:rPr>
        <w:t>ETE</w:t>
      </w:r>
      <w:r w:rsidR="00DA7E35" w:rsidRPr="009F27D9">
        <w:rPr>
          <w:rFonts w:ascii="Segoe UI" w:hAnsi="Segoe UI" w:cs="Segoe UI"/>
          <w:color w:val="000000" w:themeColor="text1"/>
          <w:kern w:val="24"/>
          <w:sz w:val="8"/>
          <w:szCs w:val="10"/>
        </w:rPr>
        <w:t xml:space="preserve"> </w:t>
      </w:r>
      <w:r w:rsidR="00DA7E35">
        <w:rPr>
          <w:rFonts w:ascii="Segoe UI" w:hAnsi="Segoe UI" w:cs="Segoe UI"/>
          <w:color w:val="000000" w:themeColor="text1"/>
          <w:kern w:val="24"/>
          <w:sz w:val="8"/>
          <w:szCs w:val="10"/>
        </w:rPr>
        <w:t>Αιγύπτου</w:t>
      </w:r>
      <w:r w:rsidR="007870D7">
        <w:rPr>
          <w:rFonts w:ascii="Segoe UI" w:hAnsi="Segoe UI" w:cs="Segoe UI"/>
          <w:color w:val="000000" w:themeColor="text1"/>
          <w:kern w:val="24"/>
          <w:sz w:val="8"/>
          <w:szCs w:val="10"/>
        </w:rPr>
        <w:t>)</w:t>
      </w:r>
      <w:r w:rsidR="00767DA0">
        <w:rPr>
          <w:rFonts w:ascii="Segoe UI" w:hAnsi="Segoe UI" w:cs="Segoe UI"/>
          <w:color w:val="000000" w:themeColor="text1"/>
          <w:kern w:val="24"/>
          <w:sz w:val="8"/>
          <w:szCs w:val="10"/>
        </w:rPr>
        <w:t xml:space="preserve"> </w:t>
      </w:r>
      <w:r w:rsidR="00E55AED" w:rsidRPr="00767DA0">
        <w:rPr>
          <w:rFonts w:ascii="Segoe UI" w:hAnsi="Segoe UI" w:cs="Segoe UI"/>
          <w:color w:val="000000" w:themeColor="text1"/>
          <w:kern w:val="24"/>
          <w:sz w:val="8"/>
          <w:szCs w:val="10"/>
        </w:rPr>
        <w:br w:type="page"/>
      </w:r>
    </w:p>
    <w:p w:rsidR="00EE40A0" w:rsidRPr="009733C4" w:rsidRDefault="009733C4" w:rsidP="00EE40A0">
      <w:pPr>
        <w:pStyle w:val="TITLEINBODY"/>
        <w:rPr>
          <w:rFonts w:ascii="Segoe UI" w:hAnsi="Segoe UI" w:cs="Segoe UI"/>
          <w:lang w:val="el-GR"/>
        </w:rPr>
      </w:pPr>
      <w:r>
        <w:rPr>
          <w:rFonts w:ascii="Segoe UI" w:hAnsi="Segoe UI" w:cs="Segoe UI"/>
          <w:lang w:val="el-GR"/>
        </w:rPr>
        <w:lastRenderedPageBreak/>
        <w:t>Κερδοφορία</w:t>
      </w:r>
    </w:p>
    <w:p w:rsidR="00EE40A0" w:rsidRPr="009733C4" w:rsidRDefault="009733C4" w:rsidP="00EE40A0">
      <w:pPr>
        <w:pStyle w:val="TITLE2"/>
        <w:rPr>
          <w:sz w:val="24"/>
          <w:szCs w:val="24"/>
          <w:lang w:val="el-GR"/>
        </w:rPr>
      </w:pPr>
      <w:r>
        <w:rPr>
          <w:sz w:val="24"/>
          <w:szCs w:val="24"/>
          <w:lang w:val="el-GR"/>
        </w:rPr>
        <w:t>Ελλάδα</w:t>
      </w:r>
    </w:p>
    <w:p w:rsidR="00283FBA" w:rsidRDefault="00A14EDD" w:rsidP="00A14EDD">
      <w:pPr>
        <w:autoSpaceDE w:val="0"/>
        <w:autoSpaceDN w:val="0"/>
        <w:adjustRightInd w:val="0"/>
        <w:spacing w:after="160" w:line="320" w:lineRule="atLeast"/>
        <w:jc w:val="both"/>
        <w:rPr>
          <w:rFonts w:ascii="Segoe UI" w:hAnsi="Segoe UI" w:cs="Segoe UI"/>
          <w:sz w:val="20"/>
        </w:rPr>
      </w:pPr>
      <w:r w:rsidRPr="0089052B">
        <w:rPr>
          <w:rFonts w:ascii="Segoe UI" w:hAnsi="Segoe UI" w:cs="Segoe UI"/>
          <w:sz w:val="20"/>
        </w:rPr>
        <w:t xml:space="preserve">Τα </w:t>
      </w:r>
      <w:r w:rsidR="00283FBA">
        <w:rPr>
          <w:rFonts w:ascii="Segoe UI" w:hAnsi="Segoe UI" w:cs="Segoe UI"/>
          <w:b/>
          <w:sz w:val="20"/>
        </w:rPr>
        <w:t>οργανικά κέρδη</w:t>
      </w:r>
      <w:r w:rsidR="00283FBA" w:rsidRPr="00283FBA">
        <w:rPr>
          <w:rFonts w:ascii="Segoe UI" w:hAnsi="Segoe UI" w:cs="Segoe UI"/>
          <w:sz w:val="20"/>
        </w:rPr>
        <w:t xml:space="preserve"> </w:t>
      </w:r>
      <w:r w:rsidRPr="0089052B">
        <w:rPr>
          <w:rFonts w:ascii="Segoe UI" w:hAnsi="Segoe UI" w:cs="Segoe UI"/>
          <w:sz w:val="20"/>
        </w:rPr>
        <w:t>ανήλθαν σε €</w:t>
      </w:r>
      <w:r w:rsidR="003E70BE" w:rsidRPr="003E70BE">
        <w:rPr>
          <w:rFonts w:ascii="Segoe UI" w:hAnsi="Segoe UI" w:cs="Segoe UI"/>
          <w:sz w:val="20"/>
        </w:rPr>
        <w:t>6</w:t>
      </w:r>
      <w:r w:rsidR="00283FBA">
        <w:rPr>
          <w:rFonts w:ascii="Segoe UI" w:hAnsi="Segoe UI" w:cs="Segoe UI"/>
          <w:sz w:val="20"/>
        </w:rPr>
        <w:t>3</w:t>
      </w:r>
      <w:r w:rsidRPr="0089052B">
        <w:rPr>
          <w:rFonts w:ascii="Segoe UI" w:hAnsi="Segoe UI" w:cs="Segoe UI"/>
          <w:sz w:val="20"/>
        </w:rPr>
        <w:t xml:space="preserve"> εκατ. το </w:t>
      </w:r>
      <w:r w:rsidR="00283FBA">
        <w:rPr>
          <w:rFonts w:ascii="Segoe UI" w:hAnsi="Segoe UI" w:cs="Segoe UI"/>
          <w:sz w:val="20"/>
        </w:rPr>
        <w:t>Β</w:t>
      </w:r>
      <w:r>
        <w:rPr>
          <w:rFonts w:ascii="Segoe UI" w:hAnsi="Segoe UI" w:cs="Segoe UI"/>
          <w:sz w:val="20"/>
        </w:rPr>
        <w:t>’ τρίμηνο 2020</w:t>
      </w:r>
      <w:r w:rsidRPr="0089052B">
        <w:rPr>
          <w:rFonts w:ascii="Segoe UI" w:hAnsi="Segoe UI" w:cs="Segoe UI"/>
          <w:sz w:val="20"/>
        </w:rPr>
        <w:t xml:space="preserve"> από €</w:t>
      </w:r>
      <w:r w:rsidR="00283FBA">
        <w:rPr>
          <w:rFonts w:ascii="Segoe UI" w:hAnsi="Segoe UI" w:cs="Segoe UI"/>
          <w:sz w:val="20"/>
        </w:rPr>
        <w:t>58</w:t>
      </w:r>
      <w:r w:rsidR="00283FBA" w:rsidRPr="00283FBA">
        <w:rPr>
          <w:rFonts w:ascii="Segoe UI" w:hAnsi="Segoe UI" w:cs="Segoe UI"/>
          <w:vertAlign w:val="superscript"/>
        </w:rPr>
        <w:footnoteReference w:id="1"/>
      </w:r>
      <w:r w:rsidRPr="0089052B">
        <w:rPr>
          <w:rFonts w:ascii="Segoe UI" w:hAnsi="Segoe UI" w:cs="Segoe UI"/>
          <w:sz w:val="20"/>
        </w:rPr>
        <w:t xml:space="preserve"> εκατ. </w:t>
      </w:r>
      <w:r w:rsidR="00283FBA">
        <w:rPr>
          <w:rFonts w:ascii="Segoe UI" w:hAnsi="Segoe UI" w:cs="Segoe UI"/>
          <w:sz w:val="20"/>
        </w:rPr>
        <w:t>Α’ τρίμηνο 2020</w:t>
      </w:r>
      <w:r w:rsidRPr="0089052B">
        <w:rPr>
          <w:rFonts w:ascii="Segoe UI" w:hAnsi="Segoe UI" w:cs="Segoe UI"/>
          <w:sz w:val="20"/>
        </w:rPr>
        <w:t xml:space="preserve">, </w:t>
      </w:r>
      <w:r w:rsidR="00283FBA" w:rsidRPr="00283FBA">
        <w:rPr>
          <w:rFonts w:ascii="Segoe UI" w:hAnsi="Segoe UI" w:cs="Segoe UI"/>
          <w:sz w:val="20"/>
        </w:rPr>
        <w:t>αντανακλώντας τη</w:t>
      </w:r>
      <w:r w:rsidR="00283FBA">
        <w:rPr>
          <w:rFonts w:ascii="Segoe UI" w:hAnsi="Segoe UI" w:cs="Segoe UI"/>
          <w:sz w:val="20"/>
        </w:rPr>
        <w:t xml:space="preserve"> σταθεροποίηση των καθαρών εσόδων από τόκους, </w:t>
      </w:r>
      <w:r w:rsidR="00283FBA" w:rsidRPr="00283FBA">
        <w:rPr>
          <w:rFonts w:ascii="Segoe UI" w:hAnsi="Segoe UI" w:cs="Segoe UI"/>
          <w:sz w:val="20"/>
        </w:rPr>
        <w:t>τη σημαντική περιστολή των δαπανών προσωπικού και των γενικών διοικητικών και λοιπών λειτουργικών εξόδων</w:t>
      </w:r>
      <w:r w:rsidR="00283FBA">
        <w:rPr>
          <w:rFonts w:ascii="Segoe UI" w:hAnsi="Segoe UI" w:cs="Segoe UI"/>
          <w:sz w:val="20"/>
        </w:rPr>
        <w:t>,</w:t>
      </w:r>
      <w:r w:rsidR="00283FBA" w:rsidRPr="00283FBA">
        <w:rPr>
          <w:rFonts w:ascii="Segoe UI" w:hAnsi="Segoe UI" w:cs="Segoe UI"/>
          <w:sz w:val="20"/>
        </w:rPr>
        <w:t xml:space="preserve"> καθώς και </w:t>
      </w:r>
      <w:r w:rsidR="00283FBA">
        <w:rPr>
          <w:rFonts w:ascii="Segoe UI" w:hAnsi="Segoe UI" w:cs="Segoe UI"/>
          <w:sz w:val="20"/>
        </w:rPr>
        <w:t xml:space="preserve">ομαλοποίηση </w:t>
      </w:r>
      <w:r w:rsidR="00520F87">
        <w:rPr>
          <w:rFonts w:ascii="Segoe UI" w:hAnsi="Segoe UI" w:cs="Segoe UI"/>
          <w:sz w:val="20"/>
        </w:rPr>
        <w:t>του</w:t>
      </w:r>
      <w:r w:rsidR="00283FBA">
        <w:rPr>
          <w:rFonts w:ascii="Segoe UI" w:hAnsi="Segoe UI" w:cs="Segoe UI"/>
          <w:sz w:val="20"/>
        </w:rPr>
        <w:t xml:space="preserve"> </w:t>
      </w:r>
      <w:r w:rsidR="00B06A9C">
        <w:rPr>
          <w:rFonts w:ascii="Segoe UI" w:hAnsi="Segoe UI" w:cs="Segoe UI"/>
          <w:sz w:val="20"/>
        </w:rPr>
        <w:t xml:space="preserve">υποκείμενου </w:t>
      </w:r>
      <w:r w:rsidR="00520F87">
        <w:rPr>
          <w:rFonts w:ascii="Segoe UI" w:hAnsi="Segoe UI" w:cs="Segoe UI"/>
          <w:sz w:val="20"/>
        </w:rPr>
        <w:t>κόστους πιστωτικού κινδύνου</w:t>
      </w:r>
      <w:r w:rsidR="00283FBA" w:rsidRPr="00283FBA">
        <w:rPr>
          <w:rFonts w:ascii="Segoe UI" w:hAnsi="Segoe UI" w:cs="Segoe UI"/>
          <w:sz w:val="20"/>
        </w:rPr>
        <w:t xml:space="preserve">, </w:t>
      </w:r>
      <w:r w:rsidR="00283FBA">
        <w:rPr>
          <w:rFonts w:ascii="Segoe UI" w:hAnsi="Segoe UI" w:cs="Segoe UI"/>
          <w:sz w:val="20"/>
        </w:rPr>
        <w:t xml:space="preserve">ύστερα από </w:t>
      </w:r>
      <w:r w:rsidR="00520F87">
        <w:rPr>
          <w:rFonts w:ascii="Segoe UI" w:hAnsi="Segoe UI" w:cs="Segoe UI"/>
          <w:sz w:val="20"/>
        </w:rPr>
        <w:t xml:space="preserve">τη σημαντική αύξηση </w:t>
      </w:r>
      <w:r w:rsidR="00520F87" w:rsidRPr="00520F87">
        <w:rPr>
          <w:rFonts w:ascii="Segoe UI" w:hAnsi="Segoe UI" w:cs="Segoe UI"/>
          <w:sz w:val="20"/>
        </w:rPr>
        <w:t xml:space="preserve">των </w:t>
      </w:r>
      <w:r w:rsidR="00520F87">
        <w:rPr>
          <w:rFonts w:ascii="Segoe UI" w:hAnsi="Segoe UI" w:cs="Segoe UI"/>
          <w:sz w:val="20"/>
        </w:rPr>
        <w:t xml:space="preserve">προβλέψεων </w:t>
      </w:r>
      <w:r w:rsidR="00520F87" w:rsidRPr="00520F87">
        <w:rPr>
          <w:rFonts w:ascii="Segoe UI" w:hAnsi="Segoe UI" w:cs="Segoe UI"/>
          <w:sz w:val="20"/>
        </w:rPr>
        <w:t>για επισφαλείς απαιτήσεις λόγω του κορωνοϊού</w:t>
      </w:r>
      <w:r w:rsidR="00520F87">
        <w:rPr>
          <w:rFonts w:ascii="Segoe UI" w:hAnsi="Segoe UI" w:cs="Segoe UI"/>
          <w:sz w:val="20"/>
        </w:rPr>
        <w:t xml:space="preserve"> το προηγούμενο τρίμηνο. </w:t>
      </w:r>
    </w:p>
    <w:p w:rsidR="00870A31" w:rsidRPr="00870A31" w:rsidRDefault="00260562" w:rsidP="00E55AED">
      <w:pPr>
        <w:autoSpaceDE w:val="0"/>
        <w:autoSpaceDN w:val="0"/>
        <w:adjustRightInd w:val="0"/>
        <w:spacing w:after="160" w:line="320" w:lineRule="atLeast"/>
        <w:jc w:val="both"/>
        <w:rPr>
          <w:rFonts w:ascii="Segoe UI" w:hAnsi="Segoe UI" w:cs="Segoe UI"/>
          <w:sz w:val="20"/>
        </w:rPr>
      </w:pPr>
      <w:r>
        <w:rPr>
          <w:rFonts w:ascii="Segoe UI" w:hAnsi="Segoe UI" w:cs="Segoe UI"/>
          <w:sz w:val="20"/>
        </w:rPr>
        <w:t>Τ</w:t>
      </w:r>
      <w:r w:rsidR="00870A31" w:rsidRPr="00870A31">
        <w:rPr>
          <w:rFonts w:ascii="Segoe UI" w:hAnsi="Segoe UI" w:cs="Segoe UI"/>
          <w:sz w:val="20"/>
        </w:rPr>
        <w:t xml:space="preserve">α </w:t>
      </w:r>
      <w:r w:rsidR="00870A31" w:rsidRPr="00870A31">
        <w:rPr>
          <w:rFonts w:ascii="Segoe UI" w:hAnsi="Segoe UI" w:cs="Segoe UI"/>
          <w:b/>
          <w:sz w:val="20"/>
        </w:rPr>
        <w:t>καθαρά έσοδα από τόκους</w:t>
      </w:r>
      <w:r w:rsidR="00870A31" w:rsidRPr="00870A31">
        <w:rPr>
          <w:rFonts w:ascii="Segoe UI" w:hAnsi="Segoe UI" w:cs="Segoe UI"/>
          <w:sz w:val="20"/>
        </w:rPr>
        <w:t xml:space="preserve"> </w:t>
      </w:r>
      <w:r w:rsidR="00456E34">
        <w:rPr>
          <w:rFonts w:ascii="Segoe UI" w:hAnsi="Segoe UI" w:cs="Segoe UI"/>
          <w:sz w:val="20"/>
        </w:rPr>
        <w:t xml:space="preserve">σταθεροποιήθηκαν </w:t>
      </w:r>
      <w:r w:rsidR="00870A31" w:rsidRPr="00870A31">
        <w:rPr>
          <w:rFonts w:ascii="Segoe UI" w:hAnsi="Segoe UI" w:cs="Segoe UI"/>
          <w:sz w:val="20"/>
        </w:rPr>
        <w:t>σε €2</w:t>
      </w:r>
      <w:r w:rsidR="00330D58">
        <w:rPr>
          <w:rFonts w:ascii="Segoe UI" w:hAnsi="Segoe UI" w:cs="Segoe UI"/>
          <w:sz w:val="20"/>
        </w:rPr>
        <w:t>59</w:t>
      </w:r>
      <w:r w:rsidR="00870A31" w:rsidRPr="00870A31">
        <w:rPr>
          <w:rFonts w:ascii="Segoe UI" w:hAnsi="Segoe UI" w:cs="Segoe UI"/>
          <w:sz w:val="20"/>
        </w:rPr>
        <w:t xml:space="preserve"> εκατ. το </w:t>
      </w:r>
      <w:r w:rsidR="00330D58">
        <w:rPr>
          <w:rFonts w:ascii="Segoe UI" w:hAnsi="Segoe UI" w:cs="Segoe UI"/>
          <w:sz w:val="20"/>
        </w:rPr>
        <w:t>Β</w:t>
      </w:r>
      <w:r w:rsidR="00870A31" w:rsidRPr="00870A31">
        <w:rPr>
          <w:rFonts w:ascii="Segoe UI" w:hAnsi="Segoe UI" w:cs="Segoe UI"/>
          <w:sz w:val="20"/>
        </w:rPr>
        <w:t xml:space="preserve">’ τρίμηνο </w:t>
      </w:r>
      <w:r w:rsidR="00597893">
        <w:rPr>
          <w:rFonts w:ascii="Segoe UI" w:hAnsi="Segoe UI" w:cs="Segoe UI"/>
          <w:sz w:val="20"/>
        </w:rPr>
        <w:t>2020</w:t>
      </w:r>
      <w:r w:rsidR="00870A31" w:rsidRPr="00870A31">
        <w:rPr>
          <w:rFonts w:ascii="Segoe UI" w:hAnsi="Segoe UI" w:cs="Segoe UI"/>
          <w:sz w:val="20"/>
        </w:rPr>
        <w:t xml:space="preserve"> από €2</w:t>
      </w:r>
      <w:r w:rsidR="00330D58">
        <w:rPr>
          <w:rFonts w:ascii="Segoe UI" w:hAnsi="Segoe UI" w:cs="Segoe UI"/>
          <w:sz w:val="20"/>
        </w:rPr>
        <w:t>62</w:t>
      </w:r>
      <w:r w:rsidR="00870A31" w:rsidRPr="00870A31">
        <w:rPr>
          <w:rFonts w:ascii="Segoe UI" w:hAnsi="Segoe UI" w:cs="Segoe UI"/>
          <w:sz w:val="20"/>
        </w:rPr>
        <w:t xml:space="preserve"> εκατ. το </w:t>
      </w:r>
      <w:r w:rsidR="00597893">
        <w:rPr>
          <w:rFonts w:ascii="Segoe UI" w:hAnsi="Segoe UI" w:cs="Segoe UI"/>
          <w:sz w:val="20"/>
        </w:rPr>
        <w:t>Α</w:t>
      </w:r>
      <w:r w:rsidR="00EA3A31" w:rsidRPr="00EA3A31">
        <w:rPr>
          <w:rFonts w:ascii="Segoe UI" w:hAnsi="Segoe UI" w:cs="Segoe UI"/>
          <w:sz w:val="20"/>
        </w:rPr>
        <w:t>’ τρίμηνο 20</w:t>
      </w:r>
      <w:r w:rsidR="00330D58">
        <w:rPr>
          <w:rFonts w:ascii="Segoe UI" w:hAnsi="Segoe UI" w:cs="Segoe UI"/>
          <w:sz w:val="20"/>
        </w:rPr>
        <w:t>20</w:t>
      </w:r>
      <w:r w:rsidR="00870A31" w:rsidRPr="00870A31">
        <w:rPr>
          <w:rFonts w:ascii="Segoe UI" w:hAnsi="Segoe UI" w:cs="Segoe UI"/>
          <w:sz w:val="20"/>
        </w:rPr>
        <w:t xml:space="preserve">, </w:t>
      </w:r>
      <w:r w:rsidR="00EE24BD" w:rsidRPr="0070555A">
        <w:rPr>
          <w:rFonts w:ascii="Segoe UI" w:hAnsi="Segoe UI" w:cs="Segoe UI"/>
          <w:sz w:val="20"/>
        </w:rPr>
        <w:t xml:space="preserve">καθώς </w:t>
      </w:r>
      <w:r w:rsidR="00456E34">
        <w:rPr>
          <w:rFonts w:ascii="Segoe UI" w:hAnsi="Segoe UI" w:cs="Segoe UI"/>
          <w:sz w:val="20"/>
        </w:rPr>
        <w:t xml:space="preserve">η μείωση στα επιτόκια δανείων αντισταθμίστηκε από την περαιτέρω ανατιμολόγηση των καταθέσεων προθεσμίας και </w:t>
      </w:r>
      <w:r w:rsidR="00F91976">
        <w:rPr>
          <w:rFonts w:ascii="Segoe UI" w:hAnsi="Segoe UI" w:cs="Segoe UI"/>
          <w:sz w:val="20"/>
        </w:rPr>
        <w:t>τη βοηθητική στάση της ΕΚΤ</w:t>
      </w:r>
      <w:r w:rsidR="00B06A9C">
        <w:rPr>
          <w:rFonts w:ascii="Segoe UI" w:hAnsi="Segoe UI" w:cs="Segoe UI"/>
          <w:sz w:val="20"/>
        </w:rPr>
        <w:t>, μέσω της επιδότησης του κόστους ρευστότητας</w:t>
      </w:r>
      <w:r w:rsidR="00456E34">
        <w:rPr>
          <w:rFonts w:ascii="Segoe UI" w:hAnsi="Segoe UI" w:cs="Segoe UI"/>
          <w:sz w:val="20"/>
        </w:rPr>
        <w:t>.</w:t>
      </w:r>
      <w:r w:rsidR="00151FF7">
        <w:rPr>
          <w:rFonts w:ascii="Segoe UI" w:hAnsi="Segoe UI" w:cs="Segoe UI"/>
          <w:sz w:val="20"/>
        </w:rPr>
        <w:t xml:space="preserve"> </w:t>
      </w:r>
      <w:r w:rsidR="00CE2D05">
        <w:rPr>
          <w:rFonts w:ascii="Segoe UI" w:hAnsi="Segoe UI" w:cs="Segoe UI"/>
          <w:sz w:val="20"/>
        </w:rPr>
        <w:t>Τ</w:t>
      </w:r>
      <w:r w:rsidR="00CE43F2" w:rsidRPr="00870A31">
        <w:rPr>
          <w:rFonts w:ascii="Segoe UI" w:hAnsi="Segoe UI" w:cs="Segoe UI"/>
          <w:sz w:val="20"/>
        </w:rPr>
        <w:t xml:space="preserve">ο </w:t>
      </w:r>
      <w:r w:rsidR="00CE43F2" w:rsidRPr="005E7308">
        <w:rPr>
          <w:rFonts w:ascii="Segoe UI" w:hAnsi="Segoe UI" w:cs="Segoe UI"/>
          <w:b/>
          <w:sz w:val="20"/>
        </w:rPr>
        <w:t>καθαρό επιτοκιακό περιθώριο</w:t>
      </w:r>
      <w:r w:rsidR="00CE43F2" w:rsidRPr="00870A31">
        <w:rPr>
          <w:rFonts w:ascii="Segoe UI" w:hAnsi="Segoe UI" w:cs="Segoe UI"/>
          <w:sz w:val="20"/>
        </w:rPr>
        <w:t xml:space="preserve"> </w:t>
      </w:r>
      <w:r w:rsidR="00304471">
        <w:rPr>
          <w:rFonts w:ascii="Segoe UI" w:hAnsi="Segoe UI" w:cs="Segoe UI"/>
          <w:sz w:val="20"/>
        </w:rPr>
        <w:t xml:space="preserve">επί </w:t>
      </w:r>
      <w:r w:rsidR="000D315A">
        <w:rPr>
          <w:rFonts w:ascii="Segoe UI" w:hAnsi="Segoe UI" w:cs="Segoe UI"/>
          <w:sz w:val="20"/>
        </w:rPr>
        <w:t xml:space="preserve">του μηνιαίου μέσου όρου </w:t>
      </w:r>
      <w:r w:rsidR="00304471">
        <w:rPr>
          <w:rFonts w:ascii="Segoe UI" w:hAnsi="Segoe UI" w:cs="Segoe UI"/>
          <w:sz w:val="20"/>
        </w:rPr>
        <w:t>των τοκοφόρων στοιχείων του Ενεργητικού εξαιρώντας τα ταμειακά διαθέσιμα</w:t>
      </w:r>
      <w:r w:rsidR="00E805CD">
        <w:rPr>
          <w:rFonts w:ascii="Segoe UI" w:hAnsi="Segoe UI" w:cs="Segoe UI"/>
          <w:sz w:val="20"/>
        </w:rPr>
        <w:t xml:space="preserve"> </w:t>
      </w:r>
      <w:r w:rsidR="00CE43F2" w:rsidRPr="00870A31">
        <w:rPr>
          <w:rFonts w:ascii="Segoe UI" w:hAnsi="Segoe UI" w:cs="Segoe UI"/>
          <w:sz w:val="20"/>
        </w:rPr>
        <w:t xml:space="preserve">μειώθηκε κατά </w:t>
      </w:r>
      <w:r w:rsidR="00E805CD">
        <w:rPr>
          <w:rFonts w:ascii="Segoe UI" w:hAnsi="Segoe UI" w:cs="Segoe UI"/>
          <w:sz w:val="20"/>
        </w:rPr>
        <w:t>1</w:t>
      </w:r>
      <w:r w:rsidR="0059652B" w:rsidRPr="0059652B">
        <w:rPr>
          <w:rFonts w:ascii="Segoe UI" w:hAnsi="Segoe UI" w:cs="Segoe UI"/>
          <w:sz w:val="20"/>
        </w:rPr>
        <w:t>5</w:t>
      </w:r>
      <w:r w:rsidR="00CE43F2" w:rsidRPr="00870A31">
        <w:rPr>
          <w:rFonts w:ascii="Segoe UI" w:hAnsi="Segoe UI" w:cs="Segoe UI"/>
          <w:sz w:val="20"/>
        </w:rPr>
        <w:t xml:space="preserve">μ.β. σε </w:t>
      </w:r>
      <w:r w:rsidR="004C1A0C">
        <w:rPr>
          <w:rFonts w:ascii="Segoe UI" w:hAnsi="Segoe UI" w:cs="Segoe UI"/>
          <w:sz w:val="20"/>
        </w:rPr>
        <w:t>τριμηνιαία</w:t>
      </w:r>
      <w:r w:rsidR="004C1A0C" w:rsidRPr="00870A31">
        <w:rPr>
          <w:rFonts w:ascii="Segoe UI" w:hAnsi="Segoe UI" w:cs="Segoe UI"/>
          <w:sz w:val="20"/>
        </w:rPr>
        <w:t xml:space="preserve"> </w:t>
      </w:r>
      <w:r w:rsidR="00CE43F2" w:rsidRPr="00870A31">
        <w:rPr>
          <w:rFonts w:ascii="Segoe UI" w:hAnsi="Segoe UI" w:cs="Segoe UI"/>
          <w:sz w:val="20"/>
        </w:rPr>
        <w:t>βάση</w:t>
      </w:r>
      <w:r w:rsidR="00C766E3">
        <w:rPr>
          <w:rFonts w:ascii="Segoe UI" w:hAnsi="Segoe UI" w:cs="Segoe UI"/>
          <w:sz w:val="20"/>
        </w:rPr>
        <w:t xml:space="preserve"> και διαμορφώθηκε σε </w:t>
      </w:r>
      <w:r w:rsidR="00543E12">
        <w:rPr>
          <w:rFonts w:ascii="Segoe UI" w:hAnsi="Segoe UI" w:cs="Segoe UI"/>
          <w:sz w:val="20"/>
        </w:rPr>
        <w:t>2</w:t>
      </w:r>
      <w:r w:rsidR="00E805CD">
        <w:rPr>
          <w:rFonts w:ascii="Segoe UI" w:hAnsi="Segoe UI" w:cs="Segoe UI"/>
          <w:sz w:val="20"/>
        </w:rPr>
        <w:t>3</w:t>
      </w:r>
      <w:r w:rsidR="0059652B" w:rsidRPr="002C6796">
        <w:rPr>
          <w:rFonts w:ascii="Segoe UI" w:hAnsi="Segoe UI" w:cs="Segoe UI"/>
          <w:sz w:val="20"/>
        </w:rPr>
        <w:t>8</w:t>
      </w:r>
      <w:r w:rsidR="00CE43F2" w:rsidRPr="00870A31">
        <w:rPr>
          <w:rFonts w:ascii="Segoe UI" w:hAnsi="Segoe UI" w:cs="Segoe UI"/>
          <w:sz w:val="20"/>
        </w:rPr>
        <w:t>μ.β.</w:t>
      </w:r>
      <w:r w:rsidR="00B81F14">
        <w:rPr>
          <w:rFonts w:ascii="Segoe UI" w:hAnsi="Segoe UI" w:cs="Segoe UI"/>
          <w:sz w:val="20"/>
        </w:rPr>
        <w:t xml:space="preserve"> </w:t>
      </w:r>
      <w:r w:rsidR="00C87229">
        <w:rPr>
          <w:rFonts w:ascii="Segoe UI" w:hAnsi="Segoe UI" w:cs="Segoe UI"/>
          <w:sz w:val="20"/>
        </w:rPr>
        <w:t xml:space="preserve">Σε </w:t>
      </w:r>
      <w:r w:rsidR="00B72A35">
        <w:rPr>
          <w:rFonts w:ascii="Segoe UI" w:hAnsi="Segoe UI" w:cs="Segoe UI"/>
          <w:sz w:val="20"/>
        </w:rPr>
        <w:t>επίπεδο εξαμήνου</w:t>
      </w:r>
      <w:r w:rsidR="00C87229">
        <w:rPr>
          <w:rFonts w:ascii="Segoe UI" w:hAnsi="Segoe UI" w:cs="Segoe UI"/>
          <w:sz w:val="20"/>
        </w:rPr>
        <w:t>, τ</w:t>
      </w:r>
      <w:r w:rsidR="00C87229" w:rsidRPr="00C87229">
        <w:rPr>
          <w:rFonts w:ascii="Segoe UI" w:hAnsi="Segoe UI" w:cs="Segoe UI"/>
          <w:sz w:val="20"/>
        </w:rPr>
        <w:t>α καθαρά έσοδα από τόκους</w:t>
      </w:r>
      <w:r w:rsidR="00D5680C">
        <w:rPr>
          <w:rFonts w:ascii="Segoe UI" w:hAnsi="Segoe UI" w:cs="Segoe UI"/>
          <w:sz w:val="20"/>
        </w:rPr>
        <w:t xml:space="preserve"> μειώθηκαν κατά </w:t>
      </w:r>
      <w:r w:rsidR="00B72A35">
        <w:rPr>
          <w:rFonts w:ascii="Segoe UI" w:hAnsi="Segoe UI" w:cs="Segoe UI"/>
          <w:sz w:val="20"/>
        </w:rPr>
        <w:t>8,1</w:t>
      </w:r>
      <w:r w:rsidR="00D5680C">
        <w:rPr>
          <w:rFonts w:ascii="Segoe UI" w:hAnsi="Segoe UI" w:cs="Segoe UI"/>
          <w:sz w:val="20"/>
        </w:rPr>
        <w:t>%</w:t>
      </w:r>
      <w:r w:rsidR="00B72A35">
        <w:rPr>
          <w:rFonts w:ascii="Segoe UI" w:hAnsi="Segoe UI" w:cs="Segoe UI"/>
          <w:sz w:val="20"/>
        </w:rPr>
        <w:t xml:space="preserve"> σε ετήσια βάση σε €521 εκατ</w:t>
      </w:r>
      <w:r w:rsidR="00ED1929">
        <w:rPr>
          <w:rFonts w:ascii="Segoe UI" w:hAnsi="Segoe UI" w:cs="Segoe UI"/>
          <w:sz w:val="20"/>
        </w:rPr>
        <w:t>.</w:t>
      </w:r>
      <w:r w:rsidR="00B72A35">
        <w:rPr>
          <w:rFonts w:ascii="Segoe UI" w:hAnsi="Segoe UI" w:cs="Segoe UI"/>
          <w:sz w:val="20"/>
        </w:rPr>
        <w:t>,</w:t>
      </w:r>
      <w:r w:rsidR="00ED1929">
        <w:rPr>
          <w:rFonts w:ascii="Segoe UI" w:hAnsi="Segoe UI" w:cs="Segoe UI"/>
          <w:sz w:val="20"/>
        </w:rPr>
        <w:t xml:space="preserve"> </w:t>
      </w:r>
      <w:r w:rsidR="00456E34" w:rsidRPr="00456E34">
        <w:rPr>
          <w:rFonts w:ascii="Segoe UI" w:hAnsi="Segoe UI" w:cs="Segoe UI"/>
          <w:sz w:val="20"/>
        </w:rPr>
        <w:t>κυρίως ως αποτέλεσμα της σημαντικής αποκλιμάκωσης ΜΕΑ κατά €4,7 δισ. το 2019, καθώς και της πώλησης χρεογρά</w:t>
      </w:r>
      <w:r w:rsidR="00B72A35">
        <w:rPr>
          <w:rFonts w:ascii="Segoe UI" w:hAnsi="Segoe UI" w:cs="Segoe UI"/>
          <w:sz w:val="20"/>
        </w:rPr>
        <w:t xml:space="preserve">φων κατά τα προηγούμενα τρίμηνα. </w:t>
      </w:r>
    </w:p>
    <w:p w:rsidR="00F1316E" w:rsidRPr="00F1316E" w:rsidRDefault="00F1316E" w:rsidP="00955436">
      <w:pPr>
        <w:autoSpaceDE w:val="0"/>
        <w:autoSpaceDN w:val="0"/>
        <w:adjustRightInd w:val="0"/>
        <w:spacing w:after="160" w:line="320" w:lineRule="atLeast"/>
        <w:jc w:val="both"/>
        <w:rPr>
          <w:rFonts w:ascii="Segoe UI" w:eastAsia="MS Mincho" w:hAnsi="Segoe UI" w:cs="Segoe UI"/>
          <w:sz w:val="20"/>
          <w:lang w:bidi="el-GR"/>
        </w:rPr>
      </w:pPr>
      <w:r w:rsidRPr="00F1316E">
        <w:rPr>
          <w:rFonts w:ascii="Segoe UI" w:eastAsia="MS Mincho" w:hAnsi="Segoe UI" w:cs="Segoe UI"/>
          <w:sz w:val="20"/>
          <w:lang w:bidi="el-GR"/>
        </w:rPr>
        <w:t>Αντικατοπτρίζοντας τη</w:t>
      </w:r>
      <w:r w:rsidR="00DF7C75">
        <w:rPr>
          <w:rFonts w:ascii="Segoe UI" w:eastAsia="MS Mincho" w:hAnsi="Segoe UI" w:cs="Segoe UI"/>
          <w:sz w:val="20"/>
          <w:lang w:bidi="el-GR"/>
        </w:rPr>
        <w:t>ν</w:t>
      </w:r>
      <w:r w:rsidRPr="00F1316E">
        <w:rPr>
          <w:rFonts w:ascii="Segoe UI" w:eastAsia="MS Mincho" w:hAnsi="Segoe UI" w:cs="Segoe UI"/>
          <w:sz w:val="20"/>
          <w:lang w:bidi="el-GR"/>
        </w:rPr>
        <w:t xml:space="preserve"> αρνητική επίδραση </w:t>
      </w:r>
      <w:r w:rsidR="00DF7C75">
        <w:rPr>
          <w:rFonts w:ascii="Segoe UI" w:eastAsia="MS Mincho" w:hAnsi="Segoe UI" w:cs="Segoe UI"/>
          <w:sz w:val="20"/>
          <w:lang w:bidi="el-GR"/>
        </w:rPr>
        <w:t xml:space="preserve">της </w:t>
      </w:r>
      <w:r w:rsidR="00DF7C75" w:rsidRPr="00DF7C75">
        <w:rPr>
          <w:rFonts w:ascii="Segoe UI" w:eastAsia="MS Mincho" w:hAnsi="Segoe UI" w:cs="Segoe UI"/>
          <w:sz w:val="20"/>
          <w:lang w:bidi="el-GR"/>
        </w:rPr>
        <w:t>απαγόρευσης κυκλοφορίας</w:t>
      </w:r>
      <w:r w:rsidRPr="00F1316E">
        <w:rPr>
          <w:rFonts w:ascii="Segoe UI" w:eastAsia="MS Mincho" w:hAnsi="Segoe UI" w:cs="Segoe UI"/>
          <w:sz w:val="20"/>
          <w:lang w:bidi="el-GR"/>
        </w:rPr>
        <w:t xml:space="preserve"> </w:t>
      </w:r>
      <w:r w:rsidR="00DF7C75">
        <w:rPr>
          <w:rFonts w:ascii="Segoe UI" w:eastAsia="MS Mincho" w:hAnsi="Segoe UI" w:cs="Segoe UI"/>
          <w:sz w:val="20"/>
          <w:lang w:bidi="el-GR"/>
        </w:rPr>
        <w:t>στη διεξαγωγή συναλλαγών</w:t>
      </w:r>
      <w:r w:rsidRPr="00F1316E">
        <w:rPr>
          <w:rFonts w:ascii="Segoe UI" w:eastAsia="MS Mincho" w:hAnsi="Segoe UI" w:cs="Segoe UI"/>
          <w:sz w:val="20"/>
          <w:lang w:bidi="el-GR"/>
        </w:rPr>
        <w:t xml:space="preserve">, τα </w:t>
      </w:r>
      <w:r w:rsidRPr="00F1316E">
        <w:rPr>
          <w:rFonts w:ascii="Segoe UI" w:eastAsia="MS Mincho" w:hAnsi="Segoe UI" w:cs="Segoe UI"/>
          <w:b/>
          <w:sz w:val="20"/>
          <w:lang w:bidi="el-GR"/>
        </w:rPr>
        <w:t>καθαρά έσοδα από προμήθειες</w:t>
      </w:r>
      <w:r w:rsidRPr="00F1316E">
        <w:rPr>
          <w:rFonts w:ascii="Segoe UI" w:eastAsia="MS Mincho" w:hAnsi="Segoe UI" w:cs="Segoe UI"/>
          <w:sz w:val="20"/>
          <w:lang w:bidi="el-GR"/>
        </w:rPr>
        <w:t xml:space="preserve"> </w:t>
      </w:r>
      <w:r>
        <w:rPr>
          <w:rFonts w:ascii="Segoe UI" w:eastAsia="MS Mincho" w:hAnsi="Segoe UI" w:cs="Segoe UI"/>
          <w:sz w:val="20"/>
          <w:lang w:bidi="el-GR"/>
        </w:rPr>
        <w:t>διαμορφώθηκαν σε €54 εκατ. το Β</w:t>
      </w:r>
      <w:r w:rsidRPr="00F1316E">
        <w:rPr>
          <w:rFonts w:ascii="Segoe UI" w:eastAsia="MS Mincho" w:hAnsi="Segoe UI" w:cs="Segoe UI"/>
          <w:sz w:val="20"/>
          <w:lang w:bidi="el-GR"/>
        </w:rPr>
        <w:t xml:space="preserve">’ τρίμηνο 2020 </w:t>
      </w:r>
      <w:r>
        <w:rPr>
          <w:rFonts w:ascii="Segoe UI" w:eastAsia="MS Mincho" w:hAnsi="Segoe UI" w:cs="Segoe UI"/>
          <w:sz w:val="20"/>
          <w:lang w:bidi="el-GR"/>
        </w:rPr>
        <w:t xml:space="preserve">από </w:t>
      </w:r>
      <w:r w:rsidRPr="00F1316E">
        <w:rPr>
          <w:rFonts w:ascii="Segoe UI" w:eastAsia="MS Mincho" w:hAnsi="Segoe UI" w:cs="Segoe UI"/>
          <w:sz w:val="20"/>
          <w:lang w:bidi="el-GR"/>
        </w:rPr>
        <w:t>€63 εκατ. το Α’ τρίμηνο 2020</w:t>
      </w:r>
      <w:r>
        <w:rPr>
          <w:rFonts w:ascii="Segoe UI" w:eastAsia="MS Mincho" w:hAnsi="Segoe UI" w:cs="Segoe UI"/>
          <w:sz w:val="20"/>
          <w:lang w:bidi="el-GR"/>
        </w:rPr>
        <w:t xml:space="preserve">, με τις προμήθειες από </w:t>
      </w:r>
      <w:r w:rsidRPr="00F1316E">
        <w:rPr>
          <w:rFonts w:ascii="Segoe UI" w:eastAsia="MS Mincho" w:hAnsi="Segoe UI" w:cs="Segoe UI"/>
          <w:sz w:val="20"/>
          <w:lang w:bidi="el-GR"/>
        </w:rPr>
        <w:t>υπηρεσίες διαμεσολάβησης</w:t>
      </w:r>
      <w:r>
        <w:rPr>
          <w:rFonts w:ascii="Segoe UI" w:eastAsia="MS Mincho" w:hAnsi="Segoe UI" w:cs="Segoe UI"/>
          <w:sz w:val="20"/>
          <w:lang w:bidi="el-GR"/>
        </w:rPr>
        <w:t xml:space="preserve"> να σημειώνουν πτώση της τάξεως του 2</w:t>
      </w:r>
      <w:r w:rsidR="00DA5F27">
        <w:rPr>
          <w:rFonts w:ascii="Segoe UI" w:eastAsia="MS Mincho" w:hAnsi="Segoe UI" w:cs="Segoe UI"/>
          <w:sz w:val="20"/>
          <w:lang w:bidi="el-GR"/>
        </w:rPr>
        <w:t>6,</w:t>
      </w:r>
      <w:r>
        <w:rPr>
          <w:rFonts w:ascii="Segoe UI" w:eastAsia="MS Mincho" w:hAnsi="Segoe UI" w:cs="Segoe UI"/>
          <w:sz w:val="20"/>
          <w:lang w:bidi="el-GR"/>
        </w:rPr>
        <w:t xml:space="preserve">7% ή €3 εκατ. </w:t>
      </w:r>
      <w:r w:rsidR="007E7D75">
        <w:rPr>
          <w:rFonts w:ascii="Segoe UI" w:eastAsia="MS Mincho" w:hAnsi="Segoe UI" w:cs="Segoe UI"/>
          <w:sz w:val="20"/>
          <w:lang w:bidi="el-GR"/>
        </w:rPr>
        <w:t xml:space="preserve">περίπου </w:t>
      </w:r>
      <w:r>
        <w:rPr>
          <w:rFonts w:ascii="Segoe UI" w:eastAsia="MS Mincho" w:hAnsi="Segoe UI" w:cs="Segoe UI"/>
          <w:sz w:val="20"/>
          <w:lang w:bidi="el-GR"/>
        </w:rPr>
        <w:t>σε τριμηνιαία βάση</w:t>
      </w:r>
      <w:r w:rsidRPr="00F1316E">
        <w:rPr>
          <w:rFonts w:ascii="Segoe UI" w:eastAsia="MS Mincho" w:hAnsi="Segoe UI" w:cs="Segoe UI"/>
          <w:sz w:val="20"/>
          <w:lang w:bidi="el-GR"/>
        </w:rPr>
        <w:t xml:space="preserve">. Σε επίπεδο εξαμήνου, ωστόσο, τα καθαρά έσοδα από προμήθειες ενισχύθηκαν κατά </w:t>
      </w:r>
      <w:r w:rsidR="001B2B45">
        <w:rPr>
          <w:rFonts w:ascii="Segoe UI" w:eastAsia="MS Mincho" w:hAnsi="Segoe UI" w:cs="Segoe UI"/>
          <w:sz w:val="20"/>
          <w:lang w:bidi="el-GR"/>
        </w:rPr>
        <w:t>3,7</w:t>
      </w:r>
      <w:r w:rsidRPr="00F1316E">
        <w:rPr>
          <w:rFonts w:ascii="Segoe UI" w:eastAsia="MS Mincho" w:hAnsi="Segoe UI" w:cs="Segoe UI"/>
          <w:sz w:val="20"/>
          <w:lang w:bidi="el-GR"/>
        </w:rPr>
        <w:t>% σε σχέση με το Α’ εξάμηνο 2019, ανερχόμενα σε €118 εκατ., ως αποτέλεσμα της ανάκαμψης των εσόδων από προμήθειες Λιανικής Τραπεζικής (+15</w:t>
      </w:r>
      <w:r w:rsidR="001B2B45">
        <w:rPr>
          <w:rFonts w:ascii="Segoe UI" w:eastAsia="MS Mincho" w:hAnsi="Segoe UI" w:cs="Segoe UI"/>
          <w:sz w:val="20"/>
          <w:lang w:bidi="el-GR"/>
        </w:rPr>
        <w:t>,4</w:t>
      </w:r>
      <w:r w:rsidRPr="00F1316E">
        <w:rPr>
          <w:rFonts w:ascii="Segoe UI" w:eastAsia="MS Mincho" w:hAnsi="Segoe UI" w:cs="Segoe UI"/>
          <w:sz w:val="20"/>
          <w:lang w:bidi="el-GR"/>
        </w:rPr>
        <w:t>% σε ετήσια βάση), αντανακλώντας την ενίσχυση των προμηθειών από κάρτες</w:t>
      </w:r>
      <w:r w:rsidR="00955436">
        <w:rPr>
          <w:rFonts w:ascii="Segoe UI" w:eastAsia="MS Mincho" w:hAnsi="Segoe UI" w:cs="Segoe UI"/>
          <w:sz w:val="20"/>
          <w:lang w:bidi="el-GR"/>
        </w:rPr>
        <w:t xml:space="preserve"> </w:t>
      </w:r>
      <w:r w:rsidR="00955436" w:rsidRPr="00955436">
        <w:rPr>
          <w:rFonts w:ascii="Segoe UI" w:eastAsia="MS Mincho" w:hAnsi="Segoe UI" w:cs="Segoe UI"/>
          <w:sz w:val="20"/>
          <w:lang w:bidi="el-GR"/>
        </w:rPr>
        <w:t>(+</w:t>
      </w:r>
      <w:r w:rsidR="00955436">
        <w:rPr>
          <w:rFonts w:ascii="Segoe UI" w:eastAsia="MS Mincho" w:hAnsi="Segoe UI" w:cs="Segoe UI"/>
          <w:sz w:val="20"/>
          <w:lang w:bidi="el-GR"/>
        </w:rPr>
        <w:t>28,0</w:t>
      </w:r>
      <w:r w:rsidR="00955436" w:rsidRPr="00955436">
        <w:rPr>
          <w:rFonts w:ascii="Segoe UI" w:eastAsia="MS Mincho" w:hAnsi="Segoe UI" w:cs="Segoe UI"/>
          <w:sz w:val="20"/>
          <w:lang w:bidi="el-GR"/>
        </w:rPr>
        <w:t>% σε ετήσια βάση</w:t>
      </w:r>
      <w:r w:rsidR="00955436">
        <w:rPr>
          <w:rFonts w:ascii="Segoe UI" w:eastAsia="MS Mincho" w:hAnsi="Segoe UI" w:cs="Segoe UI"/>
          <w:sz w:val="20"/>
          <w:lang w:bidi="el-GR"/>
        </w:rPr>
        <w:t>)</w:t>
      </w:r>
      <w:r w:rsidRPr="00F1316E">
        <w:rPr>
          <w:rFonts w:ascii="Segoe UI" w:eastAsia="MS Mincho" w:hAnsi="Segoe UI" w:cs="Segoe UI"/>
          <w:sz w:val="20"/>
          <w:lang w:bidi="el-GR"/>
        </w:rPr>
        <w:t xml:space="preserve">, υπηρεσίες διαμεσολάβησης </w:t>
      </w:r>
      <w:r w:rsidR="00955436" w:rsidRPr="00955436">
        <w:rPr>
          <w:rFonts w:ascii="Segoe UI" w:eastAsia="MS Mincho" w:hAnsi="Segoe UI" w:cs="Segoe UI"/>
          <w:sz w:val="20"/>
          <w:lang w:bidi="el-GR"/>
        </w:rPr>
        <w:t>(+17,2% σε ετήσια βάση)</w:t>
      </w:r>
      <w:r w:rsidR="00955436">
        <w:rPr>
          <w:rFonts w:ascii="Segoe UI" w:eastAsia="MS Mincho" w:hAnsi="Segoe UI" w:cs="Segoe UI"/>
          <w:sz w:val="20"/>
          <w:lang w:bidi="el-GR"/>
        </w:rPr>
        <w:t xml:space="preserve"> </w:t>
      </w:r>
      <w:r w:rsidRPr="00F1316E">
        <w:rPr>
          <w:rFonts w:ascii="Segoe UI" w:eastAsia="MS Mincho" w:hAnsi="Segoe UI" w:cs="Segoe UI"/>
          <w:sz w:val="20"/>
          <w:lang w:bidi="el-GR"/>
        </w:rPr>
        <w:t>και δάνεια</w:t>
      </w:r>
      <w:r w:rsidR="00955436">
        <w:rPr>
          <w:rFonts w:ascii="Segoe UI" w:eastAsia="MS Mincho" w:hAnsi="Segoe UI" w:cs="Segoe UI"/>
          <w:sz w:val="20"/>
          <w:lang w:bidi="el-GR"/>
        </w:rPr>
        <w:t xml:space="preserve"> </w:t>
      </w:r>
      <w:r w:rsidR="00955436" w:rsidRPr="00955436">
        <w:rPr>
          <w:rFonts w:ascii="Segoe UI" w:eastAsia="MS Mincho" w:hAnsi="Segoe UI" w:cs="Segoe UI"/>
          <w:sz w:val="20"/>
          <w:lang w:bidi="el-GR"/>
        </w:rPr>
        <w:t>(+</w:t>
      </w:r>
      <w:r w:rsidR="00955436">
        <w:rPr>
          <w:rFonts w:ascii="Segoe UI" w:eastAsia="MS Mincho" w:hAnsi="Segoe UI" w:cs="Segoe UI"/>
          <w:sz w:val="20"/>
          <w:lang w:bidi="el-GR"/>
        </w:rPr>
        <w:t>14,8</w:t>
      </w:r>
      <w:r w:rsidR="00955436" w:rsidRPr="00955436">
        <w:rPr>
          <w:rFonts w:ascii="Segoe UI" w:eastAsia="MS Mincho" w:hAnsi="Segoe UI" w:cs="Segoe UI"/>
          <w:sz w:val="20"/>
          <w:lang w:bidi="el-GR"/>
        </w:rPr>
        <w:t>% σε ετήσια βάση)</w:t>
      </w:r>
      <w:r w:rsidR="006B7567">
        <w:rPr>
          <w:rFonts w:ascii="Segoe UI" w:eastAsia="MS Mincho" w:hAnsi="Segoe UI" w:cs="Segoe UI"/>
          <w:sz w:val="20"/>
          <w:lang w:bidi="el-GR"/>
        </w:rPr>
        <w:t>.</w:t>
      </w:r>
    </w:p>
    <w:p w:rsidR="007670E1" w:rsidRPr="00FA2EBB" w:rsidRDefault="00FA2EBB" w:rsidP="00E55AED">
      <w:pPr>
        <w:autoSpaceDE w:val="0"/>
        <w:autoSpaceDN w:val="0"/>
        <w:adjustRightInd w:val="0"/>
        <w:spacing w:after="160" w:line="320" w:lineRule="atLeast"/>
        <w:jc w:val="both"/>
        <w:rPr>
          <w:rFonts w:ascii="Segoe UI" w:hAnsi="Segoe UI" w:cs="Segoe UI"/>
          <w:sz w:val="20"/>
        </w:rPr>
      </w:pPr>
      <w:r>
        <w:rPr>
          <w:rFonts w:ascii="Segoe UI" w:hAnsi="Segoe UI" w:cs="Segoe UI"/>
          <w:sz w:val="20"/>
        </w:rPr>
        <w:t xml:space="preserve">Μετά τα </w:t>
      </w:r>
      <w:r w:rsidR="006458BD" w:rsidRPr="006458BD">
        <w:rPr>
          <w:rFonts w:ascii="Segoe UI" w:hAnsi="Segoe UI" w:cs="Segoe UI"/>
          <w:sz w:val="20"/>
        </w:rPr>
        <w:t>υψηλά μη επαναλαμβανόμενα κέρδη σχετιζόμενα με την ανταλλαγή τριών υφιστάμενων ΟΕΔ που κατείχε η ΕΤΕ με ένα νέο ΟΕΔ (€515 εκατ.), καθώς και την πώληση ΟΕΔ στο χαρτοφυλάκιο «διακρατούμενων για την είσπραξη συμβατικών ταμειακών ροών και για ενδεχόμενη πώληση» (€264 εκατ.)</w:t>
      </w:r>
      <w:r w:rsidR="00ED6EBE">
        <w:rPr>
          <w:rFonts w:ascii="Segoe UI" w:hAnsi="Segoe UI" w:cs="Segoe UI"/>
          <w:sz w:val="20"/>
        </w:rPr>
        <w:t xml:space="preserve"> κατά τη διάρκεια του </w:t>
      </w:r>
      <w:r>
        <w:rPr>
          <w:rFonts w:ascii="Segoe UI" w:hAnsi="Segoe UI" w:cs="Segoe UI"/>
          <w:sz w:val="20"/>
        </w:rPr>
        <w:t xml:space="preserve">Α’ </w:t>
      </w:r>
      <w:r w:rsidR="00ED6EBE">
        <w:rPr>
          <w:rFonts w:ascii="Segoe UI" w:hAnsi="Segoe UI" w:cs="Segoe UI"/>
          <w:sz w:val="20"/>
        </w:rPr>
        <w:t>τρίμηνου</w:t>
      </w:r>
      <w:r>
        <w:rPr>
          <w:rFonts w:ascii="Segoe UI" w:hAnsi="Segoe UI" w:cs="Segoe UI"/>
          <w:sz w:val="20"/>
        </w:rPr>
        <w:t xml:space="preserve"> 2020, τα </w:t>
      </w:r>
      <w:r w:rsidRPr="00756146">
        <w:rPr>
          <w:rFonts w:ascii="Segoe UI" w:hAnsi="Segoe UI" w:cs="Segoe UI"/>
          <w:b/>
          <w:sz w:val="20"/>
        </w:rPr>
        <w:t>κέρδη από χρηματοοικονομικές πράξεις</w:t>
      </w:r>
      <w:r>
        <w:rPr>
          <w:rFonts w:ascii="Segoe UI" w:hAnsi="Segoe UI" w:cs="Segoe UI"/>
          <w:sz w:val="20"/>
        </w:rPr>
        <w:t xml:space="preserve"> ομαλοποιήθηκαν σε €10 εκατ. το Β’ τρίμηνο 2020.</w:t>
      </w:r>
    </w:p>
    <w:p w:rsidR="00714756" w:rsidRDefault="00714756" w:rsidP="00E55AED">
      <w:pPr>
        <w:autoSpaceDE w:val="0"/>
        <w:autoSpaceDN w:val="0"/>
        <w:adjustRightInd w:val="0"/>
        <w:spacing w:after="160" w:line="320" w:lineRule="atLeast"/>
        <w:jc w:val="both"/>
        <w:rPr>
          <w:rFonts w:ascii="Segoe UI" w:hAnsi="Segoe UI" w:cs="Segoe UI"/>
          <w:sz w:val="20"/>
        </w:rPr>
      </w:pPr>
      <w:r w:rsidRPr="00714756">
        <w:rPr>
          <w:rFonts w:ascii="Segoe UI" w:hAnsi="Segoe UI" w:cs="Segoe UI"/>
          <w:sz w:val="20"/>
        </w:rPr>
        <w:t xml:space="preserve">Οι </w:t>
      </w:r>
      <w:r w:rsidRPr="0004729A">
        <w:rPr>
          <w:rFonts w:ascii="Segoe UI" w:hAnsi="Segoe UI" w:cs="Segoe UI"/>
          <w:b/>
          <w:sz w:val="20"/>
        </w:rPr>
        <w:t>λειτουργικές δαπάνες</w:t>
      </w:r>
      <w:r w:rsidRPr="00714756">
        <w:rPr>
          <w:rFonts w:ascii="Segoe UI" w:hAnsi="Segoe UI" w:cs="Segoe UI"/>
          <w:sz w:val="20"/>
        </w:rPr>
        <w:t xml:space="preserve"> ανήλθαν σε </w:t>
      </w:r>
      <w:r w:rsidR="002A1B45">
        <w:rPr>
          <w:rFonts w:ascii="Segoe UI" w:hAnsi="Segoe UI" w:cs="Segoe UI"/>
          <w:sz w:val="20"/>
        </w:rPr>
        <w:t xml:space="preserve">€186 εκατ. το </w:t>
      </w:r>
      <w:r w:rsidR="002A1B45" w:rsidRPr="002A1B45">
        <w:rPr>
          <w:rFonts w:ascii="Segoe UI" w:hAnsi="Segoe UI" w:cs="Segoe UI"/>
          <w:sz w:val="20"/>
        </w:rPr>
        <w:t>Β’ τρίμηνο 2020</w:t>
      </w:r>
      <w:r w:rsidR="002A1B45">
        <w:rPr>
          <w:rFonts w:ascii="Segoe UI" w:hAnsi="Segoe UI" w:cs="Segoe UI"/>
          <w:sz w:val="20"/>
        </w:rPr>
        <w:t xml:space="preserve"> από </w:t>
      </w:r>
      <w:r w:rsidRPr="00714756">
        <w:rPr>
          <w:rFonts w:ascii="Segoe UI" w:hAnsi="Segoe UI" w:cs="Segoe UI"/>
          <w:sz w:val="20"/>
        </w:rPr>
        <w:t>€</w:t>
      </w:r>
      <w:r w:rsidR="002C73BA">
        <w:rPr>
          <w:rFonts w:ascii="Segoe UI" w:hAnsi="Segoe UI" w:cs="Segoe UI"/>
          <w:sz w:val="20"/>
        </w:rPr>
        <w:t>197</w:t>
      </w:r>
      <w:r w:rsidRPr="00714756">
        <w:rPr>
          <w:rFonts w:ascii="Segoe UI" w:hAnsi="Segoe UI" w:cs="Segoe UI"/>
          <w:sz w:val="20"/>
        </w:rPr>
        <w:t xml:space="preserve"> εκατ. το </w:t>
      </w:r>
      <w:r w:rsidR="002C73BA">
        <w:rPr>
          <w:rFonts w:ascii="Segoe UI" w:hAnsi="Segoe UI" w:cs="Segoe UI"/>
          <w:sz w:val="20"/>
        </w:rPr>
        <w:t>Α</w:t>
      </w:r>
      <w:r w:rsidRPr="00714756">
        <w:rPr>
          <w:rFonts w:ascii="Segoe UI" w:hAnsi="Segoe UI" w:cs="Segoe UI"/>
          <w:sz w:val="20"/>
        </w:rPr>
        <w:t>’ τρίμηνο 20</w:t>
      </w:r>
      <w:r w:rsidR="002C73BA">
        <w:rPr>
          <w:rFonts w:ascii="Segoe UI" w:hAnsi="Segoe UI" w:cs="Segoe UI"/>
          <w:sz w:val="20"/>
        </w:rPr>
        <w:t>20</w:t>
      </w:r>
      <w:r w:rsidRPr="00714756">
        <w:rPr>
          <w:rFonts w:ascii="Segoe UI" w:hAnsi="Segoe UI" w:cs="Segoe UI"/>
          <w:sz w:val="20"/>
        </w:rPr>
        <w:t xml:space="preserve">, </w:t>
      </w:r>
      <w:r w:rsidR="002C73BA" w:rsidRPr="002C73BA">
        <w:rPr>
          <w:rFonts w:ascii="Segoe UI" w:hAnsi="Segoe UI" w:cs="Segoe UI"/>
          <w:sz w:val="20"/>
        </w:rPr>
        <w:t xml:space="preserve">ως αποτέλεσμα της </w:t>
      </w:r>
      <w:r w:rsidR="002A1B45">
        <w:rPr>
          <w:rFonts w:ascii="Segoe UI" w:hAnsi="Segoe UI" w:cs="Segoe UI"/>
          <w:sz w:val="20"/>
        </w:rPr>
        <w:t xml:space="preserve">περαιτέρω </w:t>
      </w:r>
      <w:r w:rsidR="002C73BA" w:rsidRPr="002C73BA">
        <w:rPr>
          <w:rFonts w:ascii="Segoe UI" w:hAnsi="Segoe UI" w:cs="Segoe UI"/>
          <w:sz w:val="20"/>
        </w:rPr>
        <w:t>περιστολής τόσο των δαπανών προσωπικού (-</w:t>
      </w:r>
      <w:r w:rsidR="002A1B45">
        <w:rPr>
          <w:rFonts w:ascii="Segoe UI" w:hAnsi="Segoe UI" w:cs="Segoe UI"/>
          <w:sz w:val="20"/>
        </w:rPr>
        <w:t>4,2</w:t>
      </w:r>
      <w:r w:rsidR="002C73BA" w:rsidRPr="002C73BA">
        <w:rPr>
          <w:rFonts w:ascii="Segoe UI" w:hAnsi="Segoe UI" w:cs="Segoe UI"/>
          <w:sz w:val="20"/>
        </w:rPr>
        <w:t xml:space="preserve">% σε </w:t>
      </w:r>
      <w:r w:rsidR="002A1B45">
        <w:rPr>
          <w:rFonts w:ascii="Segoe UI" w:hAnsi="Segoe UI" w:cs="Segoe UI"/>
          <w:sz w:val="20"/>
        </w:rPr>
        <w:t xml:space="preserve">τριμηνιαία </w:t>
      </w:r>
      <w:r w:rsidR="002C73BA" w:rsidRPr="002C73BA">
        <w:rPr>
          <w:rFonts w:ascii="Segoe UI" w:hAnsi="Segoe UI" w:cs="Segoe UI"/>
          <w:sz w:val="20"/>
        </w:rPr>
        <w:t>βάση), όσο και των γενικών διοικητικών και λοιπών λειτουργικών εξόδων (-</w:t>
      </w:r>
      <w:r w:rsidR="002A1B45">
        <w:rPr>
          <w:rFonts w:ascii="Segoe UI" w:hAnsi="Segoe UI" w:cs="Segoe UI"/>
          <w:sz w:val="20"/>
        </w:rPr>
        <w:t>9,5</w:t>
      </w:r>
      <w:r w:rsidR="002C73BA" w:rsidRPr="002C73BA">
        <w:rPr>
          <w:rFonts w:ascii="Segoe UI" w:hAnsi="Segoe UI" w:cs="Segoe UI"/>
          <w:sz w:val="20"/>
        </w:rPr>
        <w:t xml:space="preserve">% σε </w:t>
      </w:r>
      <w:r w:rsidR="002A1B45" w:rsidRPr="002A1B45">
        <w:rPr>
          <w:rFonts w:ascii="Segoe UI" w:hAnsi="Segoe UI" w:cs="Segoe UI"/>
          <w:sz w:val="20"/>
        </w:rPr>
        <w:t xml:space="preserve">τριμηνιαία </w:t>
      </w:r>
      <w:r w:rsidR="002C73BA" w:rsidRPr="002C73BA">
        <w:rPr>
          <w:rFonts w:ascii="Segoe UI" w:hAnsi="Segoe UI" w:cs="Segoe UI"/>
          <w:sz w:val="20"/>
        </w:rPr>
        <w:t>βάση)</w:t>
      </w:r>
      <w:r w:rsidR="002A1B45">
        <w:rPr>
          <w:rFonts w:ascii="Segoe UI" w:hAnsi="Segoe UI" w:cs="Segoe UI"/>
          <w:sz w:val="20"/>
        </w:rPr>
        <w:t xml:space="preserve">. </w:t>
      </w:r>
      <w:r w:rsidR="00E81C94">
        <w:rPr>
          <w:rFonts w:ascii="Segoe UI" w:hAnsi="Segoe UI" w:cs="Segoe UI"/>
          <w:sz w:val="20"/>
        </w:rPr>
        <w:t xml:space="preserve">Σε ετήσια και δημοσιευμένη βάση, </w:t>
      </w:r>
      <w:r w:rsidR="002A1B45">
        <w:rPr>
          <w:rFonts w:ascii="Segoe UI" w:hAnsi="Segoe UI" w:cs="Segoe UI"/>
          <w:sz w:val="20"/>
        </w:rPr>
        <w:t>ο</w:t>
      </w:r>
      <w:r w:rsidR="002A1B45" w:rsidRPr="002A1B45">
        <w:rPr>
          <w:rFonts w:ascii="Segoe UI" w:hAnsi="Segoe UI" w:cs="Segoe UI"/>
          <w:sz w:val="20"/>
        </w:rPr>
        <w:t>ι λειτουργικές δαπάνες</w:t>
      </w:r>
      <w:r w:rsidR="002C73BA" w:rsidRPr="002C73BA">
        <w:rPr>
          <w:rFonts w:ascii="Segoe UI" w:hAnsi="Segoe UI" w:cs="Segoe UI"/>
          <w:sz w:val="20"/>
        </w:rPr>
        <w:t xml:space="preserve"> </w:t>
      </w:r>
      <w:r w:rsidR="002A1B45">
        <w:rPr>
          <w:rFonts w:ascii="Segoe UI" w:hAnsi="Segoe UI" w:cs="Segoe UI"/>
          <w:sz w:val="20"/>
        </w:rPr>
        <w:t xml:space="preserve">μειώθηκαν κατά 1,4% </w:t>
      </w:r>
      <w:r w:rsidR="00E81C94">
        <w:rPr>
          <w:rFonts w:ascii="Segoe UI" w:hAnsi="Segoe UI" w:cs="Segoe UI"/>
          <w:sz w:val="20"/>
        </w:rPr>
        <w:t xml:space="preserve">το Α’ εξάμηνο 2020, καθώς η σημαντική </w:t>
      </w:r>
      <w:r w:rsidR="00BE53FA">
        <w:rPr>
          <w:rFonts w:ascii="Segoe UI" w:hAnsi="Segoe UI" w:cs="Segoe UI"/>
          <w:sz w:val="20"/>
        </w:rPr>
        <w:t>αποκλιμάκωση</w:t>
      </w:r>
      <w:r w:rsidR="00E81C94">
        <w:rPr>
          <w:rFonts w:ascii="Segoe UI" w:hAnsi="Segoe UI" w:cs="Segoe UI"/>
          <w:sz w:val="20"/>
        </w:rPr>
        <w:t xml:space="preserve"> </w:t>
      </w:r>
      <w:r w:rsidR="00E81C94" w:rsidRPr="00E81C94">
        <w:rPr>
          <w:rFonts w:ascii="Segoe UI" w:hAnsi="Segoe UI" w:cs="Segoe UI"/>
          <w:sz w:val="20"/>
        </w:rPr>
        <w:t>των δαπανών προσωπικού (-</w:t>
      </w:r>
      <w:r w:rsidR="00E81C94">
        <w:rPr>
          <w:rFonts w:ascii="Segoe UI" w:hAnsi="Segoe UI" w:cs="Segoe UI"/>
          <w:sz w:val="20"/>
        </w:rPr>
        <w:t>9</w:t>
      </w:r>
      <w:r w:rsidR="00E81C94" w:rsidRPr="00E81C94">
        <w:rPr>
          <w:rFonts w:ascii="Segoe UI" w:hAnsi="Segoe UI" w:cs="Segoe UI"/>
          <w:sz w:val="20"/>
        </w:rPr>
        <w:t xml:space="preserve">,2% σε </w:t>
      </w:r>
      <w:r w:rsidR="00E81C94">
        <w:rPr>
          <w:rFonts w:ascii="Segoe UI" w:hAnsi="Segoe UI" w:cs="Segoe UI"/>
          <w:sz w:val="20"/>
        </w:rPr>
        <w:t>ετήσια</w:t>
      </w:r>
      <w:r w:rsidR="00E81C94" w:rsidRPr="00E81C94">
        <w:rPr>
          <w:rFonts w:ascii="Segoe UI" w:hAnsi="Segoe UI" w:cs="Segoe UI"/>
          <w:sz w:val="20"/>
        </w:rPr>
        <w:t xml:space="preserve"> βάση</w:t>
      </w:r>
      <w:r w:rsidR="00E81C94">
        <w:rPr>
          <w:rFonts w:ascii="Segoe UI" w:hAnsi="Segoe UI" w:cs="Segoe UI"/>
          <w:sz w:val="20"/>
        </w:rPr>
        <w:t xml:space="preserve">) </w:t>
      </w:r>
      <w:r w:rsidR="00E81C94" w:rsidRPr="00E81C94">
        <w:rPr>
          <w:rFonts w:ascii="Segoe UI" w:hAnsi="Segoe UI" w:cs="Segoe UI"/>
          <w:sz w:val="20"/>
        </w:rPr>
        <w:t>και των γενικών διοικητικών και λοιπών λειτουργικών εξόδων</w:t>
      </w:r>
      <w:r w:rsidR="00426BCB" w:rsidRPr="00426BCB">
        <w:rPr>
          <w:rFonts w:ascii="Segoe UI" w:hAnsi="Segoe UI" w:cs="Segoe UI"/>
          <w:sz w:val="20"/>
        </w:rPr>
        <w:t xml:space="preserve">       </w:t>
      </w:r>
      <w:r w:rsidR="00E81C94">
        <w:rPr>
          <w:rFonts w:ascii="Segoe UI" w:hAnsi="Segoe UI" w:cs="Segoe UI"/>
          <w:sz w:val="20"/>
        </w:rPr>
        <w:t xml:space="preserve"> </w:t>
      </w:r>
      <w:r w:rsidR="00E81C94" w:rsidRPr="00E81C94">
        <w:rPr>
          <w:rFonts w:ascii="Segoe UI" w:hAnsi="Segoe UI" w:cs="Segoe UI"/>
          <w:sz w:val="20"/>
        </w:rPr>
        <w:t>(-</w:t>
      </w:r>
      <w:r w:rsidR="00E81C94">
        <w:rPr>
          <w:rFonts w:ascii="Segoe UI" w:hAnsi="Segoe UI" w:cs="Segoe UI"/>
          <w:sz w:val="20"/>
        </w:rPr>
        <w:t>6,1</w:t>
      </w:r>
      <w:r w:rsidR="00E81C94" w:rsidRPr="00E81C94">
        <w:rPr>
          <w:rFonts w:ascii="Segoe UI" w:hAnsi="Segoe UI" w:cs="Segoe UI"/>
          <w:sz w:val="20"/>
        </w:rPr>
        <w:t>% σε ετήσια βάση)</w:t>
      </w:r>
      <w:r w:rsidR="00F8755F">
        <w:rPr>
          <w:rFonts w:ascii="Segoe UI" w:hAnsi="Segoe UI" w:cs="Segoe UI"/>
          <w:sz w:val="20"/>
        </w:rPr>
        <w:t xml:space="preserve"> σχεδόν αντισταθμίστηκε από </w:t>
      </w:r>
      <w:r w:rsidR="002C73BA" w:rsidRPr="002C73BA">
        <w:rPr>
          <w:rFonts w:ascii="Segoe UI" w:hAnsi="Segoe UI" w:cs="Segoe UI"/>
          <w:sz w:val="20"/>
        </w:rPr>
        <w:t xml:space="preserve">την αύξηση των αποσβέσεων </w:t>
      </w:r>
      <w:r w:rsidR="00D86347" w:rsidRPr="00D86347">
        <w:rPr>
          <w:rFonts w:ascii="Segoe UI" w:hAnsi="Segoe UI" w:cs="Segoe UI"/>
          <w:sz w:val="20"/>
        </w:rPr>
        <w:t>(</w:t>
      </w:r>
      <w:r w:rsidR="00D86347">
        <w:rPr>
          <w:rFonts w:ascii="Segoe UI" w:hAnsi="Segoe UI" w:cs="Segoe UI"/>
          <w:sz w:val="20"/>
        </w:rPr>
        <w:t>+</w:t>
      </w:r>
      <w:r w:rsidR="00F8755F">
        <w:rPr>
          <w:rFonts w:ascii="Segoe UI" w:hAnsi="Segoe UI" w:cs="Segoe UI"/>
          <w:sz w:val="20"/>
        </w:rPr>
        <w:t>48,5</w:t>
      </w:r>
      <w:r w:rsidR="00D86347" w:rsidRPr="00D86347">
        <w:rPr>
          <w:rFonts w:ascii="Segoe UI" w:hAnsi="Segoe UI" w:cs="Segoe UI"/>
          <w:sz w:val="20"/>
        </w:rPr>
        <w:t xml:space="preserve">% </w:t>
      </w:r>
      <w:r w:rsidR="00D86347">
        <w:rPr>
          <w:rFonts w:ascii="Segoe UI" w:hAnsi="Segoe UI" w:cs="Segoe UI"/>
          <w:sz w:val="20"/>
        </w:rPr>
        <w:t>ή €</w:t>
      </w:r>
      <w:r w:rsidR="00F8755F">
        <w:rPr>
          <w:rFonts w:ascii="Segoe UI" w:hAnsi="Segoe UI" w:cs="Segoe UI"/>
          <w:sz w:val="20"/>
        </w:rPr>
        <w:t>23</w:t>
      </w:r>
      <w:r w:rsidR="00D86347">
        <w:rPr>
          <w:rFonts w:ascii="Segoe UI" w:hAnsi="Segoe UI" w:cs="Segoe UI"/>
          <w:sz w:val="20"/>
        </w:rPr>
        <w:t xml:space="preserve"> εκατ. σε ετήσια βάση)</w:t>
      </w:r>
      <w:r w:rsidR="00F8755F">
        <w:rPr>
          <w:rFonts w:ascii="Segoe UI" w:hAnsi="Segoe UI" w:cs="Segoe UI"/>
          <w:sz w:val="20"/>
        </w:rPr>
        <w:t xml:space="preserve">, </w:t>
      </w:r>
      <w:r w:rsidR="00BE53FA">
        <w:rPr>
          <w:rFonts w:ascii="Segoe UI" w:hAnsi="Segoe UI" w:cs="Segoe UI"/>
          <w:sz w:val="20"/>
        </w:rPr>
        <w:t xml:space="preserve">ως αποτέλεσμα </w:t>
      </w:r>
      <w:r w:rsidR="002C73BA" w:rsidRPr="002C73BA">
        <w:rPr>
          <w:rFonts w:ascii="Segoe UI" w:hAnsi="Segoe UI" w:cs="Segoe UI"/>
          <w:sz w:val="20"/>
        </w:rPr>
        <w:t>τη</w:t>
      </w:r>
      <w:r w:rsidR="00BE53FA">
        <w:rPr>
          <w:rFonts w:ascii="Segoe UI" w:hAnsi="Segoe UI" w:cs="Segoe UI"/>
          <w:sz w:val="20"/>
        </w:rPr>
        <w:t>ς</w:t>
      </w:r>
      <w:r w:rsidR="002C73BA" w:rsidRPr="002C73BA">
        <w:rPr>
          <w:rFonts w:ascii="Segoe UI" w:hAnsi="Segoe UI" w:cs="Segoe UI"/>
          <w:sz w:val="20"/>
        </w:rPr>
        <w:t xml:space="preserve"> μετάβαση</w:t>
      </w:r>
      <w:r w:rsidR="00BE53FA">
        <w:rPr>
          <w:rFonts w:ascii="Segoe UI" w:hAnsi="Segoe UI" w:cs="Segoe UI"/>
          <w:sz w:val="20"/>
        </w:rPr>
        <w:t>ς</w:t>
      </w:r>
      <w:r w:rsidR="002C73BA" w:rsidRPr="002C73BA">
        <w:rPr>
          <w:rFonts w:ascii="Segoe UI" w:hAnsi="Segoe UI" w:cs="Segoe UI"/>
          <w:sz w:val="20"/>
        </w:rPr>
        <w:t xml:space="preserve"> </w:t>
      </w:r>
      <w:r w:rsidR="005E3B15" w:rsidRPr="00B52534">
        <w:rPr>
          <w:rFonts w:ascii="Segoe UI" w:hAnsi="Segoe UI" w:cs="Segoe UI"/>
          <w:sz w:val="20"/>
        </w:rPr>
        <w:t>στα μέσα του 2019</w:t>
      </w:r>
      <w:r w:rsidR="005E3B15">
        <w:rPr>
          <w:rFonts w:ascii="Segoe UI" w:hAnsi="Segoe UI" w:cs="Segoe UI"/>
          <w:sz w:val="20"/>
        </w:rPr>
        <w:t xml:space="preserve"> </w:t>
      </w:r>
      <w:r w:rsidR="002C73BA" w:rsidRPr="002C73BA">
        <w:rPr>
          <w:rFonts w:ascii="Segoe UI" w:hAnsi="Segoe UI" w:cs="Segoe UI"/>
          <w:sz w:val="20"/>
        </w:rPr>
        <w:t>στο ΔΠΧΑ 16</w:t>
      </w:r>
      <w:r w:rsidR="00D738D9" w:rsidRPr="00D738D9">
        <w:rPr>
          <w:rFonts w:ascii="Segoe UI" w:hAnsi="Segoe UI" w:cs="Segoe UI"/>
          <w:sz w:val="20"/>
        </w:rPr>
        <w:t>,</w:t>
      </w:r>
      <w:r w:rsidR="002C73BA" w:rsidRPr="002C73BA">
        <w:rPr>
          <w:rFonts w:ascii="Segoe UI" w:hAnsi="Segoe UI" w:cs="Segoe UI"/>
          <w:sz w:val="20"/>
        </w:rPr>
        <w:t xml:space="preserve"> </w:t>
      </w:r>
      <w:r w:rsidR="00783E56" w:rsidRPr="00783E56">
        <w:rPr>
          <w:rFonts w:ascii="Segoe UI" w:hAnsi="Segoe UI" w:cs="Segoe UI"/>
          <w:sz w:val="20"/>
        </w:rPr>
        <w:t xml:space="preserve">σε συνδυασμό με την </w:t>
      </w:r>
      <w:r w:rsidR="00B52534" w:rsidRPr="00B52534">
        <w:rPr>
          <w:rFonts w:ascii="Segoe UI" w:hAnsi="Segoe UI" w:cs="Segoe UI"/>
          <w:sz w:val="20"/>
        </w:rPr>
        <w:t>πώληση του μειοψηφικού ποσοστού της ΕΤΕ στην Prodea</w:t>
      </w:r>
      <w:r w:rsidRPr="00714756">
        <w:rPr>
          <w:rFonts w:ascii="Segoe UI" w:hAnsi="Segoe UI" w:cs="Segoe UI"/>
          <w:sz w:val="20"/>
        </w:rPr>
        <w:t>.</w:t>
      </w:r>
      <w:r>
        <w:rPr>
          <w:rFonts w:ascii="Segoe UI" w:hAnsi="Segoe UI" w:cs="Segoe UI"/>
          <w:sz w:val="20"/>
        </w:rPr>
        <w:t xml:space="preserve"> </w:t>
      </w:r>
      <w:r w:rsidR="002C73BA">
        <w:rPr>
          <w:rFonts w:ascii="Segoe UI" w:hAnsi="Segoe UI" w:cs="Segoe UI"/>
          <w:sz w:val="20"/>
        </w:rPr>
        <w:t xml:space="preserve">Η αποκλιμάκωση των </w:t>
      </w:r>
      <w:r w:rsidR="002C73BA" w:rsidRPr="002C73BA">
        <w:rPr>
          <w:rFonts w:ascii="Segoe UI" w:hAnsi="Segoe UI" w:cs="Segoe UI"/>
          <w:sz w:val="20"/>
        </w:rPr>
        <w:t>δαπ</w:t>
      </w:r>
      <w:r w:rsidR="002C73BA">
        <w:rPr>
          <w:rFonts w:ascii="Segoe UI" w:hAnsi="Segoe UI" w:cs="Segoe UI"/>
          <w:sz w:val="20"/>
        </w:rPr>
        <w:t xml:space="preserve">ανών </w:t>
      </w:r>
      <w:r w:rsidR="002C73BA" w:rsidRPr="002C73BA">
        <w:rPr>
          <w:rFonts w:ascii="Segoe UI" w:hAnsi="Segoe UI" w:cs="Segoe UI"/>
          <w:sz w:val="20"/>
        </w:rPr>
        <w:t xml:space="preserve">προσωπικού </w:t>
      </w:r>
      <w:r w:rsidR="0017552B">
        <w:rPr>
          <w:rFonts w:ascii="Segoe UI" w:hAnsi="Segoe UI" w:cs="Segoe UI"/>
          <w:sz w:val="20"/>
        </w:rPr>
        <w:t>αντανακλά</w:t>
      </w:r>
      <w:r w:rsidR="002C73BA" w:rsidRPr="002C73BA">
        <w:rPr>
          <w:rFonts w:ascii="Segoe UI" w:hAnsi="Segoe UI" w:cs="Segoe UI"/>
          <w:sz w:val="20"/>
        </w:rPr>
        <w:t xml:space="preserve"> </w:t>
      </w:r>
      <w:r w:rsidR="005B6C90">
        <w:rPr>
          <w:rFonts w:ascii="Segoe UI" w:hAnsi="Segoe UI" w:cs="Segoe UI"/>
          <w:sz w:val="20"/>
        </w:rPr>
        <w:t>τη</w:t>
      </w:r>
      <w:r w:rsidR="002C73BA" w:rsidRPr="002C73BA">
        <w:rPr>
          <w:rFonts w:ascii="Segoe UI" w:hAnsi="Segoe UI" w:cs="Segoe UI"/>
          <w:sz w:val="20"/>
        </w:rPr>
        <w:t xml:space="preserve"> θετική επίπτωση </w:t>
      </w:r>
      <w:r w:rsidR="004A6211">
        <w:rPr>
          <w:rFonts w:ascii="Segoe UI" w:hAnsi="Segoe UI" w:cs="Segoe UI"/>
          <w:sz w:val="20"/>
        </w:rPr>
        <w:t xml:space="preserve">σε επίπεδο τριμήνου </w:t>
      </w:r>
      <w:r w:rsidR="002C73BA" w:rsidRPr="002C73BA">
        <w:rPr>
          <w:rFonts w:ascii="Segoe UI" w:hAnsi="Segoe UI" w:cs="Segoe UI"/>
          <w:sz w:val="20"/>
        </w:rPr>
        <w:t>τη</w:t>
      </w:r>
      <w:r w:rsidR="00D738D9">
        <w:rPr>
          <w:rFonts w:ascii="Segoe UI" w:hAnsi="Segoe UI" w:cs="Segoe UI"/>
          <w:sz w:val="20"/>
        </w:rPr>
        <w:t>ς</w:t>
      </w:r>
      <w:r w:rsidR="002C73BA" w:rsidRPr="002C73BA">
        <w:rPr>
          <w:rFonts w:ascii="Segoe UI" w:hAnsi="Segoe UI" w:cs="Segoe UI"/>
          <w:sz w:val="20"/>
        </w:rPr>
        <w:t xml:space="preserve"> επιτυχ</w:t>
      </w:r>
      <w:r w:rsidR="00D738D9">
        <w:rPr>
          <w:rFonts w:ascii="Segoe UI" w:hAnsi="Segoe UI" w:cs="Segoe UI"/>
          <w:sz w:val="20"/>
        </w:rPr>
        <w:t>ούς</w:t>
      </w:r>
      <w:r w:rsidR="002C73BA" w:rsidRPr="002C73BA">
        <w:rPr>
          <w:rFonts w:ascii="Segoe UI" w:hAnsi="Segoe UI" w:cs="Segoe UI"/>
          <w:sz w:val="20"/>
        </w:rPr>
        <w:t xml:space="preserve"> ολοκλήρωση</w:t>
      </w:r>
      <w:r w:rsidR="00D738D9">
        <w:rPr>
          <w:rFonts w:ascii="Segoe UI" w:hAnsi="Segoe UI" w:cs="Segoe UI"/>
          <w:sz w:val="20"/>
        </w:rPr>
        <w:t>ς</w:t>
      </w:r>
      <w:r w:rsidR="002C73BA" w:rsidRPr="002C73BA">
        <w:rPr>
          <w:rFonts w:ascii="Segoe UI" w:hAnsi="Segoe UI" w:cs="Segoe UI"/>
          <w:sz w:val="20"/>
        </w:rPr>
        <w:t xml:space="preserve"> του Προγράμματος </w:t>
      </w:r>
      <w:r w:rsidR="002C73BA" w:rsidRPr="00B52534">
        <w:rPr>
          <w:rFonts w:ascii="Segoe UI" w:hAnsi="Segoe UI" w:cs="Segoe UI"/>
          <w:sz w:val="20"/>
        </w:rPr>
        <w:t>Εθελουσίας Εξόδου Προσωπικού</w:t>
      </w:r>
      <w:r w:rsidR="0017552B" w:rsidRPr="00B52534">
        <w:rPr>
          <w:rFonts w:ascii="Segoe UI" w:hAnsi="Segoe UI" w:cs="Segoe UI"/>
          <w:sz w:val="20"/>
        </w:rPr>
        <w:t xml:space="preserve"> το Φεβρουάριο 2020</w:t>
      </w:r>
      <w:r w:rsidR="005B6C90">
        <w:rPr>
          <w:rFonts w:ascii="Segoe UI" w:hAnsi="Segoe UI" w:cs="Segoe UI"/>
          <w:sz w:val="20"/>
        </w:rPr>
        <w:t>, με τη συμμετοχή να ανέρχεται σε περίπου 1,100</w:t>
      </w:r>
      <w:r w:rsidR="00B71017" w:rsidRPr="00B52534">
        <w:rPr>
          <w:rFonts w:ascii="Segoe UI" w:hAnsi="Segoe UI" w:cs="Segoe UI"/>
          <w:sz w:val="20"/>
        </w:rPr>
        <w:t xml:space="preserve"> εργαζ</w:t>
      </w:r>
      <w:r w:rsidR="005B6C90">
        <w:rPr>
          <w:rFonts w:ascii="Segoe UI" w:hAnsi="Segoe UI" w:cs="Segoe UI"/>
          <w:sz w:val="20"/>
        </w:rPr>
        <w:t>όμενους</w:t>
      </w:r>
      <w:r w:rsidRPr="00714756">
        <w:rPr>
          <w:rFonts w:ascii="Segoe UI" w:hAnsi="Segoe UI" w:cs="Segoe UI"/>
          <w:sz w:val="20"/>
        </w:rPr>
        <w:t xml:space="preserve">. </w:t>
      </w:r>
    </w:p>
    <w:p w:rsidR="002C5847" w:rsidRPr="002A098F" w:rsidRDefault="00E57354" w:rsidP="00E55AED">
      <w:pPr>
        <w:autoSpaceDE w:val="0"/>
        <w:autoSpaceDN w:val="0"/>
        <w:adjustRightInd w:val="0"/>
        <w:spacing w:after="160" w:line="320" w:lineRule="atLeast"/>
        <w:jc w:val="both"/>
        <w:rPr>
          <w:rFonts w:ascii="Segoe UI" w:hAnsi="Segoe UI" w:cs="Segoe UI"/>
          <w:sz w:val="20"/>
        </w:rPr>
      </w:pPr>
      <w:r>
        <w:rPr>
          <w:rFonts w:ascii="Segoe UI" w:hAnsi="Segoe UI" w:cs="Segoe UI"/>
          <w:sz w:val="20"/>
        </w:rPr>
        <w:t>Ο</w:t>
      </w:r>
      <w:r w:rsidR="002C5847" w:rsidRPr="002C5847">
        <w:rPr>
          <w:rFonts w:ascii="Segoe UI" w:hAnsi="Segoe UI" w:cs="Segoe UI"/>
          <w:sz w:val="20"/>
        </w:rPr>
        <w:t xml:space="preserve">ι </w:t>
      </w:r>
      <w:r w:rsidR="002C5847" w:rsidRPr="002C5847">
        <w:rPr>
          <w:rFonts w:ascii="Segoe UI" w:hAnsi="Segoe UI" w:cs="Segoe UI"/>
          <w:b/>
          <w:sz w:val="20"/>
        </w:rPr>
        <w:t>προβλέψεις για επισφαλείς απαιτήσεις</w:t>
      </w:r>
      <w:r w:rsidR="00076A0A">
        <w:rPr>
          <w:rFonts w:ascii="Segoe UI" w:hAnsi="Segoe UI" w:cs="Segoe UI"/>
          <w:b/>
          <w:sz w:val="20"/>
        </w:rPr>
        <w:t xml:space="preserve"> </w:t>
      </w:r>
      <w:r w:rsidR="0093085C">
        <w:rPr>
          <w:rFonts w:ascii="Segoe UI" w:hAnsi="Segoe UI" w:cs="Segoe UI"/>
          <w:sz w:val="20"/>
        </w:rPr>
        <w:t xml:space="preserve">διαμορφώθηκαν </w:t>
      </w:r>
      <w:r w:rsidR="002C5847">
        <w:rPr>
          <w:rFonts w:ascii="Segoe UI" w:hAnsi="Segoe UI" w:cs="Segoe UI"/>
          <w:sz w:val="20"/>
        </w:rPr>
        <w:t>σε €</w:t>
      </w:r>
      <w:r w:rsidR="00A15A16" w:rsidRPr="00A15A16">
        <w:rPr>
          <w:rFonts w:ascii="Segoe UI" w:hAnsi="Segoe UI" w:cs="Segoe UI"/>
          <w:sz w:val="20"/>
        </w:rPr>
        <w:t>6</w:t>
      </w:r>
      <w:r w:rsidR="00C40D83">
        <w:rPr>
          <w:rFonts w:ascii="Segoe UI" w:hAnsi="Segoe UI" w:cs="Segoe UI"/>
          <w:sz w:val="20"/>
        </w:rPr>
        <w:t>5</w:t>
      </w:r>
      <w:r>
        <w:rPr>
          <w:rFonts w:ascii="Segoe UI" w:hAnsi="Segoe UI" w:cs="Segoe UI"/>
          <w:sz w:val="20"/>
        </w:rPr>
        <w:t xml:space="preserve"> </w:t>
      </w:r>
      <w:r w:rsidR="002C5847">
        <w:rPr>
          <w:rFonts w:ascii="Segoe UI" w:hAnsi="Segoe UI" w:cs="Segoe UI"/>
          <w:sz w:val="20"/>
        </w:rPr>
        <w:t xml:space="preserve">εκατ. </w:t>
      </w:r>
      <w:r w:rsidR="00B11DD9">
        <w:rPr>
          <w:rFonts w:ascii="Segoe UI" w:hAnsi="Segoe UI" w:cs="Segoe UI"/>
          <w:sz w:val="20"/>
        </w:rPr>
        <w:t xml:space="preserve">το </w:t>
      </w:r>
      <w:r w:rsidR="00C40D83">
        <w:rPr>
          <w:rFonts w:ascii="Segoe UI" w:hAnsi="Segoe UI" w:cs="Segoe UI"/>
          <w:sz w:val="20"/>
        </w:rPr>
        <w:t>Β</w:t>
      </w:r>
      <w:r w:rsidR="00B11DD9">
        <w:rPr>
          <w:rFonts w:ascii="Segoe UI" w:hAnsi="Segoe UI" w:cs="Segoe UI"/>
          <w:sz w:val="20"/>
        </w:rPr>
        <w:t>’ τρίμηνο 20</w:t>
      </w:r>
      <w:r>
        <w:rPr>
          <w:rFonts w:ascii="Segoe UI" w:hAnsi="Segoe UI" w:cs="Segoe UI"/>
          <w:sz w:val="20"/>
        </w:rPr>
        <w:t>20</w:t>
      </w:r>
      <w:r w:rsidR="00C40D83">
        <w:rPr>
          <w:rFonts w:ascii="Segoe UI" w:hAnsi="Segoe UI" w:cs="Segoe UI"/>
          <w:sz w:val="20"/>
        </w:rPr>
        <w:t>,</w:t>
      </w:r>
      <w:r>
        <w:rPr>
          <w:rFonts w:ascii="Segoe UI" w:hAnsi="Segoe UI" w:cs="Segoe UI"/>
          <w:sz w:val="20"/>
        </w:rPr>
        <w:t xml:space="preserve"> </w:t>
      </w:r>
      <w:r w:rsidR="00A15A16">
        <w:rPr>
          <w:rFonts w:ascii="Segoe UI" w:hAnsi="Segoe UI" w:cs="Segoe UI"/>
          <w:sz w:val="20"/>
        </w:rPr>
        <w:t>ήτοι 94</w:t>
      </w:r>
      <w:r w:rsidR="00C40D83" w:rsidRPr="00C40D83">
        <w:rPr>
          <w:rFonts w:ascii="Segoe UI" w:hAnsi="Segoe UI" w:cs="Segoe UI"/>
          <w:sz w:val="20"/>
        </w:rPr>
        <w:t>μ.β. επί του μέσου όρου δανείων μετά προβλέψεων</w:t>
      </w:r>
      <w:r w:rsidR="00D45FFF">
        <w:rPr>
          <w:rFonts w:ascii="Segoe UI" w:hAnsi="Segoe UI" w:cs="Segoe UI"/>
          <w:sz w:val="20"/>
        </w:rPr>
        <w:t>,</w:t>
      </w:r>
      <w:r w:rsidR="00C40D83">
        <w:rPr>
          <w:rFonts w:ascii="Segoe UI" w:hAnsi="Segoe UI" w:cs="Segoe UI"/>
          <w:sz w:val="20"/>
        </w:rPr>
        <w:t xml:space="preserve"> από €70 εκατ. το Α’ τρίμηνο 2020, ε</w:t>
      </w:r>
      <w:r w:rsidR="00C40D83" w:rsidRPr="00C40D83">
        <w:rPr>
          <w:rFonts w:ascii="Segoe UI" w:hAnsi="Segoe UI" w:cs="Segoe UI"/>
          <w:sz w:val="20"/>
        </w:rPr>
        <w:t xml:space="preserve">ξαιρώντας τις προβλέψεις </w:t>
      </w:r>
      <w:r w:rsidR="00C40D83" w:rsidRPr="00C40D83">
        <w:rPr>
          <w:rFonts w:ascii="Segoe UI" w:hAnsi="Segoe UI" w:cs="Segoe UI"/>
          <w:sz w:val="20"/>
        </w:rPr>
        <w:lastRenderedPageBreak/>
        <w:t xml:space="preserve">απομείωσης </w:t>
      </w:r>
      <w:r w:rsidR="00555946" w:rsidRPr="00C40D83">
        <w:rPr>
          <w:rFonts w:ascii="Segoe UI" w:hAnsi="Segoe UI" w:cs="Segoe UI"/>
          <w:sz w:val="20"/>
        </w:rPr>
        <w:t>σχετιζόμεν</w:t>
      </w:r>
      <w:r w:rsidR="00555946">
        <w:rPr>
          <w:rFonts w:ascii="Segoe UI" w:hAnsi="Segoe UI" w:cs="Segoe UI"/>
          <w:sz w:val="20"/>
        </w:rPr>
        <w:t xml:space="preserve">ες με την πανδημία του κορωνοϊού </w:t>
      </w:r>
      <w:r w:rsidR="00555946" w:rsidRPr="00C40D83">
        <w:rPr>
          <w:rFonts w:ascii="Segoe UI" w:hAnsi="Segoe UI" w:cs="Segoe UI"/>
          <w:sz w:val="20"/>
        </w:rPr>
        <w:t xml:space="preserve">ύψους </w:t>
      </w:r>
      <w:r w:rsidR="00555946">
        <w:rPr>
          <w:rFonts w:ascii="Segoe UI" w:hAnsi="Segoe UI" w:cs="Segoe UI"/>
          <w:sz w:val="20"/>
        </w:rPr>
        <w:t xml:space="preserve">€10 εκατ. το Β’ τρίμηνο 2020 και </w:t>
      </w:r>
      <w:r w:rsidR="00C40D83" w:rsidRPr="00C40D83">
        <w:rPr>
          <w:rFonts w:ascii="Segoe UI" w:hAnsi="Segoe UI" w:cs="Segoe UI"/>
          <w:sz w:val="20"/>
        </w:rPr>
        <w:t xml:space="preserve">€416 εκατ. </w:t>
      </w:r>
      <w:r w:rsidR="00555946" w:rsidRPr="00555946">
        <w:rPr>
          <w:rFonts w:ascii="Segoe UI" w:hAnsi="Segoe UI" w:cs="Segoe UI"/>
          <w:sz w:val="20"/>
        </w:rPr>
        <w:t xml:space="preserve">το </w:t>
      </w:r>
      <w:r w:rsidR="00555946">
        <w:rPr>
          <w:rFonts w:ascii="Segoe UI" w:hAnsi="Segoe UI" w:cs="Segoe UI"/>
          <w:sz w:val="20"/>
        </w:rPr>
        <w:t>Α</w:t>
      </w:r>
      <w:r w:rsidR="00555946" w:rsidRPr="00555946">
        <w:rPr>
          <w:rFonts w:ascii="Segoe UI" w:hAnsi="Segoe UI" w:cs="Segoe UI"/>
          <w:sz w:val="20"/>
        </w:rPr>
        <w:t xml:space="preserve">’ τρίμηνο </w:t>
      </w:r>
      <w:r w:rsidR="00555946">
        <w:rPr>
          <w:rFonts w:ascii="Segoe UI" w:hAnsi="Segoe UI" w:cs="Segoe UI"/>
          <w:sz w:val="20"/>
        </w:rPr>
        <w:t xml:space="preserve">2020 </w:t>
      </w:r>
      <w:r w:rsidR="00605451">
        <w:rPr>
          <w:rFonts w:ascii="Segoe UI" w:hAnsi="Segoe UI" w:cs="Segoe UI"/>
          <w:sz w:val="20"/>
        </w:rPr>
        <w:t>(</w:t>
      </w:r>
      <w:r w:rsidR="00C150AE">
        <w:rPr>
          <w:rFonts w:ascii="Segoe UI" w:hAnsi="Segoe UI" w:cs="Segoe UI"/>
          <w:sz w:val="20"/>
        </w:rPr>
        <w:t xml:space="preserve">ήτοι </w:t>
      </w:r>
      <w:r w:rsidR="002C5847">
        <w:rPr>
          <w:rFonts w:ascii="Segoe UI" w:hAnsi="Segoe UI" w:cs="Segoe UI"/>
          <w:sz w:val="20"/>
        </w:rPr>
        <w:t>1</w:t>
      </w:r>
      <w:r w:rsidR="000A5093">
        <w:rPr>
          <w:rFonts w:ascii="Segoe UI" w:hAnsi="Segoe UI" w:cs="Segoe UI"/>
          <w:sz w:val="20"/>
        </w:rPr>
        <w:t>5</w:t>
      </w:r>
      <w:r w:rsidR="00D45FFF">
        <w:rPr>
          <w:rFonts w:ascii="Segoe UI" w:hAnsi="Segoe UI" w:cs="Segoe UI"/>
          <w:sz w:val="20"/>
        </w:rPr>
        <w:t>0</w:t>
      </w:r>
      <w:r w:rsidR="002C5847" w:rsidRPr="002C5847">
        <w:rPr>
          <w:rFonts w:ascii="Segoe UI" w:hAnsi="Segoe UI" w:cs="Segoe UI"/>
          <w:sz w:val="20"/>
        </w:rPr>
        <w:t xml:space="preserve">μ.β. </w:t>
      </w:r>
      <w:r w:rsidR="00D45FFF">
        <w:rPr>
          <w:rFonts w:ascii="Segoe UI" w:hAnsi="Segoe UI" w:cs="Segoe UI"/>
          <w:sz w:val="20"/>
        </w:rPr>
        <w:t xml:space="preserve">επί του μέσου όρου δανείων μετά </w:t>
      </w:r>
      <w:r w:rsidR="00976026">
        <w:rPr>
          <w:rFonts w:ascii="Segoe UI" w:hAnsi="Segoe UI" w:cs="Segoe UI"/>
          <w:sz w:val="20"/>
        </w:rPr>
        <w:t xml:space="preserve">από </w:t>
      </w:r>
      <w:r w:rsidR="00D45FFF">
        <w:rPr>
          <w:rFonts w:ascii="Segoe UI" w:hAnsi="Segoe UI" w:cs="Segoe UI"/>
          <w:sz w:val="20"/>
        </w:rPr>
        <w:t>προβλέψε</w:t>
      </w:r>
      <w:r w:rsidR="00976026">
        <w:rPr>
          <w:rFonts w:ascii="Segoe UI" w:hAnsi="Segoe UI" w:cs="Segoe UI"/>
          <w:sz w:val="20"/>
        </w:rPr>
        <w:t>ις</w:t>
      </w:r>
      <w:r w:rsidR="00605451">
        <w:rPr>
          <w:rFonts w:ascii="Segoe UI" w:hAnsi="Segoe UI" w:cs="Segoe UI"/>
          <w:sz w:val="20"/>
        </w:rPr>
        <w:t xml:space="preserve">, </w:t>
      </w:r>
      <w:r w:rsidR="00C002C2" w:rsidRPr="00C002C2">
        <w:rPr>
          <w:rFonts w:ascii="Segoe UI" w:hAnsi="Segoe UI" w:cs="Segoe UI"/>
          <w:sz w:val="20"/>
        </w:rPr>
        <w:t>μη ετησιοποιημέν</w:t>
      </w:r>
      <w:r w:rsidR="00D16FAA">
        <w:rPr>
          <w:rFonts w:ascii="Segoe UI" w:hAnsi="Segoe UI" w:cs="Segoe UI"/>
          <w:sz w:val="20"/>
        </w:rPr>
        <w:t>ες</w:t>
      </w:r>
      <w:r w:rsidR="00C002C2">
        <w:rPr>
          <w:rFonts w:ascii="Segoe UI" w:hAnsi="Segoe UI" w:cs="Segoe UI"/>
          <w:sz w:val="20"/>
        </w:rPr>
        <w:t>)</w:t>
      </w:r>
      <w:r w:rsidR="00D45FFF">
        <w:rPr>
          <w:rFonts w:ascii="Segoe UI" w:hAnsi="Segoe UI" w:cs="Segoe UI"/>
          <w:sz w:val="20"/>
        </w:rPr>
        <w:t xml:space="preserve">. </w:t>
      </w:r>
      <w:r w:rsidR="002A098F">
        <w:rPr>
          <w:rFonts w:ascii="Segoe UI" w:hAnsi="Segoe UI" w:cs="Segoe UI"/>
          <w:sz w:val="20"/>
        </w:rPr>
        <w:t>Ε</w:t>
      </w:r>
      <w:r w:rsidR="002A098F" w:rsidRPr="00BF618F">
        <w:rPr>
          <w:rFonts w:ascii="Segoe UI" w:hAnsi="Segoe UI" w:cs="Segoe UI"/>
          <w:sz w:val="20"/>
        </w:rPr>
        <w:t xml:space="preserve">ξαιρουμένων </w:t>
      </w:r>
      <w:r w:rsidR="002A098F" w:rsidRPr="00CB5B54">
        <w:rPr>
          <w:rFonts w:ascii="Segoe UI" w:hAnsi="Segoe UI" w:cs="Segoe UI"/>
          <w:sz w:val="20"/>
        </w:rPr>
        <w:t>των επισφαλ</w:t>
      </w:r>
      <w:r w:rsidR="00304385">
        <w:rPr>
          <w:rFonts w:ascii="Segoe UI" w:hAnsi="Segoe UI" w:cs="Segoe UI"/>
          <w:sz w:val="20"/>
        </w:rPr>
        <w:t>ών</w:t>
      </w:r>
      <w:r w:rsidR="002A098F" w:rsidRPr="00CB5B54">
        <w:rPr>
          <w:rFonts w:ascii="Segoe UI" w:hAnsi="Segoe UI" w:cs="Segoe UI"/>
          <w:sz w:val="20"/>
        </w:rPr>
        <w:t xml:space="preserve"> απαιτήσε</w:t>
      </w:r>
      <w:r w:rsidR="00304385">
        <w:rPr>
          <w:rFonts w:ascii="Segoe UI" w:hAnsi="Segoe UI" w:cs="Segoe UI"/>
          <w:sz w:val="20"/>
        </w:rPr>
        <w:t>ων</w:t>
      </w:r>
      <w:r w:rsidR="006559BE" w:rsidRPr="006559BE">
        <w:rPr>
          <w:rFonts w:ascii="Segoe UI" w:hAnsi="Segoe UI" w:cs="Segoe UI"/>
          <w:sz w:val="20"/>
        </w:rPr>
        <w:t xml:space="preserve"> </w:t>
      </w:r>
      <w:r w:rsidR="006559BE">
        <w:rPr>
          <w:rFonts w:ascii="Segoe UI" w:hAnsi="Segoe UI" w:cs="Segoe UI"/>
          <w:sz w:val="20"/>
        </w:rPr>
        <w:t>ύψους €426 εκατ. το Α’ εξάμηνο 2020</w:t>
      </w:r>
      <w:r w:rsidR="002A098F" w:rsidRPr="00BF618F">
        <w:rPr>
          <w:rFonts w:ascii="Segoe UI" w:hAnsi="Segoe UI" w:cs="Segoe UI"/>
          <w:sz w:val="20"/>
        </w:rPr>
        <w:t>, ως απόρροια της οικονομικής κρίσης του κορωνοϊού</w:t>
      </w:r>
      <w:r w:rsidR="002A098F">
        <w:rPr>
          <w:rFonts w:ascii="Segoe UI" w:hAnsi="Segoe UI" w:cs="Segoe UI"/>
          <w:sz w:val="20"/>
        </w:rPr>
        <w:t>, τ</w:t>
      </w:r>
      <w:r w:rsidR="002C5847" w:rsidRPr="002C5847">
        <w:rPr>
          <w:rFonts w:ascii="Segoe UI" w:hAnsi="Segoe UI" w:cs="Segoe UI"/>
          <w:sz w:val="20"/>
        </w:rPr>
        <w:t>ο κόστος πιστωτικού κινδύνου διαμορφώ</w:t>
      </w:r>
      <w:r w:rsidR="00230165">
        <w:rPr>
          <w:rFonts w:ascii="Segoe UI" w:hAnsi="Segoe UI" w:cs="Segoe UI"/>
          <w:sz w:val="20"/>
        </w:rPr>
        <w:t xml:space="preserve">θηκε </w:t>
      </w:r>
      <w:r w:rsidR="002C5847" w:rsidRPr="002C5847">
        <w:rPr>
          <w:rFonts w:ascii="Segoe UI" w:hAnsi="Segoe UI" w:cs="Segoe UI"/>
          <w:sz w:val="20"/>
        </w:rPr>
        <w:t xml:space="preserve">σε </w:t>
      </w:r>
      <w:r w:rsidR="003C2805">
        <w:rPr>
          <w:rFonts w:ascii="Segoe UI" w:hAnsi="Segoe UI" w:cs="Segoe UI"/>
          <w:sz w:val="20"/>
        </w:rPr>
        <w:t>97</w:t>
      </w:r>
      <w:r w:rsidR="002C5847" w:rsidRPr="002C5847">
        <w:rPr>
          <w:rFonts w:ascii="Segoe UI" w:hAnsi="Segoe UI" w:cs="Segoe UI"/>
          <w:sz w:val="20"/>
        </w:rPr>
        <w:t>μ.β.</w:t>
      </w:r>
      <w:r w:rsidR="00BF618F" w:rsidRPr="00BF618F">
        <w:rPr>
          <w:rFonts w:ascii="Segoe UI" w:hAnsi="Segoe UI" w:cs="Segoe UI"/>
          <w:sz w:val="20"/>
        </w:rPr>
        <w:t xml:space="preserve"> </w:t>
      </w:r>
      <w:r w:rsidR="00230165">
        <w:rPr>
          <w:rFonts w:ascii="Segoe UI" w:hAnsi="Segoe UI" w:cs="Segoe UI"/>
          <w:sz w:val="20"/>
        </w:rPr>
        <w:t xml:space="preserve"> </w:t>
      </w:r>
    </w:p>
    <w:p w:rsidR="00283FBA" w:rsidRDefault="00283FBA" w:rsidP="00283FBA">
      <w:pPr>
        <w:autoSpaceDE w:val="0"/>
        <w:autoSpaceDN w:val="0"/>
        <w:adjustRightInd w:val="0"/>
        <w:spacing w:after="160" w:line="320" w:lineRule="atLeast"/>
        <w:jc w:val="both"/>
        <w:rPr>
          <w:rFonts w:ascii="Segoe UI" w:hAnsi="Segoe UI" w:cs="Segoe UI"/>
          <w:sz w:val="20"/>
        </w:rPr>
      </w:pPr>
      <w:r w:rsidRPr="0089052B">
        <w:rPr>
          <w:rFonts w:ascii="Segoe UI" w:hAnsi="Segoe UI" w:cs="Segoe UI"/>
          <w:sz w:val="20"/>
        </w:rPr>
        <w:t xml:space="preserve">Τα </w:t>
      </w:r>
      <w:r w:rsidR="00DA1D2F">
        <w:rPr>
          <w:rFonts w:ascii="Segoe UI" w:hAnsi="Segoe UI" w:cs="Segoe UI"/>
          <w:b/>
          <w:sz w:val="20"/>
        </w:rPr>
        <w:t xml:space="preserve">κέρδη </w:t>
      </w:r>
      <w:r w:rsidR="00D953CE">
        <w:rPr>
          <w:rFonts w:ascii="Segoe UI" w:hAnsi="Segoe UI" w:cs="Segoe UI"/>
          <w:b/>
          <w:sz w:val="20"/>
        </w:rPr>
        <w:t xml:space="preserve">μετά </w:t>
      </w:r>
      <w:r w:rsidR="006F2A9C" w:rsidRPr="006F2A9C">
        <w:rPr>
          <w:rFonts w:ascii="Segoe UI" w:hAnsi="Segoe UI" w:cs="Segoe UI"/>
          <w:b/>
          <w:sz w:val="20"/>
        </w:rPr>
        <w:t xml:space="preserve">από φόρους </w:t>
      </w:r>
      <w:r w:rsidR="00DA1D2F">
        <w:rPr>
          <w:rFonts w:ascii="Segoe UI" w:hAnsi="Segoe UI" w:cs="Segoe UI"/>
          <w:b/>
          <w:sz w:val="20"/>
        </w:rPr>
        <w:t xml:space="preserve">από συνεχιζόμενες δραστηριότητες </w:t>
      </w:r>
      <w:r w:rsidRPr="0089052B">
        <w:rPr>
          <w:rFonts w:ascii="Segoe UI" w:hAnsi="Segoe UI" w:cs="Segoe UI"/>
          <w:sz w:val="20"/>
        </w:rPr>
        <w:t>ανήλθαν σε €4</w:t>
      </w:r>
      <w:r w:rsidR="00DA1D2F">
        <w:rPr>
          <w:rFonts w:ascii="Segoe UI" w:hAnsi="Segoe UI" w:cs="Segoe UI"/>
          <w:sz w:val="20"/>
        </w:rPr>
        <w:t>57</w:t>
      </w:r>
      <w:r w:rsidRPr="0089052B">
        <w:rPr>
          <w:rFonts w:ascii="Segoe UI" w:hAnsi="Segoe UI" w:cs="Segoe UI"/>
          <w:sz w:val="20"/>
        </w:rPr>
        <w:t xml:space="preserve"> εκατ. το </w:t>
      </w:r>
      <w:r w:rsidRPr="00FB0379">
        <w:rPr>
          <w:rFonts w:ascii="Segoe UI" w:hAnsi="Segoe UI" w:cs="Segoe UI"/>
          <w:sz w:val="20"/>
        </w:rPr>
        <w:t xml:space="preserve">Α’ </w:t>
      </w:r>
      <w:r w:rsidR="00DA1D2F">
        <w:rPr>
          <w:rFonts w:ascii="Segoe UI" w:hAnsi="Segoe UI" w:cs="Segoe UI"/>
          <w:sz w:val="20"/>
        </w:rPr>
        <w:t>εξάμηνο</w:t>
      </w:r>
      <w:r w:rsidRPr="00FB0379">
        <w:rPr>
          <w:rFonts w:ascii="Segoe UI" w:hAnsi="Segoe UI" w:cs="Segoe UI"/>
          <w:sz w:val="20"/>
        </w:rPr>
        <w:t xml:space="preserve"> 2020 </w:t>
      </w:r>
      <w:r w:rsidRPr="0089052B">
        <w:rPr>
          <w:rFonts w:ascii="Segoe UI" w:hAnsi="Segoe UI" w:cs="Segoe UI"/>
          <w:sz w:val="20"/>
        </w:rPr>
        <w:t>από €</w:t>
      </w:r>
      <w:r w:rsidR="00DA1D2F">
        <w:rPr>
          <w:rFonts w:ascii="Segoe UI" w:hAnsi="Segoe UI" w:cs="Segoe UI"/>
          <w:sz w:val="20"/>
        </w:rPr>
        <w:t>239</w:t>
      </w:r>
      <w:r w:rsidRPr="0089052B">
        <w:rPr>
          <w:rFonts w:ascii="Segoe UI" w:hAnsi="Segoe UI" w:cs="Segoe UI"/>
          <w:sz w:val="20"/>
        </w:rPr>
        <w:t xml:space="preserve"> εκατ. </w:t>
      </w:r>
      <w:r>
        <w:rPr>
          <w:rFonts w:ascii="Segoe UI" w:hAnsi="Segoe UI" w:cs="Segoe UI"/>
          <w:sz w:val="20"/>
        </w:rPr>
        <w:t xml:space="preserve">το </w:t>
      </w:r>
      <w:r w:rsidRPr="00FB0379">
        <w:rPr>
          <w:rFonts w:ascii="Segoe UI" w:hAnsi="Segoe UI" w:cs="Segoe UI"/>
          <w:sz w:val="20"/>
        </w:rPr>
        <w:t xml:space="preserve">Α’ </w:t>
      </w:r>
      <w:r w:rsidR="00DA1D2F" w:rsidRPr="00DA1D2F">
        <w:rPr>
          <w:rFonts w:ascii="Segoe UI" w:hAnsi="Segoe UI" w:cs="Segoe UI"/>
          <w:sz w:val="20"/>
        </w:rPr>
        <w:t xml:space="preserve">εξάμηνο </w:t>
      </w:r>
      <w:r w:rsidRPr="00FB0379">
        <w:rPr>
          <w:rFonts w:ascii="Segoe UI" w:hAnsi="Segoe UI" w:cs="Segoe UI"/>
          <w:sz w:val="20"/>
        </w:rPr>
        <w:t>2019</w:t>
      </w:r>
      <w:r w:rsidR="00DA1D2F">
        <w:rPr>
          <w:rFonts w:ascii="Segoe UI" w:hAnsi="Segoe UI" w:cs="Segoe UI"/>
          <w:sz w:val="20"/>
        </w:rPr>
        <w:t xml:space="preserve">, </w:t>
      </w:r>
      <w:r w:rsidR="00663546">
        <w:rPr>
          <w:rFonts w:ascii="Segoe UI" w:hAnsi="Segoe UI" w:cs="Segoe UI"/>
          <w:sz w:val="20"/>
        </w:rPr>
        <w:t xml:space="preserve">εξαιρουμένου του </w:t>
      </w:r>
      <w:r w:rsidR="00D36274">
        <w:rPr>
          <w:rFonts w:ascii="Segoe UI" w:hAnsi="Segoe UI" w:cs="Segoe UI"/>
          <w:sz w:val="20"/>
        </w:rPr>
        <w:t>κ</w:t>
      </w:r>
      <w:r w:rsidR="00663546">
        <w:rPr>
          <w:rFonts w:ascii="Segoe UI" w:hAnsi="Segoe UI" w:cs="Segoe UI"/>
          <w:sz w:val="20"/>
        </w:rPr>
        <w:t>όστους Εθελουσίας Εξόδου Προσωπικού (€90 εκατ.), της δαπάνης για το ΛΕΠΕΤΕ (€19 εκατ.), καθώς και του κόστους αναδιάρθρωσης και λοιπών μη επαναλαμβανόμενων δαπανών (€</w:t>
      </w:r>
      <w:r w:rsidR="003D2F79" w:rsidRPr="005805EE">
        <w:rPr>
          <w:rFonts w:ascii="Segoe UI" w:hAnsi="Segoe UI" w:cs="Segoe UI"/>
          <w:sz w:val="20"/>
        </w:rPr>
        <w:t>8</w:t>
      </w:r>
      <w:r w:rsidR="00663546">
        <w:rPr>
          <w:rFonts w:ascii="Segoe UI" w:hAnsi="Segoe UI" w:cs="Segoe UI"/>
          <w:sz w:val="20"/>
        </w:rPr>
        <w:t xml:space="preserve"> εκατ.).</w:t>
      </w:r>
      <w:r w:rsidR="00330D58" w:rsidRPr="00330D58">
        <w:rPr>
          <w:rFonts w:ascii="Segoe UI" w:hAnsi="Segoe UI" w:cs="Segoe UI"/>
          <w:sz w:val="20"/>
        </w:rPr>
        <w:t xml:space="preserve"> Τα </w:t>
      </w:r>
      <w:r w:rsidR="00330D58" w:rsidRPr="00D953CE">
        <w:rPr>
          <w:rFonts w:ascii="Segoe UI" w:hAnsi="Segoe UI" w:cs="Segoe UI"/>
          <w:b/>
          <w:sz w:val="20"/>
        </w:rPr>
        <w:t xml:space="preserve">κέρδη </w:t>
      </w:r>
      <w:r w:rsidR="006F2A9C" w:rsidRPr="006F2A9C">
        <w:rPr>
          <w:rFonts w:ascii="Segoe UI" w:hAnsi="Segoe UI" w:cs="Segoe UI"/>
          <w:b/>
          <w:sz w:val="20"/>
        </w:rPr>
        <w:t xml:space="preserve">μετά από φόρους </w:t>
      </w:r>
      <w:r w:rsidR="00330D58" w:rsidRPr="00D953CE">
        <w:rPr>
          <w:rFonts w:ascii="Segoe UI" w:hAnsi="Segoe UI" w:cs="Segoe UI"/>
          <w:b/>
          <w:sz w:val="20"/>
        </w:rPr>
        <w:t>από διακοπείσες δραστηριότητες</w:t>
      </w:r>
      <w:r w:rsidR="00330D58" w:rsidRPr="00330D58">
        <w:rPr>
          <w:rFonts w:ascii="Segoe UI" w:hAnsi="Segoe UI" w:cs="Segoe UI"/>
          <w:sz w:val="20"/>
        </w:rPr>
        <w:t xml:space="preserve"> διαμορφώθηκαν σε €</w:t>
      </w:r>
      <w:r w:rsidR="00FD21D1">
        <w:rPr>
          <w:rFonts w:ascii="Segoe UI" w:hAnsi="Segoe UI" w:cs="Segoe UI"/>
          <w:sz w:val="20"/>
        </w:rPr>
        <w:t>18</w:t>
      </w:r>
      <w:r w:rsidR="00330D58" w:rsidRPr="00330D58">
        <w:rPr>
          <w:rFonts w:ascii="Segoe UI" w:hAnsi="Segoe UI" w:cs="Segoe UI"/>
          <w:sz w:val="20"/>
        </w:rPr>
        <w:t xml:space="preserve"> εκατ. το Α’ </w:t>
      </w:r>
      <w:r w:rsidR="00FD21D1">
        <w:rPr>
          <w:rFonts w:ascii="Segoe UI" w:hAnsi="Segoe UI" w:cs="Segoe UI"/>
          <w:sz w:val="20"/>
        </w:rPr>
        <w:t xml:space="preserve">εξάμηνο </w:t>
      </w:r>
      <w:r w:rsidR="00330D58" w:rsidRPr="00330D58">
        <w:rPr>
          <w:rFonts w:ascii="Segoe UI" w:hAnsi="Segoe UI" w:cs="Segoe UI"/>
          <w:sz w:val="20"/>
        </w:rPr>
        <w:t xml:space="preserve">2020, </w:t>
      </w:r>
      <w:r w:rsidR="00FD21D1">
        <w:rPr>
          <w:rFonts w:ascii="Segoe UI" w:hAnsi="Segoe UI" w:cs="Segoe UI"/>
          <w:sz w:val="20"/>
        </w:rPr>
        <w:t xml:space="preserve">αντανακλώντας τα κέρδη περιόδου της </w:t>
      </w:r>
      <w:r w:rsidR="00330D58" w:rsidRPr="00330D58">
        <w:rPr>
          <w:rFonts w:ascii="Segoe UI" w:hAnsi="Segoe UI" w:cs="Segoe UI"/>
          <w:sz w:val="20"/>
        </w:rPr>
        <w:t>Εθνική</w:t>
      </w:r>
      <w:r w:rsidR="00FD21D1">
        <w:rPr>
          <w:rFonts w:ascii="Segoe UI" w:hAnsi="Segoe UI" w:cs="Segoe UI"/>
          <w:sz w:val="20"/>
        </w:rPr>
        <w:t>ς</w:t>
      </w:r>
      <w:r w:rsidR="00330D58" w:rsidRPr="00330D58">
        <w:rPr>
          <w:rFonts w:ascii="Segoe UI" w:hAnsi="Segoe UI" w:cs="Segoe UI"/>
          <w:sz w:val="20"/>
        </w:rPr>
        <w:t xml:space="preserve"> Ασφαλιστική</w:t>
      </w:r>
      <w:r w:rsidR="00FD21D1">
        <w:rPr>
          <w:rFonts w:ascii="Segoe UI" w:hAnsi="Segoe UI" w:cs="Segoe UI"/>
          <w:sz w:val="20"/>
        </w:rPr>
        <w:t xml:space="preserve">ς, η οποία έχει ταξινομηθεί ως </w:t>
      </w:r>
      <w:r w:rsidR="00FD21D1" w:rsidRPr="00FD21D1">
        <w:rPr>
          <w:rFonts w:ascii="Segoe UI" w:hAnsi="Segoe UI" w:cs="Segoe UI"/>
          <w:sz w:val="20"/>
        </w:rPr>
        <w:t>περιουσιακ</w:t>
      </w:r>
      <w:r w:rsidR="00FD21D1">
        <w:rPr>
          <w:rFonts w:ascii="Segoe UI" w:hAnsi="Segoe UI" w:cs="Segoe UI"/>
          <w:sz w:val="20"/>
        </w:rPr>
        <w:t>ό στοιχείο</w:t>
      </w:r>
      <w:r w:rsidR="00FD21D1" w:rsidRPr="00FD21D1">
        <w:rPr>
          <w:rFonts w:ascii="Segoe UI" w:hAnsi="Segoe UI" w:cs="Segoe UI"/>
          <w:sz w:val="20"/>
        </w:rPr>
        <w:t xml:space="preserve"> προοριζόμεν</w:t>
      </w:r>
      <w:r w:rsidR="00FD21D1">
        <w:rPr>
          <w:rFonts w:ascii="Segoe UI" w:hAnsi="Segoe UI" w:cs="Segoe UI"/>
          <w:sz w:val="20"/>
        </w:rPr>
        <w:t>ο</w:t>
      </w:r>
      <w:r w:rsidR="00FD21D1" w:rsidRPr="00FD21D1">
        <w:rPr>
          <w:rFonts w:ascii="Segoe UI" w:hAnsi="Segoe UI" w:cs="Segoe UI"/>
          <w:sz w:val="20"/>
        </w:rPr>
        <w:t xml:space="preserve"> προς πώληση</w:t>
      </w:r>
      <w:r w:rsidR="00330D58" w:rsidRPr="00330D58">
        <w:rPr>
          <w:rFonts w:ascii="Segoe UI" w:hAnsi="Segoe UI" w:cs="Segoe UI"/>
          <w:sz w:val="20"/>
        </w:rPr>
        <w:t>.</w:t>
      </w:r>
    </w:p>
    <w:p w:rsidR="00D148AE" w:rsidRDefault="00D148AE" w:rsidP="00283FBA">
      <w:pPr>
        <w:autoSpaceDE w:val="0"/>
        <w:autoSpaceDN w:val="0"/>
        <w:adjustRightInd w:val="0"/>
        <w:spacing w:after="160" w:line="320" w:lineRule="atLeast"/>
        <w:jc w:val="both"/>
        <w:rPr>
          <w:rFonts w:ascii="Segoe UI" w:hAnsi="Segoe UI" w:cs="Segoe UI"/>
          <w:sz w:val="20"/>
        </w:rPr>
      </w:pPr>
      <w:r w:rsidRPr="00D148AE">
        <w:rPr>
          <w:rFonts w:ascii="Segoe UI" w:hAnsi="Segoe UI" w:cs="Segoe UI"/>
          <w:sz w:val="20"/>
        </w:rPr>
        <w:t xml:space="preserve">Τα </w:t>
      </w:r>
      <w:r w:rsidRPr="00D148AE">
        <w:rPr>
          <w:rFonts w:ascii="Segoe UI" w:hAnsi="Segoe UI" w:cs="Segoe UI"/>
          <w:b/>
          <w:sz w:val="20"/>
        </w:rPr>
        <w:t>λειτουργικά κέρδη</w:t>
      </w:r>
      <w:r w:rsidRPr="00D148AE">
        <w:rPr>
          <w:rFonts w:ascii="Segoe UI" w:hAnsi="Segoe UI" w:cs="Segoe UI"/>
          <w:sz w:val="20"/>
        </w:rPr>
        <w:t xml:space="preserve"> ανήλθαν σε €4</w:t>
      </w:r>
      <w:r>
        <w:rPr>
          <w:rFonts w:ascii="Segoe UI" w:hAnsi="Segoe UI" w:cs="Segoe UI"/>
          <w:sz w:val="20"/>
        </w:rPr>
        <w:t>80</w:t>
      </w:r>
      <w:r w:rsidR="000B30E4">
        <w:rPr>
          <w:rFonts w:ascii="Segoe UI" w:hAnsi="Segoe UI" w:cs="Segoe UI"/>
          <w:sz w:val="20"/>
        </w:rPr>
        <w:t xml:space="preserve"> </w:t>
      </w:r>
      <w:r w:rsidRPr="00D148AE">
        <w:rPr>
          <w:rFonts w:ascii="Segoe UI" w:hAnsi="Segoe UI" w:cs="Segoe UI"/>
          <w:sz w:val="20"/>
        </w:rPr>
        <w:t>εκατ. το Α’ εξάμηνο 2020 από €</w:t>
      </w:r>
      <w:r>
        <w:rPr>
          <w:rFonts w:ascii="Segoe UI" w:hAnsi="Segoe UI" w:cs="Segoe UI"/>
          <w:sz w:val="20"/>
        </w:rPr>
        <w:t>241</w:t>
      </w:r>
      <w:r w:rsidRPr="00D148AE">
        <w:rPr>
          <w:rFonts w:ascii="Segoe UI" w:hAnsi="Segoe UI" w:cs="Segoe UI"/>
          <w:sz w:val="20"/>
        </w:rPr>
        <w:t xml:space="preserve"> εκατ. το Α’ εξάμηνο 2019, αντικατοπτρίζοντας τα υψηλά κέρδη από χρηματοοικονομικές πράξεις, επωφελούμενα από την ανταλλαγή και πώληση ΟΕΔ κατά τη διάρκεια του Α’ τριμήνου, τα οποία απορρόφησαν την αύξηση των συνολικών προβλέψεων για επισφαλείς απαιτήσεις </w:t>
      </w:r>
      <w:r w:rsidR="00025154">
        <w:rPr>
          <w:rFonts w:ascii="Segoe UI" w:hAnsi="Segoe UI" w:cs="Segoe UI"/>
          <w:sz w:val="20"/>
        </w:rPr>
        <w:t xml:space="preserve">σχετιζόμενες με την </w:t>
      </w:r>
      <w:r w:rsidRPr="00D148AE">
        <w:rPr>
          <w:rFonts w:ascii="Segoe UI" w:hAnsi="Segoe UI" w:cs="Segoe UI"/>
          <w:sz w:val="20"/>
        </w:rPr>
        <w:t>πανδημία του κορωνοϊού .</w:t>
      </w:r>
    </w:p>
    <w:p w:rsidR="00283FBA" w:rsidRPr="00283FBA" w:rsidRDefault="00283FBA" w:rsidP="00E55AED">
      <w:pPr>
        <w:autoSpaceDE w:val="0"/>
        <w:autoSpaceDN w:val="0"/>
        <w:adjustRightInd w:val="0"/>
        <w:spacing w:after="160" w:line="320" w:lineRule="atLeast"/>
        <w:jc w:val="both"/>
        <w:rPr>
          <w:rFonts w:ascii="Segoe UI" w:hAnsi="Segoe UI" w:cs="Segoe UI"/>
          <w:sz w:val="20"/>
        </w:rPr>
      </w:pPr>
    </w:p>
    <w:p w:rsidR="00EE40A0" w:rsidRPr="00D17BD1" w:rsidRDefault="007430AE" w:rsidP="00EE40A0">
      <w:pPr>
        <w:pStyle w:val="TITLE2"/>
        <w:rPr>
          <w:rFonts w:ascii="Segoe UI" w:hAnsi="Segoe UI" w:cs="Segoe UI"/>
          <w:sz w:val="24"/>
          <w:szCs w:val="24"/>
          <w:lang w:val="el-GR"/>
        </w:rPr>
      </w:pPr>
      <w:r>
        <w:rPr>
          <w:rFonts w:ascii="Segoe UI" w:hAnsi="Segoe UI" w:cs="Segoe UI"/>
          <w:sz w:val="24"/>
          <w:szCs w:val="24"/>
          <w:lang w:val="el-GR"/>
        </w:rPr>
        <w:t>Δ</w:t>
      </w:r>
      <w:r w:rsidR="009733C4" w:rsidRPr="00D17BD1">
        <w:rPr>
          <w:rFonts w:ascii="Segoe UI" w:hAnsi="Segoe UI" w:cs="Segoe UI"/>
          <w:sz w:val="24"/>
          <w:szCs w:val="24"/>
          <w:lang w:val="el-GR"/>
        </w:rPr>
        <w:t>ιεθνείς δραστηριότητες</w:t>
      </w:r>
      <w:r w:rsidR="00EE40A0" w:rsidRPr="00D17BD1">
        <w:rPr>
          <w:rFonts w:ascii="Segoe UI" w:hAnsi="Segoe UI" w:cs="Segoe UI"/>
          <w:sz w:val="24"/>
          <w:szCs w:val="24"/>
          <w:lang w:val="el-GR"/>
        </w:rPr>
        <w:t>:</w:t>
      </w:r>
      <w:r w:rsidR="00EE40A0" w:rsidRPr="004531D1">
        <w:rPr>
          <w:rFonts w:ascii="Segoe UI" w:hAnsi="Segoe UI" w:cs="Segoe UI"/>
          <w:sz w:val="24"/>
          <w:szCs w:val="24"/>
          <w:vertAlign w:val="superscript"/>
          <w:lang w:val="el-GR"/>
        </w:rPr>
        <w:footnoteReference w:id="2"/>
      </w:r>
    </w:p>
    <w:p w:rsidR="00D17BD1" w:rsidRDefault="00D17BD1" w:rsidP="00E55AED">
      <w:pPr>
        <w:autoSpaceDE w:val="0"/>
        <w:autoSpaceDN w:val="0"/>
        <w:adjustRightInd w:val="0"/>
        <w:spacing w:after="160" w:line="320" w:lineRule="atLeast"/>
        <w:jc w:val="both"/>
        <w:rPr>
          <w:rFonts w:ascii="Segoe UI" w:hAnsi="Segoe UI" w:cs="Segoe UI"/>
          <w:sz w:val="20"/>
        </w:rPr>
      </w:pPr>
      <w:r w:rsidRPr="00D17BD1">
        <w:rPr>
          <w:rFonts w:ascii="Segoe UI" w:hAnsi="Segoe UI" w:cs="Segoe UI"/>
          <w:sz w:val="20"/>
        </w:rPr>
        <w:t xml:space="preserve">Στις διεθνείς δραστηριότητες, ο Όμιλος παρουσίασε </w:t>
      </w:r>
      <w:r w:rsidRPr="00D17BD1">
        <w:rPr>
          <w:rFonts w:ascii="Segoe UI" w:hAnsi="Segoe UI" w:cs="Segoe UI"/>
          <w:b/>
          <w:sz w:val="20"/>
        </w:rPr>
        <w:t>κέρδη μετά από φόρους</w:t>
      </w:r>
      <w:r w:rsidR="00E80549">
        <w:rPr>
          <w:rFonts w:ascii="Segoe UI" w:hAnsi="Segoe UI" w:cs="Segoe UI"/>
          <w:b/>
          <w:sz w:val="20"/>
        </w:rPr>
        <w:t xml:space="preserve"> </w:t>
      </w:r>
      <w:r w:rsidRPr="00D17BD1">
        <w:rPr>
          <w:rFonts w:ascii="Segoe UI" w:hAnsi="Segoe UI" w:cs="Segoe UI"/>
          <w:b/>
          <w:sz w:val="20"/>
        </w:rPr>
        <w:t>από συνεχιζόμενες δραστηριότητες</w:t>
      </w:r>
      <w:r w:rsidRPr="00D17BD1">
        <w:rPr>
          <w:rFonts w:ascii="Segoe UI" w:hAnsi="Segoe UI" w:cs="Segoe UI"/>
          <w:sz w:val="20"/>
        </w:rPr>
        <w:t xml:space="preserve"> </w:t>
      </w:r>
      <w:r w:rsidRPr="00E70F5D">
        <w:rPr>
          <w:rFonts w:ascii="Segoe UI" w:hAnsi="Segoe UI" w:cs="Segoe UI"/>
          <w:sz w:val="20"/>
        </w:rPr>
        <w:t>ύψους €</w:t>
      </w:r>
      <w:r w:rsidR="00EE7577">
        <w:rPr>
          <w:rFonts w:ascii="Segoe UI" w:hAnsi="Segoe UI" w:cs="Segoe UI"/>
          <w:sz w:val="20"/>
        </w:rPr>
        <w:t>8</w:t>
      </w:r>
      <w:r w:rsidRPr="00E70F5D">
        <w:rPr>
          <w:rFonts w:ascii="Segoe UI" w:hAnsi="Segoe UI" w:cs="Segoe UI"/>
          <w:sz w:val="20"/>
        </w:rPr>
        <w:t xml:space="preserve"> εκατ</w:t>
      </w:r>
      <w:r w:rsidRPr="00D17BD1">
        <w:rPr>
          <w:rFonts w:ascii="Segoe UI" w:hAnsi="Segoe UI" w:cs="Segoe UI"/>
          <w:sz w:val="20"/>
        </w:rPr>
        <w:t xml:space="preserve">. το </w:t>
      </w:r>
      <w:r w:rsidR="003235E4" w:rsidRPr="003235E4">
        <w:rPr>
          <w:rFonts w:ascii="Segoe UI" w:hAnsi="Segoe UI" w:cs="Segoe UI"/>
          <w:sz w:val="20"/>
        </w:rPr>
        <w:t xml:space="preserve">Α’ </w:t>
      </w:r>
      <w:r w:rsidR="00EE7577">
        <w:rPr>
          <w:rFonts w:ascii="Segoe UI" w:hAnsi="Segoe UI" w:cs="Segoe UI"/>
          <w:sz w:val="20"/>
        </w:rPr>
        <w:t>εξάμηνο</w:t>
      </w:r>
      <w:r w:rsidR="003235E4" w:rsidRPr="003235E4">
        <w:rPr>
          <w:rFonts w:ascii="Segoe UI" w:hAnsi="Segoe UI" w:cs="Segoe UI"/>
          <w:sz w:val="20"/>
        </w:rPr>
        <w:t xml:space="preserve"> 2020</w:t>
      </w:r>
      <w:r w:rsidR="00EE7577">
        <w:rPr>
          <w:rFonts w:ascii="Segoe UI" w:hAnsi="Segoe UI" w:cs="Segoe UI"/>
          <w:sz w:val="20"/>
        </w:rPr>
        <w:t xml:space="preserve"> έναντι €6 εκατ. </w:t>
      </w:r>
      <w:r w:rsidR="00533278">
        <w:rPr>
          <w:rFonts w:ascii="Segoe UI" w:hAnsi="Segoe UI" w:cs="Segoe UI"/>
          <w:sz w:val="20"/>
        </w:rPr>
        <w:t xml:space="preserve">το </w:t>
      </w:r>
      <w:r w:rsidR="003235E4" w:rsidRPr="003235E4">
        <w:rPr>
          <w:rFonts w:ascii="Segoe UI" w:hAnsi="Segoe UI" w:cs="Segoe UI"/>
          <w:sz w:val="20"/>
        </w:rPr>
        <w:t xml:space="preserve">Α’ </w:t>
      </w:r>
      <w:r w:rsidR="00EE7577">
        <w:rPr>
          <w:rFonts w:ascii="Segoe UI" w:hAnsi="Segoe UI" w:cs="Segoe UI"/>
          <w:sz w:val="20"/>
        </w:rPr>
        <w:t>εξάμηνο</w:t>
      </w:r>
      <w:r w:rsidR="003235E4" w:rsidRPr="003235E4">
        <w:rPr>
          <w:rFonts w:ascii="Segoe UI" w:hAnsi="Segoe UI" w:cs="Segoe UI"/>
          <w:sz w:val="20"/>
        </w:rPr>
        <w:t xml:space="preserve"> 20</w:t>
      </w:r>
      <w:r w:rsidR="003235E4">
        <w:rPr>
          <w:rFonts w:ascii="Segoe UI" w:hAnsi="Segoe UI" w:cs="Segoe UI"/>
          <w:sz w:val="20"/>
        </w:rPr>
        <w:t>19</w:t>
      </w:r>
      <w:r w:rsidR="00E32291">
        <w:rPr>
          <w:rFonts w:ascii="Segoe UI" w:hAnsi="Segoe UI" w:cs="Segoe UI"/>
          <w:sz w:val="20"/>
        </w:rPr>
        <w:t>.</w:t>
      </w:r>
    </w:p>
    <w:p w:rsidR="00EE40A0" w:rsidRPr="009B4BF0" w:rsidRDefault="00EE40A0">
      <w:pPr>
        <w:rPr>
          <w:rFonts w:ascii="Segoe UI" w:hAnsi="Segoe UI" w:cs="Segoe UI"/>
          <w:b/>
          <w:sz w:val="16"/>
        </w:rPr>
      </w:pPr>
      <w:r w:rsidRPr="009B4BF0">
        <w:rPr>
          <w:rFonts w:ascii="Segoe UI" w:hAnsi="Segoe UI" w:cs="Segoe UI"/>
          <w:b/>
          <w:sz w:val="16"/>
        </w:rPr>
        <w:br w:type="page"/>
      </w:r>
    </w:p>
    <w:p w:rsidR="00EE40A0" w:rsidRPr="00C56A58" w:rsidRDefault="008E3951" w:rsidP="00EE40A0">
      <w:pPr>
        <w:pStyle w:val="TITLEINBODY"/>
        <w:rPr>
          <w:rFonts w:ascii="Segoe UI" w:hAnsi="Segoe UI" w:cs="Segoe UI"/>
          <w:lang w:val="el-GR"/>
        </w:rPr>
      </w:pPr>
      <w:r w:rsidRPr="000F701B">
        <w:rPr>
          <w:rFonts w:ascii="Segoe UI" w:hAnsi="Segoe UI" w:cs="Segoe UI"/>
          <w:lang w:val="el-GR"/>
        </w:rPr>
        <w:lastRenderedPageBreak/>
        <w:t>Ποιότητα Δανειακού Χαρτοφυλακίου</w:t>
      </w:r>
    </w:p>
    <w:p w:rsidR="00F92056" w:rsidRDefault="0012024E" w:rsidP="00C56A58">
      <w:pPr>
        <w:autoSpaceDE w:val="0"/>
        <w:autoSpaceDN w:val="0"/>
        <w:adjustRightInd w:val="0"/>
        <w:spacing w:before="240" w:after="160" w:line="320" w:lineRule="atLeast"/>
        <w:jc w:val="both"/>
        <w:rPr>
          <w:rFonts w:ascii="Segoe UI" w:hAnsi="Segoe UI" w:cs="Segoe UI"/>
          <w:sz w:val="20"/>
        </w:rPr>
      </w:pPr>
      <w:r w:rsidRPr="008970D7">
        <w:rPr>
          <w:rFonts w:ascii="Segoe UI" w:hAnsi="Segoe UI" w:cs="Segoe UI"/>
          <w:sz w:val="20"/>
        </w:rPr>
        <w:t xml:space="preserve">Η </w:t>
      </w:r>
      <w:r w:rsidRPr="008970D7">
        <w:rPr>
          <w:rFonts w:ascii="Segoe UI" w:hAnsi="Segoe UI" w:cs="Segoe UI"/>
          <w:b/>
          <w:sz w:val="20"/>
        </w:rPr>
        <w:t>μείωση των ΜΕΑ</w:t>
      </w:r>
      <w:r w:rsidR="00076A0A">
        <w:rPr>
          <w:rFonts w:ascii="Segoe UI" w:hAnsi="Segoe UI" w:cs="Segoe UI"/>
          <w:b/>
          <w:sz w:val="20"/>
        </w:rPr>
        <w:t xml:space="preserve"> </w:t>
      </w:r>
      <w:r w:rsidR="005E4BB2" w:rsidRPr="008970D7">
        <w:rPr>
          <w:rFonts w:ascii="Segoe UI" w:hAnsi="Segoe UI" w:cs="Segoe UI"/>
          <w:sz w:val="20"/>
        </w:rPr>
        <w:t xml:space="preserve">συνεχίστηκε κατά </w:t>
      </w:r>
      <w:r w:rsidRPr="008970D7">
        <w:rPr>
          <w:rFonts w:ascii="Segoe UI" w:hAnsi="Segoe UI" w:cs="Segoe UI"/>
          <w:sz w:val="20"/>
        </w:rPr>
        <w:t xml:space="preserve">το </w:t>
      </w:r>
      <w:r w:rsidR="00CE6106">
        <w:rPr>
          <w:rFonts w:ascii="Segoe UI" w:hAnsi="Segoe UI" w:cs="Segoe UI"/>
          <w:sz w:val="20"/>
        </w:rPr>
        <w:t>Β</w:t>
      </w:r>
      <w:r w:rsidRPr="008970D7">
        <w:rPr>
          <w:rFonts w:ascii="Segoe UI" w:hAnsi="Segoe UI" w:cs="Segoe UI"/>
          <w:sz w:val="20"/>
        </w:rPr>
        <w:t>’ τρίμηνο 20</w:t>
      </w:r>
      <w:r w:rsidR="007F28B8">
        <w:rPr>
          <w:rFonts w:ascii="Segoe UI" w:hAnsi="Segoe UI" w:cs="Segoe UI"/>
          <w:sz w:val="20"/>
        </w:rPr>
        <w:t>20, με τα ΜΕΑ σε επίπεδο Τράπεζας να μειώνονται κατά €</w:t>
      </w:r>
      <w:r w:rsidR="005E4BB2" w:rsidRPr="008970D7">
        <w:rPr>
          <w:rFonts w:ascii="Segoe UI" w:hAnsi="Segoe UI" w:cs="Segoe UI"/>
          <w:sz w:val="20"/>
        </w:rPr>
        <w:t>0,</w:t>
      </w:r>
      <w:r w:rsidR="00CE6106">
        <w:rPr>
          <w:rFonts w:ascii="Segoe UI" w:hAnsi="Segoe UI" w:cs="Segoe UI"/>
          <w:sz w:val="20"/>
        </w:rPr>
        <w:t>3</w:t>
      </w:r>
      <w:r w:rsidRPr="008970D7">
        <w:rPr>
          <w:rFonts w:ascii="Segoe UI" w:hAnsi="Segoe UI" w:cs="Segoe UI"/>
          <w:sz w:val="20"/>
        </w:rPr>
        <w:t xml:space="preserve"> δισ.</w:t>
      </w:r>
      <w:r w:rsidR="007F28B8">
        <w:rPr>
          <w:rFonts w:ascii="Segoe UI" w:hAnsi="Segoe UI" w:cs="Segoe UI"/>
          <w:sz w:val="20"/>
        </w:rPr>
        <w:t xml:space="preserve"> σε τριμηνιαία βάση σε €</w:t>
      </w:r>
      <w:r w:rsidR="007F28B8" w:rsidRPr="002B05B1">
        <w:rPr>
          <w:rFonts w:ascii="Segoe UI" w:hAnsi="Segoe UI" w:cs="Segoe UI"/>
          <w:sz w:val="20"/>
        </w:rPr>
        <w:t>10,</w:t>
      </w:r>
      <w:r w:rsidR="00CE6106">
        <w:rPr>
          <w:rFonts w:ascii="Segoe UI" w:hAnsi="Segoe UI" w:cs="Segoe UI"/>
          <w:sz w:val="20"/>
        </w:rPr>
        <w:t>1</w:t>
      </w:r>
      <w:r w:rsidR="007F28B8" w:rsidRPr="002B05B1">
        <w:rPr>
          <w:rFonts w:ascii="Segoe UI" w:hAnsi="Segoe UI" w:cs="Segoe UI"/>
          <w:sz w:val="20"/>
        </w:rPr>
        <w:t xml:space="preserve"> δισ.</w:t>
      </w:r>
      <w:r w:rsidR="007F28B8">
        <w:rPr>
          <w:rFonts w:ascii="Segoe UI" w:hAnsi="Segoe UI" w:cs="Segoe UI"/>
          <w:sz w:val="20"/>
        </w:rPr>
        <w:t>,</w:t>
      </w:r>
      <w:r w:rsidR="007F28B8" w:rsidRPr="002B05B1">
        <w:rPr>
          <w:rFonts w:ascii="Segoe UI" w:hAnsi="Segoe UI" w:cs="Segoe UI"/>
          <w:sz w:val="20"/>
        </w:rPr>
        <w:t xml:space="preserve"> </w:t>
      </w:r>
      <w:r w:rsidRPr="008970D7">
        <w:rPr>
          <w:rFonts w:ascii="Segoe UI" w:hAnsi="Segoe UI" w:cs="Segoe UI"/>
          <w:sz w:val="20"/>
        </w:rPr>
        <w:t xml:space="preserve">αντανακλώντας </w:t>
      </w:r>
      <w:r w:rsidR="005E4BB2" w:rsidRPr="008970D7">
        <w:rPr>
          <w:rFonts w:ascii="Segoe UI" w:hAnsi="Segoe UI" w:cs="Segoe UI"/>
          <w:sz w:val="20"/>
        </w:rPr>
        <w:t>οργανικές ενέργειες</w:t>
      </w:r>
      <w:r w:rsidR="00CE6106">
        <w:rPr>
          <w:rFonts w:ascii="Segoe UI" w:hAnsi="Segoe UI" w:cs="Segoe UI"/>
          <w:sz w:val="20"/>
        </w:rPr>
        <w:t xml:space="preserve">, </w:t>
      </w:r>
      <w:r w:rsidR="00E47130" w:rsidRPr="00E47130">
        <w:rPr>
          <w:rFonts w:ascii="Segoe UI" w:hAnsi="Segoe UI" w:cs="Segoe UI"/>
          <w:sz w:val="20"/>
        </w:rPr>
        <w:t>παρά την προσωρινή διακοπή των ρευστοποιήσεων ενεχύρων</w:t>
      </w:r>
      <w:r w:rsidR="00CE6106" w:rsidRPr="00CE6106">
        <w:rPr>
          <w:rFonts w:ascii="Segoe UI" w:hAnsi="Segoe UI" w:cs="Segoe UI"/>
          <w:sz w:val="20"/>
        </w:rPr>
        <w:t xml:space="preserve">. </w:t>
      </w:r>
    </w:p>
    <w:p w:rsidR="00C56A58" w:rsidRPr="00C56A58" w:rsidRDefault="00CE6106" w:rsidP="00C56A58">
      <w:pPr>
        <w:autoSpaceDE w:val="0"/>
        <w:autoSpaceDN w:val="0"/>
        <w:adjustRightInd w:val="0"/>
        <w:spacing w:before="240" w:after="160" w:line="320" w:lineRule="atLeast"/>
        <w:jc w:val="both"/>
        <w:rPr>
          <w:rFonts w:ascii="Segoe UI" w:hAnsi="Segoe UI" w:cs="Segoe UI"/>
          <w:sz w:val="20"/>
        </w:rPr>
      </w:pPr>
      <w:r w:rsidRPr="00CE6106">
        <w:rPr>
          <w:rFonts w:ascii="Segoe UI" w:hAnsi="Segoe UI" w:cs="Segoe UI"/>
          <w:sz w:val="20"/>
        </w:rPr>
        <w:t xml:space="preserve">Οι καθαρές εισροές ΜΕΑ μειώθηκαν </w:t>
      </w:r>
      <w:r w:rsidR="008873DA">
        <w:rPr>
          <w:rFonts w:ascii="Segoe UI" w:hAnsi="Segoe UI" w:cs="Segoe UI"/>
          <w:sz w:val="20"/>
        </w:rPr>
        <w:t xml:space="preserve">σημαντικά </w:t>
      </w:r>
      <w:r w:rsidRPr="00CE6106">
        <w:rPr>
          <w:rFonts w:ascii="Segoe UI" w:hAnsi="Segoe UI" w:cs="Segoe UI"/>
          <w:sz w:val="20"/>
        </w:rPr>
        <w:t>σε σχέση με το Α’ τρίμηνο 2020, αντικατοπτρίζοντας τα οφέλη από την εφαρμογή μέτρων διευκόλυνσης καταβολής οφειλών</w:t>
      </w:r>
      <w:r w:rsidR="00F360C1">
        <w:rPr>
          <w:rFonts w:ascii="Segoe UI" w:hAnsi="Segoe UI" w:cs="Segoe UI"/>
          <w:sz w:val="20"/>
        </w:rPr>
        <w:t>,</w:t>
      </w:r>
      <w:r w:rsidRPr="00CE6106">
        <w:rPr>
          <w:rFonts w:ascii="Segoe UI" w:hAnsi="Segoe UI" w:cs="Segoe UI"/>
          <w:sz w:val="20"/>
        </w:rPr>
        <w:t xml:space="preserve"> </w:t>
      </w:r>
      <w:r w:rsidR="00F360C1" w:rsidRPr="00F360C1">
        <w:rPr>
          <w:rFonts w:ascii="Segoe UI" w:hAnsi="Segoe UI" w:cs="Segoe UI"/>
          <w:sz w:val="20"/>
        </w:rPr>
        <w:t xml:space="preserve">καθώς και τα </w:t>
      </w:r>
      <w:r w:rsidR="008873DA">
        <w:rPr>
          <w:rFonts w:ascii="Segoe UI" w:hAnsi="Segoe UI" w:cs="Segoe UI"/>
          <w:sz w:val="20"/>
        </w:rPr>
        <w:t xml:space="preserve">κυβερνητικά </w:t>
      </w:r>
      <w:r w:rsidR="00F360C1" w:rsidRPr="00F360C1">
        <w:rPr>
          <w:rFonts w:ascii="Segoe UI" w:hAnsi="Segoe UI" w:cs="Segoe UI"/>
          <w:sz w:val="20"/>
        </w:rPr>
        <w:t>προγράμματα</w:t>
      </w:r>
      <w:r w:rsidRPr="00CE6106">
        <w:rPr>
          <w:rFonts w:ascii="Segoe UI" w:hAnsi="Segoe UI" w:cs="Segoe UI"/>
          <w:sz w:val="20"/>
        </w:rPr>
        <w:t xml:space="preserve"> στήριξης </w:t>
      </w:r>
      <w:r w:rsidR="008873DA">
        <w:rPr>
          <w:rFonts w:ascii="Segoe UI" w:hAnsi="Segoe UI" w:cs="Segoe UI"/>
          <w:sz w:val="20"/>
        </w:rPr>
        <w:t>επιχειρήσεων</w:t>
      </w:r>
      <w:r>
        <w:rPr>
          <w:rFonts w:ascii="Segoe UI" w:hAnsi="Segoe UI" w:cs="Segoe UI"/>
          <w:sz w:val="20"/>
        </w:rPr>
        <w:t>.</w:t>
      </w:r>
      <w:r w:rsidR="004F189A" w:rsidRPr="004F189A">
        <w:rPr>
          <w:rFonts w:ascii="Segoe UI" w:hAnsi="Segoe UI" w:cs="Segoe UI"/>
          <w:sz w:val="20"/>
        </w:rPr>
        <w:t xml:space="preserve"> Η αποκατάσταση της τακτικής εξυπηρέτησης δανείων (curings) σημείωσε βελτίωση το Β’ τρίμηνο 2020 σε σχέση με το προηγούμενο τρίμηνο</w:t>
      </w:r>
      <w:r w:rsidR="005805EE" w:rsidRPr="005805EE">
        <w:rPr>
          <w:rFonts w:ascii="Segoe UI" w:hAnsi="Segoe UI" w:cs="Segoe UI"/>
          <w:sz w:val="20"/>
        </w:rPr>
        <w:t xml:space="preserve">, </w:t>
      </w:r>
      <w:r w:rsidR="005805EE">
        <w:rPr>
          <w:rFonts w:ascii="Segoe UI" w:hAnsi="Segoe UI" w:cs="Segoe UI"/>
          <w:sz w:val="20"/>
        </w:rPr>
        <w:t>ενώ</w:t>
      </w:r>
      <w:r w:rsidR="0002778C" w:rsidRPr="0002778C">
        <w:rPr>
          <w:rFonts w:ascii="Segoe UI" w:hAnsi="Segoe UI" w:cs="Segoe UI"/>
          <w:sz w:val="20"/>
        </w:rPr>
        <w:t xml:space="preserve"> </w:t>
      </w:r>
      <w:r w:rsidR="0002778C">
        <w:rPr>
          <w:rFonts w:ascii="Segoe UI" w:hAnsi="Segoe UI" w:cs="Segoe UI"/>
          <w:sz w:val="20"/>
        </w:rPr>
        <w:t>οι αναδιαρθρώσεις δανείων</w:t>
      </w:r>
      <w:r w:rsidR="005805EE">
        <w:rPr>
          <w:rFonts w:ascii="Segoe UI" w:hAnsi="Segoe UI" w:cs="Segoe UI"/>
          <w:sz w:val="20"/>
        </w:rPr>
        <w:t xml:space="preserve"> </w:t>
      </w:r>
      <w:r w:rsidR="00984497">
        <w:rPr>
          <w:rFonts w:ascii="Segoe UI" w:hAnsi="Segoe UI" w:cs="Segoe UI"/>
          <w:sz w:val="20"/>
        </w:rPr>
        <w:t>(</w:t>
      </w:r>
      <w:r w:rsidR="00984497">
        <w:rPr>
          <w:rFonts w:ascii="Segoe UI" w:hAnsi="Segoe UI" w:cs="Segoe UI"/>
          <w:sz w:val="20"/>
          <w:lang w:val="en-US"/>
        </w:rPr>
        <w:t>restructurings</w:t>
      </w:r>
      <w:r w:rsidR="00984497" w:rsidRPr="00984497">
        <w:rPr>
          <w:rFonts w:ascii="Segoe UI" w:hAnsi="Segoe UI" w:cs="Segoe UI"/>
          <w:sz w:val="20"/>
        </w:rPr>
        <w:t xml:space="preserve">) </w:t>
      </w:r>
      <w:r w:rsidR="005805EE">
        <w:rPr>
          <w:rFonts w:ascii="Segoe UI" w:hAnsi="Segoe UI" w:cs="Segoe UI"/>
          <w:sz w:val="20"/>
        </w:rPr>
        <w:t xml:space="preserve">επανέρχονται </w:t>
      </w:r>
      <w:r w:rsidR="009947FE">
        <w:rPr>
          <w:rFonts w:ascii="Segoe UI" w:hAnsi="Segoe UI" w:cs="Segoe UI"/>
          <w:sz w:val="20"/>
        </w:rPr>
        <w:t xml:space="preserve">κοντά στα </w:t>
      </w:r>
      <w:r w:rsidR="005805EE">
        <w:rPr>
          <w:rFonts w:ascii="Segoe UI" w:hAnsi="Segoe UI" w:cs="Segoe UI"/>
          <w:sz w:val="20"/>
        </w:rPr>
        <w:t>επίπεδα προ της πανδημίας του κορωνοϊού</w:t>
      </w:r>
      <w:r w:rsidR="00A2317C">
        <w:rPr>
          <w:rFonts w:ascii="Segoe UI" w:hAnsi="Segoe UI" w:cs="Segoe UI"/>
          <w:sz w:val="20"/>
        </w:rPr>
        <w:t>.</w:t>
      </w:r>
    </w:p>
    <w:p w:rsidR="007F28B8" w:rsidRPr="00D20698" w:rsidRDefault="007F28B8" w:rsidP="007F28B8">
      <w:pPr>
        <w:autoSpaceDE w:val="0"/>
        <w:autoSpaceDN w:val="0"/>
        <w:adjustRightInd w:val="0"/>
        <w:spacing w:after="160" w:line="320" w:lineRule="atLeast"/>
        <w:jc w:val="both"/>
        <w:rPr>
          <w:rFonts w:ascii="Segoe UI" w:hAnsi="Segoe UI" w:cs="Segoe UI"/>
          <w:sz w:val="20"/>
        </w:rPr>
      </w:pPr>
      <w:r w:rsidRPr="001C4829">
        <w:rPr>
          <w:rFonts w:ascii="Segoe UI" w:hAnsi="Segoe UI" w:cs="Segoe UI"/>
          <w:sz w:val="20"/>
          <w:lang w:val="en-US"/>
        </w:rPr>
        <w:t>O</w:t>
      </w:r>
      <w:r>
        <w:rPr>
          <w:rFonts w:ascii="Segoe UI" w:hAnsi="Segoe UI" w:cs="Segoe UI"/>
          <w:sz w:val="20"/>
        </w:rPr>
        <w:t xml:space="preserve"> </w:t>
      </w:r>
      <w:r w:rsidRPr="00D20698">
        <w:rPr>
          <w:rFonts w:ascii="Segoe UI" w:hAnsi="Segoe UI" w:cs="Segoe UI"/>
          <w:b/>
          <w:sz w:val="20"/>
        </w:rPr>
        <w:t>δείκτης ΜΕΑ</w:t>
      </w:r>
      <w:r w:rsidRPr="001C4829">
        <w:rPr>
          <w:rFonts w:ascii="Segoe UI" w:hAnsi="Segoe UI" w:cs="Segoe UI"/>
          <w:sz w:val="20"/>
        </w:rPr>
        <w:t xml:space="preserve"> στην Ελλάδα μειώθηκε κατά περίπου </w:t>
      </w:r>
      <w:r w:rsidR="00155AA1">
        <w:rPr>
          <w:rFonts w:ascii="Segoe UI" w:hAnsi="Segoe UI" w:cs="Segoe UI"/>
          <w:sz w:val="20"/>
        </w:rPr>
        <w:t>9</w:t>
      </w:r>
      <w:r>
        <w:rPr>
          <w:rFonts w:ascii="Segoe UI" w:hAnsi="Segoe UI" w:cs="Segoe UI"/>
          <w:sz w:val="20"/>
        </w:rPr>
        <w:t>0</w:t>
      </w:r>
      <w:r w:rsidRPr="001C4829">
        <w:rPr>
          <w:rFonts w:ascii="Segoe UI" w:hAnsi="Segoe UI" w:cs="Segoe UI"/>
          <w:sz w:val="20"/>
        </w:rPr>
        <w:t xml:space="preserve">μ.β. σε τριμηνιαία βάση και </w:t>
      </w:r>
      <w:r w:rsidR="00155AA1">
        <w:rPr>
          <w:rFonts w:ascii="Segoe UI" w:hAnsi="Segoe UI" w:cs="Segoe UI"/>
          <w:sz w:val="20"/>
        </w:rPr>
        <w:t>5</w:t>
      </w:r>
      <w:r w:rsidR="00E971D6">
        <w:rPr>
          <w:rFonts w:ascii="Segoe UI" w:hAnsi="Segoe UI" w:cs="Segoe UI"/>
          <w:sz w:val="20"/>
        </w:rPr>
        <w:t>7</w:t>
      </w:r>
      <w:r>
        <w:rPr>
          <w:rFonts w:ascii="Segoe UI" w:hAnsi="Segoe UI" w:cs="Segoe UI"/>
          <w:sz w:val="20"/>
        </w:rPr>
        <w:t>0</w:t>
      </w:r>
      <w:r w:rsidRPr="001C4829">
        <w:rPr>
          <w:rFonts w:ascii="Segoe UI" w:hAnsi="Segoe UI" w:cs="Segoe UI"/>
          <w:sz w:val="20"/>
        </w:rPr>
        <w:t xml:space="preserve">μ.β. </w:t>
      </w:r>
      <w:r>
        <w:rPr>
          <w:rFonts w:ascii="Segoe UI" w:hAnsi="Segoe UI" w:cs="Segoe UI"/>
          <w:sz w:val="20"/>
        </w:rPr>
        <w:t xml:space="preserve">σε ετήσια βάση, </w:t>
      </w:r>
      <w:r w:rsidR="001B5318">
        <w:rPr>
          <w:rFonts w:ascii="Segoe UI" w:hAnsi="Segoe UI" w:cs="Segoe UI"/>
          <w:sz w:val="20"/>
        </w:rPr>
        <w:t>σε</w:t>
      </w:r>
      <w:r>
        <w:rPr>
          <w:rFonts w:ascii="Segoe UI" w:hAnsi="Segoe UI" w:cs="Segoe UI"/>
          <w:sz w:val="20"/>
        </w:rPr>
        <w:t xml:space="preserve"> 3</w:t>
      </w:r>
      <w:r w:rsidR="00155AA1">
        <w:rPr>
          <w:rFonts w:ascii="Segoe UI" w:hAnsi="Segoe UI" w:cs="Segoe UI"/>
          <w:sz w:val="20"/>
        </w:rPr>
        <w:t>0</w:t>
      </w:r>
      <w:proofErr w:type="gramStart"/>
      <w:r w:rsidR="00155AA1">
        <w:rPr>
          <w:rFonts w:ascii="Segoe UI" w:hAnsi="Segoe UI" w:cs="Segoe UI"/>
          <w:sz w:val="20"/>
        </w:rPr>
        <w:t>,9</w:t>
      </w:r>
      <w:proofErr w:type="gramEnd"/>
      <w:r w:rsidRPr="001C4829">
        <w:rPr>
          <w:rFonts w:ascii="Segoe UI" w:hAnsi="Segoe UI" w:cs="Segoe UI"/>
          <w:sz w:val="20"/>
        </w:rPr>
        <w:t xml:space="preserve">% το </w:t>
      </w:r>
      <w:r w:rsidR="00155AA1">
        <w:rPr>
          <w:rFonts w:ascii="Segoe UI" w:hAnsi="Segoe UI" w:cs="Segoe UI"/>
          <w:sz w:val="20"/>
        </w:rPr>
        <w:t>Β</w:t>
      </w:r>
      <w:r w:rsidRPr="001C4829">
        <w:rPr>
          <w:rFonts w:ascii="Segoe UI" w:hAnsi="Segoe UI" w:cs="Segoe UI"/>
          <w:sz w:val="20"/>
        </w:rPr>
        <w:t>’ τρίμηνο 20</w:t>
      </w:r>
      <w:r>
        <w:rPr>
          <w:rFonts w:ascii="Segoe UI" w:hAnsi="Segoe UI" w:cs="Segoe UI"/>
          <w:sz w:val="20"/>
        </w:rPr>
        <w:t>20. Ο</w:t>
      </w:r>
      <w:r w:rsidRPr="001C4829">
        <w:rPr>
          <w:rFonts w:ascii="Segoe UI" w:hAnsi="Segoe UI" w:cs="Segoe UI"/>
          <w:sz w:val="20"/>
        </w:rPr>
        <w:t xml:space="preserve"> </w:t>
      </w:r>
      <w:r w:rsidRPr="00900846">
        <w:rPr>
          <w:rFonts w:ascii="Segoe UI" w:hAnsi="Segoe UI" w:cs="Segoe UI"/>
          <w:b/>
          <w:sz w:val="20"/>
        </w:rPr>
        <w:t>δείκτη κάλυψης ΜΕΑ από σωρευμένες προβλέψεις</w:t>
      </w:r>
      <w:r w:rsidRPr="001C4829">
        <w:rPr>
          <w:rFonts w:ascii="Segoe UI" w:hAnsi="Segoe UI" w:cs="Segoe UI"/>
          <w:sz w:val="20"/>
        </w:rPr>
        <w:t xml:space="preserve"> διαμορφώ</w:t>
      </w:r>
      <w:r>
        <w:rPr>
          <w:rFonts w:ascii="Segoe UI" w:hAnsi="Segoe UI" w:cs="Segoe UI"/>
          <w:sz w:val="20"/>
        </w:rPr>
        <w:t xml:space="preserve">θηκε </w:t>
      </w:r>
      <w:r w:rsidRPr="001C4829">
        <w:rPr>
          <w:rFonts w:ascii="Segoe UI" w:hAnsi="Segoe UI" w:cs="Segoe UI"/>
          <w:sz w:val="20"/>
        </w:rPr>
        <w:t xml:space="preserve">σε </w:t>
      </w:r>
      <w:r>
        <w:rPr>
          <w:rFonts w:ascii="Segoe UI" w:hAnsi="Segoe UI" w:cs="Segoe UI"/>
          <w:sz w:val="20"/>
        </w:rPr>
        <w:t>56,</w:t>
      </w:r>
      <w:r w:rsidR="00155AA1">
        <w:rPr>
          <w:rFonts w:ascii="Segoe UI" w:hAnsi="Segoe UI" w:cs="Segoe UI"/>
          <w:sz w:val="20"/>
        </w:rPr>
        <w:t>9</w:t>
      </w:r>
      <w:r w:rsidRPr="001C4829">
        <w:rPr>
          <w:rFonts w:ascii="Segoe UI" w:hAnsi="Segoe UI" w:cs="Segoe UI"/>
          <w:sz w:val="20"/>
        </w:rPr>
        <w:t>%</w:t>
      </w:r>
      <w:r>
        <w:rPr>
          <w:rFonts w:ascii="Segoe UI" w:hAnsi="Segoe UI" w:cs="Segoe UI"/>
          <w:sz w:val="20"/>
        </w:rPr>
        <w:t xml:space="preserve"> από 5</w:t>
      </w:r>
      <w:r w:rsidR="00155AA1">
        <w:rPr>
          <w:rFonts w:ascii="Segoe UI" w:hAnsi="Segoe UI" w:cs="Segoe UI"/>
          <w:sz w:val="20"/>
        </w:rPr>
        <w:t>6,0</w:t>
      </w:r>
      <w:r>
        <w:rPr>
          <w:rFonts w:ascii="Segoe UI" w:hAnsi="Segoe UI" w:cs="Segoe UI"/>
          <w:sz w:val="20"/>
        </w:rPr>
        <w:t xml:space="preserve">% το </w:t>
      </w:r>
      <w:r w:rsidR="00155AA1">
        <w:rPr>
          <w:rFonts w:ascii="Segoe UI" w:hAnsi="Segoe UI" w:cs="Segoe UI"/>
          <w:sz w:val="20"/>
        </w:rPr>
        <w:t>Α</w:t>
      </w:r>
      <w:r>
        <w:rPr>
          <w:rFonts w:ascii="Segoe UI" w:hAnsi="Segoe UI" w:cs="Segoe UI"/>
          <w:sz w:val="20"/>
        </w:rPr>
        <w:t>’ τρίμηνο 20</w:t>
      </w:r>
      <w:r w:rsidR="00155AA1">
        <w:rPr>
          <w:rFonts w:ascii="Segoe UI" w:hAnsi="Segoe UI" w:cs="Segoe UI"/>
          <w:sz w:val="20"/>
        </w:rPr>
        <w:t>20</w:t>
      </w:r>
      <w:r w:rsidR="00E32291">
        <w:rPr>
          <w:rFonts w:ascii="Segoe UI" w:hAnsi="Segoe UI" w:cs="Segoe UI"/>
          <w:sz w:val="20"/>
        </w:rPr>
        <w:t>, αυξημένος κατά</w:t>
      </w:r>
      <w:r w:rsidR="00155AA1">
        <w:rPr>
          <w:rFonts w:ascii="Segoe UI" w:hAnsi="Segoe UI" w:cs="Segoe UI"/>
          <w:sz w:val="20"/>
        </w:rPr>
        <w:t xml:space="preserve"> </w:t>
      </w:r>
      <w:r w:rsidR="009D1BED" w:rsidRPr="009D1BED">
        <w:rPr>
          <w:rFonts w:ascii="Segoe UI" w:hAnsi="Segoe UI" w:cs="Segoe UI"/>
          <w:sz w:val="20"/>
        </w:rPr>
        <w:t xml:space="preserve">περίπου </w:t>
      </w:r>
      <w:r w:rsidR="00155AA1">
        <w:rPr>
          <w:rFonts w:ascii="Segoe UI" w:hAnsi="Segoe UI" w:cs="Segoe UI"/>
          <w:sz w:val="20"/>
        </w:rPr>
        <w:t>90</w:t>
      </w:r>
      <w:r w:rsidR="00E32291">
        <w:rPr>
          <w:rFonts w:ascii="Segoe UI" w:hAnsi="Segoe UI" w:cs="Segoe UI"/>
          <w:sz w:val="20"/>
        </w:rPr>
        <w:t>μ.β.</w:t>
      </w:r>
      <w:r w:rsidR="00EB3983">
        <w:rPr>
          <w:rFonts w:ascii="Segoe UI" w:hAnsi="Segoe UI" w:cs="Segoe UI"/>
          <w:sz w:val="20"/>
        </w:rPr>
        <w:t xml:space="preserve"> σε τριμηνιαία βάση. </w:t>
      </w:r>
    </w:p>
    <w:p w:rsidR="001C4829" w:rsidRDefault="001C4829" w:rsidP="001C4829">
      <w:pPr>
        <w:autoSpaceDE w:val="0"/>
        <w:autoSpaceDN w:val="0"/>
        <w:adjustRightInd w:val="0"/>
        <w:spacing w:after="160" w:line="320" w:lineRule="atLeast"/>
        <w:jc w:val="both"/>
        <w:rPr>
          <w:rFonts w:ascii="Segoe UI" w:hAnsi="Segoe UI" w:cs="Segoe UI"/>
          <w:sz w:val="20"/>
        </w:rPr>
      </w:pPr>
      <w:r w:rsidRPr="00D20698">
        <w:rPr>
          <w:rFonts w:ascii="Segoe UI" w:hAnsi="Segoe UI" w:cs="Segoe UI"/>
          <w:sz w:val="20"/>
        </w:rPr>
        <w:t>Στις διεθνείς δραστηριότητες</w:t>
      </w:r>
      <w:r w:rsidR="00702F61" w:rsidRPr="004531D1">
        <w:rPr>
          <w:rFonts w:ascii="Segoe UI" w:hAnsi="Segoe UI" w:cs="Segoe UI"/>
          <w:vertAlign w:val="superscript"/>
        </w:rPr>
        <w:footnoteReference w:id="3"/>
      </w:r>
      <w:r w:rsidRPr="00D20698">
        <w:rPr>
          <w:rFonts w:ascii="Segoe UI" w:hAnsi="Segoe UI" w:cs="Segoe UI"/>
          <w:sz w:val="20"/>
        </w:rPr>
        <w:t xml:space="preserve">, ο δείκτης ΜΕΑ διαμορφώθηκε σε </w:t>
      </w:r>
      <w:r w:rsidR="00900846">
        <w:rPr>
          <w:rFonts w:ascii="Segoe UI" w:hAnsi="Segoe UI" w:cs="Segoe UI"/>
          <w:sz w:val="20"/>
        </w:rPr>
        <w:t>9,</w:t>
      </w:r>
      <w:r w:rsidR="005D629E">
        <w:rPr>
          <w:rFonts w:ascii="Segoe UI" w:hAnsi="Segoe UI" w:cs="Segoe UI"/>
          <w:sz w:val="20"/>
        </w:rPr>
        <w:t>4</w:t>
      </w:r>
      <w:r w:rsidRPr="00D20698">
        <w:rPr>
          <w:rFonts w:ascii="Segoe UI" w:hAnsi="Segoe UI" w:cs="Segoe UI"/>
          <w:sz w:val="20"/>
        </w:rPr>
        <w:t xml:space="preserve">% το </w:t>
      </w:r>
      <w:r w:rsidR="005D629E">
        <w:rPr>
          <w:rFonts w:ascii="Segoe UI" w:hAnsi="Segoe UI" w:cs="Segoe UI"/>
          <w:sz w:val="20"/>
        </w:rPr>
        <w:t>Β</w:t>
      </w:r>
      <w:r w:rsidRPr="00D20698">
        <w:rPr>
          <w:rFonts w:ascii="Segoe UI" w:hAnsi="Segoe UI" w:cs="Segoe UI"/>
          <w:sz w:val="20"/>
        </w:rPr>
        <w:t>’ τρίμηνο 20</w:t>
      </w:r>
      <w:r w:rsidR="004655E6">
        <w:rPr>
          <w:rFonts w:ascii="Segoe UI" w:hAnsi="Segoe UI" w:cs="Segoe UI"/>
          <w:sz w:val="20"/>
        </w:rPr>
        <w:t>20</w:t>
      </w:r>
      <w:r w:rsidRPr="00D20698">
        <w:rPr>
          <w:rFonts w:ascii="Segoe UI" w:hAnsi="Segoe UI" w:cs="Segoe UI"/>
          <w:sz w:val="20"/>
        </w:rPr>
        <w:t xml:space="preserve">, με τον αντίστοιχο δείκτη κάλυψης από σωρευμένες προβλέψεις να ανέρχεται σε </w:t>
      </w:r>
      <w:r w:rsidR="004655E6">
        <w:rPr>
          <w:rFonts w:ascii="Segoe UI" w:hAnsi="Segoe UI" w:cs="Segoe UI"/>
          <w:sz w:val="20"/>
        </w:rPr>
        <w:t>7</w:t>
      </w:r>
      <w:r w:rsidR="005D629E">
        <w:rPr>
          <w:rFonts w:ascii="Segoe UI" w:hAnsi="Segoe UI" w:cs="Segoe UI"/>
          <w:sz w:val="20"/>
        </w:rPr>
        <w:t>6,7</w:t>
      </w:r>
      <w:r w:rsidRPr="00D20698">
        <w:rPr>
          <w:rFonts w:ascii="Segoe UI" w:hAnsi="Segoe UI" w:cs="Segoe UI"/>
          <w:sz w:val="20"/>
        </w:rPr>
        <w:t>%.</w:t>
      </w:r>
    </w:p>
    <w:p w:rsidR="00DA6F59" w:rsidRDefault="00DA6F59" w:rsidP="00DA6F59">
      <w:pPr>
        <w:kinsoku w:val="0"/>
        <w:overflowPunct w:val="0"/>
        <w:spacing w:before="40"/>
        <w:ind w:left="34"/>
        <w:textAlignment w:val="baseline"/>
        <w:rPr>
          <w:rFonts w:ascii="Segoe UI" w:hAnsi="Segoe UI" w:cs="Segoe UI"/>
          <w:sz w:val="20"/>
        </w:rPr>
      </w:pPr>
    </w:p>
    <w:tbl>
      <w:tblPr>
        <w:tblStyle w:val="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3"/>
        <w:gridCol w:w="5103"/>
      </w:tblGrid>
      <w:tr w:rsidR="00E55AED" w:rsidRPr="00EE40A0" w:rsidTr="00DA6F59">
        <w:trPr>
          <w:trHeight w:val="1984"/>
          <w:jc w:val="center"/>
        </w:trPr>
        <w:tc>
          <w:tcPr>
            <w:tcW w:w="5103" w:type="dxa"/>
            <w:vAlign w:val="bottom"/>
          </w:tcPr>
          <w:p w:rsidR="00DA6F59" w:rsidRPr="00DA6F59" w:rsidRDefault="00DA6F59" w:rsidP="00DA6F59">
            <w:pPr>
              <w:kinsoku w:val="0"/>
              <w:overflowPunct w:val="0"/>
              <w:spacing w:before="40"/>
              <w:ind w:left="38"/>
              <w:textAlignment w:val="baseline"/>
              <w:rPr>
                <w:rFonts w:ascii="Segoe UI" w:eastAsia="Segoe UI" w:hAnsi="Segoe UI" w:cs="Segoe UI"/>
                <w:b/>
                <w:color w:val="008080"/>
                <w:kern w:val="24"/>
              </w:rPr>
            </w:pPr>
            <w:r w:rsidRPr="00DA6F59">
              <w:rPr>
                <w:rFonts w:ascii="Segoe UI" w:eastAsia="Segoe UI" w:hAnsi="Segoe UI" w:cs="Segoe UI"/>
                <w:b/>
                <w:color w:val="008080"/>
                <w:kern w:val="24"/>
              </w:rPr>
              <w:t>Δείκτες και ποσοστά κάλυψης δανείων σε</w:t>
            </w:r>
            <w:r w:rsidR="000D2509">
              <w:rPr>
                <w:rFonts w:ascii="Segoe UI" w:eastAsia="Segoe UI" w:hAnsi="Segoe UI" w:cs="Segoe UI"/>
                <w:b/>
                <w:color w:val="008080"/>
                <w:kern w:val="24"/>
              </w:rPr>
              <w:t xml:space="preserve"> </w:t>
            </w:r>
            <w:r w:rsidRPr="00DA6F59">
              <w:rPr>
                <w:rFonts w:ascii="Segoe UI" w:eastAsia="Segoe UI" w:hAnsi="Segoe UI" w:cs="Segoe UI"/>
                <w:b/>
                <w:color w:val="008080"/>
                <w:kern w:val="24"/>
              </w:rPr>
              <w:t>καθυστέρηση άνω των 90 ημερών</w:t>
            </w:r>
          </w:p>
          <w:p w:rsidR="00DA6F59" w:rsidRPr="00DA6F59" w:rsidRDefault="00E55AED" w:rsidP="00DA6F59">
            <w:pPr>
              <w:kinsoku w:val="0"/>
              <w:overflowPunct w:val="0"/>
              <w:spacing w:before="40"/>
              <w:ind w:left="547" w:hanging="547"/>
              <w:textAlignment w:val="baseline"/>
              <w:rPr>
                <w:rFonts w:ascii="Segoe UI" w:eastAsia="Times New Roman" w:hAnsi="Segoe UI" w:cs="Segoe UI"/>
              </w:rPr>
            </w:pPr>
            <w:r w:rsidRPr="00EE40A0">
              <w:rPr>
                <w:rFonts w:ascii="Segoe UI" w:eastAsia="Times New Roman" w:hAnsi="Segoe UI" w:cs="Segoe UI"/>
                <w:noProof/>
              </w:rPr>
              <w:drawing>
                <wp:inline distT="0" distB="0" distL="0" distR="0">
                  <wp:extent cx="2997200" cy="1536700"/>
                  <wp:effectExtent l="0" t="0" r="12700" b="6350"/>
                  <wp:docPr id="750847111"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103" w:type="dxa"/>
            <w:vAlign w:val="bottom"/>
          </w:tcPr>
          <w:p w:rsidR="00E55AED" w:rsidRPr="00DA6F59" w:rsidRDefault="00DA6F59" w:rsidP="00DA6F59">
            <w:pPr>
              <w:kinsoku w:val="0"/>
              <w:overflowPunct w:val="0"/>
              <w:spacing w:before="40"/>
              <w:ind w:left="38"/>
              <w:textAlignment w:val="baseline"/>
              <w:rPr>
                <w:rFonts w:ascii="Segoe UI" w:eastAsia="Segoe UI" w:hAnsi="Segoe UI" w:cs="Segoe UI"/>
                <w:b/>
                <w:color w:val="008080"/>
                <w:kern w:val="24"/>
              </w:rPr>
            </w:pPr>
            <w:r w:rsidRPr="00DA6F59">
              <w:rPr>
                <w:rFonts w:ascii="Segoe UI" w:eastAsia="Segoe UI" w:hAnsi="Segoe UI" w:cs="Segoe UI"/>
                <w:b/>
                <w:color w:val="008080"/>
                <w:kern w:val="24"/>
              </w:rPr>
              <w:t>Δείκτες και ποσοστά κάλυψης Μη Εξυπηρετούμενων Ανοιγμάτων (ΜΕΑ)</w:t>
            </w:r>
          </w:p>
          <w:p w:rsidR="00E55AED" w:rsidRPr="00DA6F59" w:rsidRDefault="00E55AED" w:rsidP="00D12150">
            <w:pPr>
              <w:kinsoku w:val="0"/>
              <w:overflowPunct w:val="0"/>
              <w:spacing w:before="40"/>
              <w:ind w:left="547" w:hanging="547"/>
              <w:jc w:val="right"/>
              <w:textAlignment w:val="baseline"/>
              <w:rPr>
                <w:rFonts w:ascii="Segoe UI" w:eastAsia="Times New Roman" w:hAnsi="Segoe UI" w:cs="Segoe UI"/>
              </w:rPr>
            </w:pPr>
            <w:r w:rsidRPr="00EE40A0">
              <w:rPr>
                <w:rFonts w:ascii="Segoe UI" w:eastAsia="Times New Roman" w:hAnsi="Segoe UI" w:cs="Segoe UI"/>
                <w:noProof/>
              </w:rPr>
              <w:drawing>
                <wp:inline distT="0" distB="0" distL="0" distR="0">
                  <wp:extent cx="3130550" cy="1549400"/>
                  <wp:effectExtent l="0" t="0" r="12700" b="12700"/>
                  <wp:docPr id="75084711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E55AED" w:rsidRPr="00A02F9C" w:rsidRDefault="00E55AED" w:rsidP="00E55AED">
      <w:pPr>
        <w:kinsoku w:val="0"/>
        <w:overflowPunct w:val="0"/>
        <w:spacing w:before="40"/>
        <w:ind w:left="547" w:hanging="547"/>
        <w:textAlignment w:val="baseline"/>
        <w:rPr>
          <w:rFonts w:ascii="Segoe UI" w:eastAsia="Segoe UI" w:hAnsi="Segoe UI" w:cs="Segoe UI"/>
          <w:b/>
          <w:color w:val="008080"/>
          <w:kern w:val="24"/>
          <w:sz w:val="18"/>
          <w:szCs w:val="18"/>
          <w:lang w:val="en-US" w:eastAsia="el-GR"/>
        </w:rPr>
      </w:pPr>
    </w:p>
    <w:p w:rsidR="00E55AED" w:rsidRPr="00201DF8" w:rsidRDefault="00DA6F59" w:rsidP="00E55AED">
      <w:pPr>
        <w:kinsoku w:val="0"/>
        <w:overflowPunct w:val="0"/>
        <w:spacing w:before="40"/>
        <w:ind w:left="547" w:hanging="547"/>
        <w:textAlignment w:val="baseline"/>
        <w:rPr>
          <w:rFonts w:ascii="Segoe UI" w:eastAsia="Segoe UI" w:hAnsi="Segoe UI" w:cs="Segoe UI"/>
          <w:b/>
          <w:color w:val="008080"/>
          <w:kern w:val="24"/>
          <w:sz w:val="20"/>
          <w:lang w:eastAsia="el-GR"/>
        </w:rPr>
      </w:pPr>
      <w:r w:rsidRPr="00DA6F59">
        <w:rPr>
          <w:rFonts w:ascii="Segoe UI" w:eastAsia="Segoe UI" w:hAnsi="Segoe UI" w:cs="Segoe UI"/>
          <w:b/>
          <w:color w:val="008080"/>
          <w:kern w:val="24"/>
          <w:sz w:val="20"/>
          <w:lang w:eastAsia="el-GR"/>
        </w:rPr>
        <w:t>Μεταβολή ΜΕΑ στην Ελλάδα (€ δισ.)</w:t>
      </w:r>
      <w:r w:rsidR="002E34E0" w:rsidRPr="00201DF8">
        <w:rPr>
          <w:rFonts w:ascii="Segoe UI" w:eastAsia="Segoe UI" w:hAnsi="Segoe UI" w:cs="Segoe UI"/>
          <w:b/>
          <w:color w:val="008080"/>
          <w:kern w:val="24"/>
          <w:sz w:val="20"/>
          <w:lang w:eastAsia="el-GR"/>
        </w:rPr>
        <w:t xml:space="preserve">  </w:t>
      </w:r>
    </w:p>
    <w:p w:rsidR="00E55AED" w:rsidRPr="00EE40A0" w:rsidRDefault="00931D2C" w:rsidP="00D12150">
      <w:pPr>
        <w:kinsoku w:val="0"/>
        <w:overflowPunct w:val="0"/>
        <w:spacing w:before="40"/>
        <w:ind w:left="547" w:hanging="547"/>
        <w:textAlignment w:val="baseline"/>
        <w:rPr>
          <w:rFonts w:ascii="Segoe UI" w:eastAsia="Segoe UI" w:hAnsi="Segoe UI" w:cs="Segoe UI"/>
          <w:b/>
          <w:color w:val="008080"/>
          <w:kern w:val="24"/>
          <w:sz w:val="18"/>
          <w:lang w:val="en-US" w:eastAsia="el-GR"/>
        </w:rPr>
      </w:pPr>
      <w:r w:rsidRPr="00EE40A0">
        <w:rPr>
          <w:rFonts w:ascii="Segoe UI" w:hAnsi="Segoe UI" w:cs="Segoe UI"/>
          <w:b/>
          <w:noProof/>
          <w:color w:val="008080"/>
          <w:sz w:val="32"/>
          <w:lang w:eastAsia="el-GR"/>
        </w:rPr>
        <w:drawing>
          <wp:inline distT="0" distB="0" distL="0" distR="0">
            <wp:extent cx="6437376" cy="1689811"/>
            <wp:effectExtent l="0" t="0" r="1905" b="5715"/>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37EF" w:rsidRPr="0036728B" w:rsidRDefault="008537EF">
      <w:pPr>
        <w:rPr>
          <w:rFonts w:ascii="Segoe UI" w:eastAsia="Segoe UI" w:hAnsi="Segoe UI" w:cs="Segoe UI"/>
          <w:b/>
          <w:color w:val="008080"/>
          <w:kern w:val="24"/>
          <w:sz w:val="6"/>
          <w:lang w:eastAsia="el-GR"/>
        </w:rPr>
      </w:pPr>
      <w:r w:rsidRPr="0036728B">
        <w:rPr>
          <w:rFonts w:ascii="Segoe UI" w:eastAsia="Segoe UI" w:hAnsi="Segoe UI" w:cs="Segoe UI"/>
          <w:b/>
          <w:color w:val="008080"/>
          <w:kern w:val="24"/>
          <w:sz w:val="6"/>
          <w:lang w:val="en-US" w:eastAsia="el-GR"/>
        </w:rPr>
        <w:br w:type="page"/>
      </w:r>
    </w:p>
    <w:p w:rsidR="008E0A91" w:rsidRPr="000F701B" w:rsidRDefault="007241DD" w:rsidP="008E0A91">
      <w:pPr>
        <w:pStyle w:val="TITLEINBODY"/>
        <w:rPr>
          <w:rFonts w:ascii="Segoe UI" w:hAnsi="Segoe UI" w:cs="Segoe UI"/>
          <w:lang w:val="el-GR"/>
        </w:rPr>
      </w:pPr>
      <w:r w:rsidRPr="000F701B">
        <w:rPr>
          <w:rFonts w:ascii="Segoe UI" w:hAnsi="Segoe UI" w:cs="Segoe UI"/>
          <w:lang w:val="el-GR"/>
        </w:rPr>
        <w:lastRenderedPageBreak/>
        <w:t>Κεφαλαιακή Επάρκεια</w:t>
      </w:r>
    </w:p>
    <w:p w:rsidR="002F3CE8" w:rsidRPr="00F8106F" w:rsidRDefault="00E32291" w:rsidP="002F3CE8">
      <w:pPr>
        <w:autoSpaceDE w:val="0"/>
        <w:autoSpaceDN w:val="0"/>
        <w:adjustRightInd w:val="0"/>
        <w:spacing w:before="240" w:after="160" w:line="320" w:lineRule="atLeast"/>
        <w:jc w:val="both"/>
        <w:rPr>
          <w:rFonts w:ascii="Segoe UI" w:hAnsi="Segoe UI" w:cs="Segoe UI"/>
          <w:sz w:val="20"/>
        </w:rPr>
      </w:pPr>
      <w:r>
        <w:rPr>
          <w:rFonts w:ascii="Segoe UI" w:hAnsi="Segoe UI" w:cs="Segoe UI"/>
          <w:sz w:val="20"/>
        </w:rPr>
        <w:t>Λαμβάνοντας υπόψη τα</w:t>
      </w:r>
      <w:r w:rsidR="002F3CE8">
        <w:rPr>
          <w:rFonts w:ascii="Segoe UI" w:hAnsi="Segoe UI" w:cs="Segoe UI"/>
          <w:sz w:val="20"/>
        </w:rPr>
        <w:t xml:space="preserve"> </w:t>
      </w:r>
      <w:r w:rsidR="009C3E8A">
        <w:rPr>
          <w:rFonts w:ascii="Segoe UI" w:hAnsi="Segoe UI" w:cs="Segoe UI"/>
          <w:sz w:val="20"/>
        </w:rPr>
        <w:t>αποτελέσματα</w:t>
      </w:r>
      <w:r w:rsidR="002F3CE8">
        <w:rPr>
          <w:rFonts w:ascii="Segoe UI" w:hAnsi="Segoe UI" w:cs="Segoe UI"/>
          <w:sz w:val="20"/>
        </w:rPr>
        <w:t xml:space="preserve"> του </w:t>
      </w:r>
      <w:r w:rsidR="00C92B08">
        <w:rPr>
          <w:rFonts w:ascii="Segoe UI" w:hAnsi="Segoe UI" w:cs="Segoe UI"/>
          <w:sz w:val="20"/>
          <w:lang w:val="en-US"/>
        </w:rPr>
        <w:t>B</w:t>
      </w:r>
      <w:r w:rsidR="002F3CE8">
        <w:rPr>
          <w:rFonts w:ascii="Segoe UI" w:hAnsi="Segoe UI" w:cs="Segoe UI"/>
          <w:sz w:val="20"/>
        </w:rPr>
        <w:t xml:space="preserve">’ τριμήνου 2020, </w:t>
      </w:r>
      <w:r w:rsidR="00397202" w:rsidRPr="000F701B">
        <w:rPr>
          <w:rFonts w:ascii="Segoe UI" w:hAnsi="Segoe UI" w:cs="Segoe UI"/>
          <w:sz w:val="20"/>
        </w:rPr>
        <w:t xml:space="preserve">ο δείκτης </w:t>
      </w:r>
      <w:r w:rsidR="00397202" w:rsidRPr="00881E8F">
        <w:rPr>
          <w:rFonts w:ascii="Segoe UI" w:hAnsi="Segoe UI" w:cs="Segoe UI"/>
          <w:sz w:val="20"/>
          <w:lang w:val="en-US"/>
        </w:rPr>
        <w:t>CET</w:t>
      </w:r>
      <w:r w:rsidR="00397202" w:rsidRPr="000F701B">
        <w:rPr>
          <w:rFonts w:ascii="Segoe UI" w:hAnsi="Segoe UI" w:cs="Segoe UI"/>
          <w:sz w:val="20"/>
        </w:rPr>
        <w:t>1 διαμορφώνεται σε 1</w:t>
      </w:r>
      <w:r w:rsidR="00397202">
        <w:rPr>
          <w:rFonts w:ascii="Segoe UI" w:hAnsi="Segoe UI" w:cs="Segoe UI"/>
          <w:sz w:val="20"/>
        </w:rPr>
        <w:t>5</w:t>
      </w:r>
      <w:r w:rsidR="00397202" w:rsidRPr="000F701B">
        <w:rPr>
          <w:rFonts w:ascii="Segoe UI" w:hAnsi="Segoe UI" w:cs="Segoe UI"/>
          <w:sz w:val="20"/>
        </w:rPr>
        <w:t>,</w:t>
      </w:r>
      <w:r w:rsidR="00397202" w:rsidRPr="00C92B08">
        <w:rPr>
          <w:rFonts w:ascii="Segoe UI" w:hAnsi="Segoe UI" w:cs="Segoe UI"/>
          <w:sz w:val="20"/>
        </w:rPr>
        <w:t>9</w:t>
      </w:r>
      <w:r w:rsidR="00397202" w:rsidRPr="000F701B">
        <w:rPr>
          <w:rFonts w:ascii="Segoe UI" w:hAnsi="Segoe UI" w:cs="Segoe UI"/>
          <w:sz w:val="20"/>
        </w:rPr>
        <w:t>%</w:t>
      </w:r>
      <w:r w:rsidR="00397202" w:rsidRPr="004F4622">
        <w:rPr>
          <w:rFonts w:ascii="Segoe UI" w:hAnsi="Segoe UI" w:cs="Segoe UI"/>
          <w:vertAlign w:val="superscript"/>
        </w:rPr>
        <w:footnoteReference w:id="4"/>
      </w:r>
      <w:r w:rsidR="00397202">
        <w:rPr>
          <w:rFonts w:ascii="Segoe UI" w:hAnsi="Segoe UI" w:cs="Segoe UI"/>
          <w:sz w:val="20"/>
        </w:rPr>
        <w:t xml:space="preserve">, </w:t>
      </w:r>
      <w:r w:rsidR="00194C5F">
        <w:rPr>
          <w:rFonts w:ascii="Segoe UI" w:hAnsi="Segoe UI" w:cs="Segoe UI"/>
          <w:sz w:val="20"/>
        </w:rPr>
        <w:t>ενισχυμένος κατά 40μ.β. σε τριμηνιαία βάση</w:t>
      </w:r>
      <w:r w:rsidR="00881E8F" w:rsidRPr="000F701B">
        <w:rPr>
          <w:rFonts w:ascii="Segoe UI" w:hAnsi="Segoe UI" w:cs="Segoe UI"/>
          <w:sz w:val="20"/>
        </w:rPr>
        <w:t xml:space="preserve">, </w:t>
      </w:r>
      <w:r w:rsidR="00397202">
        <w:rPr>
          <w:rFonts w:ascii="Segoe UI" w:hAnsi="Segoe UI" w:cs="Segoe UI"/>
          <w:sz w:val="20"/>
        </w:rPr>
        <w:t>αντανακλώντας την κερδοφορία του τριμήνου</w:t>
      </w:r>
      <w:r w:rsidR="00BE6D5D">
        <w:rPr>
          <w:rFonts w:ascii="Segoe UI" w:hAnsi="Segoe UI" w:cs="Segoe UI"/>
          <w:sz w:val="20"/>
        </w:rPr>
        <w:t>,</w:t>
      </w:r>
      <w:r w:rsidR="008A2104" w:rsidRPr="008A2104">
        <w:rPr>
          <w:rFonts w:ascii="Segoe UI" w:hAnsi="Segoe UI" w:cs="Segoe UI"/>
          <w:sz w:val="20"/>
        </w:rPr>
        <w:t xml:space="preserve"> </w:t>
      </w:r>
      <w:r w:rsidR="00BE6D5D" w:rsidRPr="00BE6D5D">
        <w:rPr>
          <w:rFonts w:ascii="Segoe UI" w:hAnsi="Segoe UI" w:cs="Segoe UI"/>
          <w:sz w:val="20"/>
        </w:rPr>
        <w:t>τα κέρδη αποτίμησης ομολόγων (FVTOCI), καθώς και τη θετική επίπτωση από τις αλλαγές στον Κανονισμό σχετικά με τις απαιτήσεις προληπτικής εποπτείας (CRR)</w:t>
      </w:r>
      <w:r w:rsidR="00397202" w:rsidRPr="00397202">
        <w:rPr>
          <w:rFonts w:ascii="Segoe UI" w:hAnsi="Segoe UI" w:cs="Segoe UI"/>
          <w:sz w:val="20"/>
        </w:rPr>
        <w:t xml:space="preserve">. </w:t>
      </w:r>
      <w:r w:rsidR="00397202">
        <w:rPr>
          <w:rFonts w:ascii="Segoe UI" w:hAnsi="Segoe UI" w:cs="Segoe UI"/>
          <w:sz w:val="20"/>
          <w:lang w:val="en-GB"/>
        </w:rPr>
        <w:t>O</w:t>
      </w:r>
      <w:r w:rsidR="006F4D81">
        <w:rPr>
          <w:rFonts w:ascii="Segoe UI" w:hAnsi="Segoe UI" w:cs="Segoe UI"/>
          <w:sz w:val="20"/>
        </w:rPr>
        <w:t xml:space="preserve"> </w:t>
      </w:r>
      <w:r w:rsidR="006F4D81" w:rsidRPr="002F3CE8">
        <w:rPr>
          <w:rFonts w:ascii="Segoe UI" w:hAnsi="Segoe UI" w:cs="Segoe UI"/>
          <w:sz w:val="20"/>
        </w:rPr>
        <w:t>Συνολικό</w:t>
      </w:r>
      <w:r w:rsidR="00397202">
        <w:rPr>
          <w:rFonts w:ascii="Segoe UI" w:hAnsi="Segoe UI" w:cs="Segoe UI"/>
          <w:sz w:val="20"/>
        </w:rPr>
        <w:t>ς</w:t>
      </w:r>
      <w:r w:rsidR="006F4D81" w:rsidRPr="002F3CE8">
        <w:rPr>
          <w:rFonts w:ascii="Segoe UI" w:hAnsi="Segoe UI" w:cs="Segoe UI"/>
          <w:sz w:val="20"/>
        </w:rPr>
        <w:t xml:space="preserve"> Δείκτη</w:t>
      </w:r>
      <w:r w:rsidR="00397202">
        <w:rPr>
          <w:rFonts w:ascii="Segoe UI" w:hAnsi="Segoe UI" w:cs="Segoe UI"/>
          <w:sz w:val="20"/>
        </w:rPr>
        <w:t>ς</w:t>
      </w:r>
      <w:r w:rsidR="006F4D81" w:rsidRPr="002F3CE8">
        <w:rPr>
          <w:rFonts w:ascii="Segoe UI" w:hAnsi="Segoe UI" w:cs="Segoe UI"/>
          <w:sz w:val="20"/>
        </w:rPr>
        <w:t xml:space="preserve"> Κεφαλαιακής Επάρκειας </w:t>
      </w:r>
      <w:r w:rsidR="006F4D81">
        <w:rPr>
          <w:rFonts w:ascii="Segoe UI" w:hAnsi="Segoe UI" w:cs="Segoe UI"/>
          <w:sz w:val="20"/>
        </w:rPr>
        <w:t>αν</w:t>
      </w:r>
      <w:r w:rsidR="00397202">
        <w:rPr>
          <w:rFonts w:ascii="Segoe UI" w:hAnsi="Segoe UI" w:cs="Segoe UI"/>
          <w:sz w:val="20"/>
        </w:rPr>
        <w:t xml:space="preserve">ήλθε </w:t>
      </w:r>
      <w:r w:rsidR="006F4D81">
        <w:rPr>
          <w:rFonts w:ascii="Segoe UI" w:hAnsi="Segoe UI" w:cs="Segoe UI"/>
          <w:sz w:val="20"/>
        </w:rPr>
        <w:t>σε</w:t>
      </w:r>
      <w:r w:rsidR="006F4D81" w:rsidRPr="002F3CE8">
        <w:rPr>
          <w:rFonts w:ascii="Segoe UI" w:hAnsi="Segoe UI" w:cs="Segoe UI"/>
          <w:sz w:val="20"/>
        </w:rPr>
        <w:t xml:space="preserve"> 16</w:t>
      </w:r>
      <w:proofErr w:type="gramStart"/>
      <w:r w:rsidR="006F4D81" w:rsidRPr="002F3CE8">
        <w:rPr>
          <w:rFonts w:ascii="Segoe UI" w:hAnsi="Segoe UI" w:cs="Segoe UI"/>
          <w:sz w:val="20"/>
        </w:rPr>
        <w:t>,</w:t>
      </w:r>
      <w:r w:rsidR="001772E9">
        <w:rPr>
          <w:rFonts w:ascii="Segoe UI" w:hAnsi="Segoe UI" w:cs="Segoe UI"/>
          <w:sz w:val="20"/>
        </w:rPr>
        <w:t>9</w:t>
      </w:r>
      <w:proofErr w:type="gramEnd"/>
      <w:r w:rsidR="006F4D81" w:rsidRPr="002F3CE8">
        <w:rPr>
          <w:rFonts w:ascii="Segoe UI" w:hAnsi="Segoe UI" w:cs="Segoe UI"/>
          <w:sz w:val="20"/>
        </w:rPr>
        <w:t>%</w:t>
      </w:r>
      <w:r w:rsidR="000C3AB6">
        <w:rPr>
          <w:rFonts w:ascii="Segoe UI" w:hAnsi="Segoe UI" w:cs="Segoe UI"/>
          <w:sz w:val="20"/>
          <w:vertAlign w:val="superscript"/>
        </w:rPr>
        <w:t>4</w:t>
      </w:r>
      <w:r w:rsidR="006F4D81" w:rsidRPr="000D4E54">
        <w:rPr>
          <w:rFonts w:ascii="Segoe UI" w:hAnsi="Segoe UI" w:cs="Segoe UI"/>
          <w:sz w:val="20"/>
        </w:rPr>
        <w:t xml:space="preserve">. </w:t>
      </w:r>
      <w:r w:rsidR="006F4D81">
        <w:rPr>
          <w:rFonts w:ascii="Segoe UI" w:hAnsi="Segoe UI" w:cs="Segoe UI"/>
          <w:sz w:val="20"/>
        </w:rPr>
        <w:t>Οι δείκτες κεφαλαιακής επάρκειας ε</w:t>
      </w:r>
      <w:r w:rsidR="002F3CE8" w:rsidRPr="002F3CE8">
        <w:rPr>
          <w:rFonts w:ascii="Segoe UI" w:hAnsi="Segoe UI" w:cs="Segoe UI"/>
          <w:sz w:val="20"/>
        </w:rPr>
        <w:t>νσωματών</w:t>
      </w:r>
      <w:r w:rsidR="002F3CE8">
        <w:rPr>
          <w:rFonts w:ascii="Segoe UI" w:hAnsi="Segoe UI" w:cs="Segoe UI"/>
          <w:sz w:val="20"/>
        </w:rPr>
        <w:t>ο</w:t>
      </w:r>
      <w:r w:rsidR="006F4D81">
        <w:rPr>
          <w:rFonts w:ascii="Segoe UI" w:hAnsi="Segoe UI" w:cs="Segoe UI"/>
          <w:sz w:val="20"/>
        </w:rPr>
        <w:t xml:space="preserve">υν </w:t>
      </w:r>
      <w:r w:rsidR="00AE7A55" w:rsidRPr="00AE7A55">
        <w:rPr>
          <w:rFonts w:ascii="Segoe UI" w:hAnsi="Segoe UI" w:cs="Segoe UI"/>
          <w:sz w:val="20"/>
        </w:rPr>
        <w:t>τις προβλέψεις απομείωσης σχετιζόμενες με την πανδημία του κορωνοϊού</w:t>
      </w:r>
      <w:r w:rsidR="00AE7A55">
        <w:rPr>
          <w:rFonts w:ascii="Segoe UI" w:hAnsi="Segoe UI" w:cs="Segoe UI"/>
          <w:sz w:val="20"/>
        </w:rPr>
        <w:t xml:space="preserve">, </w:t>
      </w:r>
      <w:r w:rsidR="00AE7A55" w:rsidRPr="002F3CE8">
        <w:rPr>
          <w:rFonts w:ascii="Segoe UI" w:hAnsi="Segoe UI" w:cs="Segoe UI"/>
          <w:sz w:val="20"/>
        </w:rPr>
        <w:t>υπερβαίν</w:t>
      </w:r>
      <w:r w:rsidR="00AE7A55">
        <w:rPr>
          <w:rFonts w:ascii="Segoe UI" w:hAnsi="Segoe UI" w:cs="Segoe UI"/>
          <w:sz w:val="20"/>
        </w:rPr>
        <w:t xml:space="preserve">οντας </w:t>
      </w:r>
      <w:r w:rsidR="00AE7A55" w:rsidRPr="002F3CE8">
        <w:rPr>
          <w:rFonts w:ascii="Segoe UI" w:hAnsi="Segoe UI" w:cs="Segoe UI"/>
          <w:sz w:val="20"/>
        </w:rPr>
        <w:t xml:space="preserve">τις </w:t>
      </w:r>
      <w:r w:rsidR="00AE7A55">
        <w:rPr>
          <w:rFonts w:ascii="Segoe UI" w:hAnsi="Segoe UI" w:cs="Segoe UI"/>
          <w:sz w:val="20"/>
        </w:rPr>
        <w:t xml:space="preserve">προσαρμοσμένες για την πανδημία του κορωνοϊού </w:t>
      </w:r>
      <w:r w:rsidR="00AE7A55" w:rsidRPr="002F3CE8">
        <w:rPr>
          <w:rFonts w:ascii="Segoe UI" w:hAnsi="Segoe UI" w:cs="Segoe UI"/>
          <w:sz w:val="20"/>
        </w:rPr>
        <w:t>κεφαλαιακές απαιτήσεις για το 2020</w:t>
      </w:r>
      <w:r w:rsidR="002F3CE8" w:rsidRPr="002F3CE8">
        <w:rPr>
          <w:rFonts w:ascii="Segoe UI" w:hAnsi="Segoe UI" w:cs="Segoe UI"/>
          <w:sz w:val="20"/>
        </w:rPr>
        <w:t xml:space="preserve">. Ενσωματώνοντας την πλήρη επίδραση του ΔΠΧΑ 9, </w:t>
      </w:r>
      <w:r w:rsidR="00BB79DE">
        <w:rPr>
          <w:rFonts w:ascii="Segoe UI" w:hAnsi="Segoe UI" w:cs="Segoe UI"/>
          <w:sz w:val="20"/>
        </w:rPr>
        <w:t xml:space="preserve">ο </w:t>
      </w:r>
      <w:r w:rsidR="002F3CE8" w:rsidRPr="002F3CE8">
        <w:rPr>
          <w:rFonts w:ascii="Segoe UI" w:hAnsi="Segoe UI" w:cs="Segoe UI"/>
          <w:sz w:val="20"/>
        </w:rPr>
        <w:t>δείκτης CET1 διαμορφώνεται σε 1</w:t>
      </w:r>
      <w:r w:rsidR="001772E9">
        <w:rPr>
          <w:rFonts w:ascii="Segoe UI" w:hAnsi="Segoe UI" w:cs="Segoe UI"/>
          <w:sz w:val="20"/>
        </w:rPr>
        <w:t>3,0</w:t>
      </w:r>
      <w:r w:rsidR="002F3CE8" w:rsidRPr="002F3CE8">
        <w:rPr>
          <w:rFonts w:ascii="Segoe UI" w:hAnsi="Segoe UI" w:cs="Segoe UI"/>
          <w:sz w:val="20"/>
        </w:rPr>
        <w:t>%</w:t>
      </w:r>
      <w:r w:rsidR="000C3AB6">
        <w:rPr>
          <w:rFonts w:ascii="Segoe UI" w:hAnsi="Segoe UI" w:cs="Segoe UI"/>
          <w:sz w:val="20"/>
          <w:vertAlign w:val="superscript"/>
        </w:rPr>
        <w:t>4</w:t>
      </w:r>
      <w:r w:rsidR="002F3CE8" w:rsidRPr="002F3CE8">
        <w:rPr>
          <w:rFonts w:ascii="Segoe UI" w:hAnsi="Segoe UI" w:cs="Segoe UI"/>
          <w:sz w:val="20"/>
        </w:rPr>
        <w:t xml:space="preserve">, </w:t>
      </w:r>
      <w:r w:rsidR="00AE7A55">
        <w:rPr>
          <w:rFonts w:ascii="Segoe UI" w:hAnsi="Segoe UI" w:cs="Segoe UI"/>
          <w:sz w:val="20"/>
        </w:rPr>
        <w:t>αυξημένος</w:t>
      </w:r>
      <w:r w:rsidR="002F3CE8" w:rsidRPr="002F3CE8">
        <w:rPr>
          <w:rFonts w:ascii="Segoe UI" w:hAnsi="Segoe UI" w:cs="Segoe UI"/>
          <w:sz w:val="20"/>
        </w:rPr>
        <w:t xml:space="preserve"> κατά </w:t>
      </w:r>
      <w:r w:rsidR="001772E9">
        <w:rPr>
          <w:rFonts w:ascii="Segoe UI" w:hAnsi="Segoe UI" w:cs="Segoe UI"/>
          <w:sz w:val="20"/>
        </w:rPr>
        <w:t>4</w:t>
      </w:r>
      <w:r w:rsidR="00AE7A55">
        <w:rPr>
          <w:rFonts w:ascii="Segoe UI" w:hAnsi="Segoe UI" w:cs="Segoe UI"/>
          <w:sz w:val="20"/>
        </w:rPr>
        <w:t>0</w:t>
      </w:r>
      <w:r w:rsidR="002F3CE8" w:rsidRPr="002F3CE8">
        <w:rPr>
          <w:rFonts w:ascii="Segoe UI" w:hAnsi="Segoe UI" w:cs="Segoe UI"/>
          <w:sz w:val="20"/>
        </w:rPr>
        <w:t xml:space="preserve">μ.β. σε σχέση με το </w:t>
      </w:r>
      <w:r w:rsidR="00AE7A55">
        <w:rPr>
          <w:rFonts w:ascii="Segoe UI" w:hAnsi="Segoe UI" w:cs="Segoe UI"/>
          <w:sz w:val="20"/>
        </w:rPr>
        <w:t>Α’ τρίμηνο 2020</w:t>
      </w:r>
      <w:r w:rsidR="0071626F">
        <w:rPr>
          <w:rFonts w:ascii="Segoe UI" w:hAnsi="Segoe UI" w:cs="Segoe UI"/>
          <w:sz w:val="20"/>
        </w:rPr>
        <w:t>.</w:t>
      </w:r>
      <w:r w:rsidR="00F8106F" w:rsidRPr="00F8106F">
        <w:rPr>
          <w:rFonts w:ascii="Segoe UI" w:hAnsi="Segoe UI" w:cs="Segoe UI"/>
          <w:sz w:val="20"/>
        </w:rPr>
        <w:t xml:space="preserve"> </w:t>
      </w:r>
    </w:p>
    <w:p w:rsidR="00587423" w:rsidRPr="000F701B" w:rsidRDefault="00587423" w:rsidP="00E55AED">
      <w:pPr>
        <w:kinsoku w:val="0"/>
        <w:overflowPunct w:val="0"/>
        <w:spacing w:before="40"/>
        <w:textAlignment w:val="baseline"/>
        <w:rPr>
          <w:rFonts w:ascii="Segoe UI" w:eastAsia="Segoe UI" w:hAnsi="Segoe UI" w:cs="Segoe UI"/>
          <w:b/>
          <w:color w:val="008080"/>
          <w:kern w:val="24"/>
          <w:sz w:val="2"/>
          <w:szCs w:val="2"/>
          <w:lang w:eastAsia="el-GR"/>
        </w:rPr>
      </w:pPr>
    </w:p>
    <w:p w:rsidR="001541D6" w:rsidRPr="00054FA3" w:rsidRDefault="0097157B" w:rsidP="00D12150">
      <w:pPr>
        <w:kinsoku w:val="0"/>
        <w:overflowPunct w:val="0"/>
        <w:spacing w:before="40"/>
        <w:textAlignment w:val="baseline"/>
        <w:rPr>
          <w:rFonts w:ascii="Segoe UI" w:eastAsia="Segoe UI" w:hAnsi="Segoe UI" w:cs="Segoe UI"/>
          <w:b/>
          <w:color w:val="008080"/>
          <w:kern w:val="24"/>
          <w:sz w:val="20"/>
          <w:lang w:eastAsia="el-GR"/>
        </w:rPr>
      </w:pPr>
      <w:r w:rsidRPr="000F701B">
        <w:rPr>
          <w:rFonts w:ascii="Segoe UI" w:eastAsia="Segoe UI" w:hAnsi="Segoe UI" w:cs="Segoe UI"/>
          <w:b/>
          <w:color w:val="008080"/>
          <w:kern w:val="24"/>
          <w:sz w:val="20"/>
          <w:lang w:eastAsia="el-GR"/>
        </w:rPr>
        <w:t>Μεταβολή στο Δείκτη Κεφαλαίου Κοινών Μετοχών Κατηγορίας 1 (</w:t>
      </w:r>
      <w:r w:rsidRPr="0097157B">
        <w:rPr>
          <w:rFonts w:ascii="Segoe UI" w:eastAsia="Segoe UI" w:hAnsi="Segoe UI" w:cs="Segoe UI"/>
          <w:b/>
          <w:color w:val="008080"/>
          <w:kern w:val="24"/>
          <w:sz w:val="20"/>
          <w:lang w:val="en-US" w:eastAsia="el-GR"/>
        </w:rPr>
        <w:t>CET</w:t>
      </w:r>
      <w:r w:rsidRPr="000F701B">
        <w:rPr>
          <w:rFonts w:ascii="Segoe UI" w:eastAsia="Segoe UI" w:hAnsi="Segoe UI" w:cs="Segoe UI"/>
          <w:b/>
          <w:color w:val="008080"/>
          <w:kern w:val="24"/>
          <w:sz w:val="20"/>
          <w:lang w:eastAsia="el-GR"/>
        </w:rPr>
        <w:t xml:space="preserve">1) το </w:t>
      </w:r>
      <w:r w:rsidR="001441C8">
        <w:rPr>
          <w:rFonts w:ascii="Segoe UI" w:eastAsia="Segoe UI" w:hAnsi="Segoe UI" w:cs="Segoe UI"/>
          <w:b/>
          <w:color w:val="008080"/>
          <w:kern w:val="24"/>
          <w:sz w:val="20"/>
          <w:lang w:val="en-US" w:eastAsia="el-GR"/>
        </w:rPr>
        <w:t>B</w:t>
      </w:r>
      <w:r w:rsidR="00054FA3" w:rsidRPr="00054FA3">
        <w:rPr>
          <w:rFonts w:ascii="Segoe UI" w:eastAsia="Segoe UI" w:hAnsi="Segoe UI" w:cs="Segoe UI"/>
          <w:b/>
          <w:color w:val="008080"/>
          <w:kern w:val="24"/>
          <w:sz w:val="20"/>
          <w:lang w:eastAsia="el-GR"/>
        </w:rPr>
        <w:t>’</w:t>
      </w:r>
      <w:r w:rsidRPr="000F701B">
        <w:rPr>
          <w:rFonts w:ascii="Segoe UI" w:eastAsia="Segoe UI" w:hAnsi="Segoe UI" w:cs="Segoe UI"/>
          <w:b/>
          <w:color w:val="008080"/>
          <w:kern w:val="24"/>
          <w:sz w:val="20"/>
          <w:lang w:eastAsia="el-GR"/>
        </w:rPr>
        <w:t xml:space="preserve"> τρίμηνο 20</w:t>
      </w:r>
      <w:r w:rsidR="00054FA3" w:rsidRPr="00054FA3">
        <w:rPr>
          <w:rFonts w:ascii="Segoe UI" w:eastAsia="Segoe UI" w:hAnsi="Segoe UI" w:cs="Segoe UI"/>
          <w:b/>
          <w:color w:val="008080"/>
          <w:kern w:val="24"/>
          <w:sz w:val="20"/>
          <w:lang w:eastAsia="el-GR"/>
        </w:rPr>
        <w:t>20</w:t>
      </w:r>
    </w:p>
    <w:p w:rsidR="00E55AED" w:rsidRPr="000F701B" w:rsidRDefault="00C00739" w:rsidP="00D12150">
      <w:pPr>
        <w:kinsoku w:val="0"/>
        <w:overflowPunct w:val="0"/>
        <w:spacing w:before="40"/>
        <w:textAlignment w:val="baseline"/>
        <w:rPr>
          <w:rFonts w:ascii="Segoe UI" w:eastAsia="Segoe UI" w:hAnsi="Segoe UI" w:cs="Segoe UI"/>
          <w:b/>
          <w:color w:val="008080"/>
          <w:kern w:val="24"/>
          <w:sz w:val="18"/>
          <w:lang w:eastAsia="el-GR"/>
        </w:rPr>
      </w:pPr>
      <w:r w:rsidRPr="00C00739">
        <w:rPr>
          <w:rFonts w:ascii="Segoe UI" w:hAnsi="Segoe UI" w:cs="Segoe UI"/>
          <w:noProof/>
          <w:lang w:eastAsia="el-G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7" o:spid="_x0000_s1036" type="#_x0000_t61" style="position:absolute;margin-left:239.9pt;margin-top:7.8pt;width:78.3pt;height:36.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" adj="436,7784" filled="f" stroked="f" strokeweight="1pt">
            <v:path arrowok="t"/>
            <v:textbox>
              <w:txbxContent>
                <w:p w:rsidR="003B131A" w:rsidRPr="003962F0" w:rsidRDefault="003B131A" w:rsidP="00E55AED">
                  <w:pPr>
                    <w:pStyle w:val="Web"/>
                    <w:spacing w:before="0" w:beforeAutospacing="0" w:after="0" w:afterAutospacing="0"/>
                    <w:jc w:val="center"/>
                    <w:textAlignment w:val="baseline"/>
                    <w:rPr>
                      <w:b/>
                      <w:sz w:val="20"/>
                    </w:rPr>
                  </w:pPr>
                  <w:r w:rsidRPr="003962F0">
                    <w:rPr>
                      <w:rFonts w:ascii="Segoe UI" w:eastAsia="MS Mincho" w:hAnsi="Segoe UI" w:cs="Segoe UI"/>
                      <w:b/>
                      <w:color w:val="000000"/>
                      <w:kern w:val="24"/>
                      <w:sz w:val="11"/>
                      <w:szCs w:val="9"/>
                      <w:lang w:eastAsia="en-US"/>
                    </w:rPr>
                    <w:t>Συνολικός Δείκτης Κεφαλαιακής Επάρκειας στο 16,9%</w:t>
                  </w:r>
                </w:p>
              </w:txbxContent>
            </v:textbox>
          </v:shape>
        </w:pict>
      </w:r>
      <w:r w:rsidRPr="00C00739">
        <w:rPr>
          <w:noProof/>
          <w:lang w:eastAsia="el-GR"/>
        </w:rPr>
        <w:pict>
          <v:shape id="Rectangular Callout 26" o:spid="_x0000_s1057" type="#_x0000_t61" style="position:absolute;margin-left:409.65pt;margin-top:44.8pt;width:67.1pt;height:32.25pt;z-index:251692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" adj="15149,30860" fillcolor="window" strokecolor="#56608a" strokeweight="1pt">
            <v:textbox>
              <w:txbxContent>
                <w:p w:rsidR="00F8106F" w:rsidRPr="00F8106F" w:rsidRDefault="00F8106F" w:rsidP="00F8106F">
                  <w:pPr>
                    <w:pStyle w:val="Web"/>
                    <w:spacing w:before="0" w:beforeAutospacing="0" w:after="0" w:afterAutospacing="0"/>
                    <w:jc w:val="center"/>
                    <w:textAlignment w:val="baseline"/>
                    <w:rPr>
                      <w:sz w:val="18"/>
                    </w:rPr>
                  </w:pPr>
                  <w:r w:rsidRPr="00F8106F">
                    <w:rPr>
                      <w:rFonts w:asciiTheme="minorHAnsi" w:hAnsi="Calibri" w:cstheme="minorBidi"/>
                      <w:color w:val="595959"/>
                      <w:kern w:val="24"/>
                      <w:sz w:val="8"/>
                      <w:szCs w:val="14"/>
                    </w:rPr>
                    <w:t xml:space="preserve">Μετά από επικοινωνία με </w:t>
                  </w:r>
                  <w:r w:rsidR="003334D2">
                    <w:rPr>
                      <w:rFonts w:asciiTheme="minorHAnsi" w:hAnsi="Calibri" w:cstheme="minorBidi"/>
                      <w:color w:val="595959"/>
                      <w:kern w:val="24"/>
                      <w:sz w:val="8"/>
                      <w:szCs w:val="14"/>
                    </w:rPr>
                    <w:t xml:space="preserve">την </w:t>
                  </w:r>
                  <w:r w:rsidRPr="00F8106F">
                    <w:rPr>
                      <w:rFonts w:asciiTheme="minorHAnsi" w:hAnsi="Calibri" w:cstheme="minorBidi"/>
                      <w:color w:val="595959"/>
                      <w:kern w:val="24"/>
                      <w:sz w:val="8"/>
                      <w:szCs w:val="14"/>
                    </w:rPr>
                    <w:t xml:space="preserve">ΕΚΤ τον Ιούλιο και </w:t>
                  </w:r>
                  <w:r w:rsidR="003334D2">
                    <w:rPr>
                      <w:rFonts w:asciiTheme="minorHAnsi" w:hAnsi="Calibri" w:cstheme="minorBidi"/>
                      <w:color w:val="595959"/>
                      <w:kern w:val="24"/>
                      <w:sz w:val="8"/>
                      <w:szCs w:val="14"/>
                    </w:rPr>
                    <w:t xml:space="preserve">με εκκρεμή την </w:t>
                  </w:r>
                  <w:r w:rsidRPr="00F8106F">
                    <w:rPr>
                      <w:rFonts w:asciiTheme="minorHAnsi" w:hAnsi="Calibri" w:cstheme="minorBidi"/>
                      <w:color w:val="595959"/>
                      <w:kern w:val="24"/>
                      <w:sz w:val="8"/>
                      <w:szCs w:val="14"/>
                    </w:rPr>
                    <w:t>έγκριση</w:t>
                  </w:r>
                  <w:r w:rsidR="003334D2">
                    <w:rPr>
                      <w:rFonts w:asciiTheme="minorHAnsi" w:hAnsi="Calibri" w:cstheme="minorBidi"/>
                      <w:color w:val="595959"/>
                      <w:kern w:val="24"/>
                      <w:sz w:val="8"/>
                      <w:szCs w:val="14"/>
                    </w:rPr>
                    <w:t xml:space="preserve"> </w:t>
                  </w:r>
                  <w:r w:rsidR="00D342DA">
                    <w:rPr>
                      <w:rFonts w:asciiTheme="minorHAnsi" w:hAnsi="Calibri" w:cstheme="minorBidi"/>
                      <w:color w:val="595959"/>
                      <w:kern w:val="24"/>
                      <w:sz w:val="8"/>
                      <w:szCs w:val="14"/>
                    </w:rPr>
                    <w:t>της ΤτΕ</w:t>
                  </w:r>
                  <w:r w:rsidRPr="00F8106F">
                    <w:rPr>
                      <w:rFonts w:asciiTheme="minorHAnsi" w:hAnsi="Calibri" w:cstheme="minorBidi"/>
                      <w:color w:val="595959"/>
                      <w:kern w:val="24"/>
                      <w:sz w:val="8"/>
                      <w:szCs w:val="14"/>
                    </w:rPr>
                    <w:t>, οι Συνολικές Κεφαλαιακές Απαιτήσεις (</w:t>
                  </w:r>
                  <w:r w:rsidRPr="00F8106F">
                    <w:rPr>
                      <w:rFonts w:asciiTheme="minorHAnsi" w:hAnsi="Calibri" w:cstheme="minorBidi"/>
                      <w:color w:val="595959"/>
                      <w:kern w:val="24"/>
                      <w:sz w:val="8"/>
                      <w:szCs w:val="14"/>
                      <w:lang w:val="en-US"/>
                    </w:rPr>
                    <w:t>OCR</w:t>
                  </w:r>
                  <w:r w:rsidRPr="00F8106F">
                    <w:rPr>
                      <w:rFonts w:asciiTheme="minorHAnsi" w:hAnsi="Calibri" w:cstheme="minorBidi"/>
                      <w:color w:val="595959"/>
                      <w:kern w:val="24"/>
                      <w:sz w:val="8"/>
                      <w:szCs w:val="14"/>
                    </w:rPr>
                    <w:t>) στο 11,0%</w:t>
                  </w:r>
                </w:p>
              </w:txbxContent>
            </v:textbox>
          </v:shape>
        </w:pict>
      </w:r>
      <w:r w:rsidRPr="00C00739">
        <w:rPr>
          <w:rFonts w:ascii="Segoe UI" w:hAnsi="Segoe UI" w:cs="Segoe UI"/>
          <w:noProof/>
          <w:sz w:val="20"/>
          <w:lang w:eastAsia="el-GR"/>
        </w:rPr>
        <w:pict>
          <v:shape id="Rectangular Callout 28" o:spid="_x0000_s1037" type="#_x0000_t61" style="position:absolute;margin-left:304.6pt;margin-top:86.5pt;width:36.85pt;height:22.6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" adj="-4317,1118" fillcolor="window" strokecolor="#7f7f7f [1612]" strokeweight="1pt">
            <v:path arrowok="t"/>
            <v:textbox>
              <w:txbxContent>
                <w:p w:rsidR="003B131A" w:rsidRPr="007F5EB5" w:rsidRDefault="003B131A"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lang w:val="en-US"/>
                    </w:rPr>
                    <w:t>CET1 FL</w:t>
                  </w:r>
                  <w:r w:rsidRPr="007F5EB5">
                    <w:rPr>
                      <w:rFonts w:asciiTheme="minorHAnsi" w:hAnsi="Calibri" w:cstheme="minorBidi"/>
                      <w:color w:val="000000" w:themeColor="text1"/>
                      <w:kern w:val="24"/>
                      <w:sz w:val="8"/>
                      <w:szCs w:val="16"/>
                      <w:lang w:val="en-US"/>
                    </w:rPr>
                    <w:t xml:space="preserve">: </w:t>
                  </w:r>
                  <w:r w:rsidRPr="007F5EB5">
                    <w:rPr>
                      <w:rFonts w:asciiTheme="minorHAnsi" w:hAnsi="Calibri" w:cstheme="minorBidi"/>
                      <w:color w:val="000000" w:themeColor="text1"/>
                      <w:kern w:val="24"/>
                      <w:sz w:val="10"/>
                      <w:szCs w:val="16"/>
                      <w:lang w:val="en-US"/>
                    </w:rPr>
                    <w:t>1</w:t>
                  </w:r>
                  <w:r>
                    <w:rPr>
                      <w:rFonts w:asciiTheme="minorHAnsi" w:hAnsi="Calibri" w:cstheme="minorBidi"/>
                      <w:color w:val="000000" w:themeColor="text1"/>
                      <w:kern w:val="24"/>
                      <w:sz w:val="10"/>
                      <w:szCs w:val="16"/>
                    </w:rPr>
                    <w:t>3</w:t>
                  </w:r>
                  <w:proofErr w:type="gramStart"/>
                  <w:r>
                    <w:rPr>
                      <w:rFonts w:asciiTheme="minorHAnsi" w:hAnsi="Calibri" w:cstheme="minorBidi"/>
                      <w:color w:val="000000" w:themeColor="text1"/>
                      <w:kern w:val="24"/>
                      <w:sz w:val="10"/>
                      <w:szCs w:val="16"/>
                    </w:rPr>
                    <w:t>,0</w:t>
                  </w:r>
                  <w:proofErr w:type="gramEnd"/>
                  <w:r w:rsidRPr="007F5EB5">
                    <w:rPr>
                      <w:rFonts w:asciiTheme="minorHAnsi" w:hAnsi="Calibri" w:cstheme="minorBidi"/>
                      <w:color w:val="000000" w:themeColor="text1"/>
                      <w:kern w:val="24"/>
                      <w:sz w:val="10"/>
                      <w:szCs w:val="16"/>
                      <w:lang w:val="en-US"/>
                    </w:rPr>
                    <w:t>%</w:t>
                  </w:r>
                </w:p>
              </w:txbxContent>
            </v:textbox>
          </v:shape>
        </w:pict>
      </w:r>
      <w:r w:rsidRPr="00C00739">
        <w:rPr>
          <w:rFonts w:ascii="Segoe UI" w:hAnsi="Segoe UI" w:cs="Segoe UI"/>
          <w:noProof/>
          <w:sz w:val="20"/>
          <w:lang w:eastAsia="el-GR"/>
        </w:rPr>
        <w:pict>
          <v:shape id="_x0000_s1038" type="#_x0000_t61" style="position:absolute;margin-left:404.4pt;margin-top:86.75pt;width:36.85pt;height:22.6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" adj="-3280,950" fillcolor="window" strokecolor="#7f7f7f [1612]" strokeweight="1pt">
            <v:path arrowok="t"/>
            <v:textbox>
              <w:txbxContent>
                <w:p w:rsidR="003B131A" w:rsidRPr="007F5EB5" w:rsidRDefault="003B131A"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lang w:val="en-US"/>
                    </w:rPr>
                    <w:t>C</w:t>
                  </w:r>
                  <w:r>
                    <w:rPr>
                      <w:rFonts w:asciiTheme="minorHAnsi" w:hAnsi="Calibri" w:cstheme="minorBidi"/>
                      <w:color w:val="000000" w:themeColor="text1"/>
                      <w:kern w:val="24"/>
                      <w:sz w:val="10"/>
                      <w:szCs w:val="16"/>
                      <w:lang w:val="en-US"/>
                    </w:rPr>
                    <w:t>ET1 FL: 1</w:t>
                  </w:r>
                  <w:r>
                    <w:rPr>
                      <w:rFonts w:asciiTheme="minorHAnsi" w:hAnsi="Calibri" w:cstheme="minorBidi"/>
                      <w:color w:val="000000" w:themeColor="text1"/>
                      <w:kern w:val="24"/>
                      <w:sz w:val="10"/>
                      <w:szCs w:val="16"/>
                    </w:rPr>
                    <w:t>3</w:t>
                  </w:r>
                  <w:proofErr w:type="gramStart"/>
                  <w:r w:rsidRPr="007F5EB5">
                    <w:rPr>
                      <w:rFonts w:asciiTheme="minorHAnsi" w:hAnsi="Calibri" w:cstheme="minorBidi"/>
                      <w:color w:val="000000" w:themeColor="text1"/>
                      <w:kern w:val="24"/>
                      <w:sz w:val="10"/>
                      <w:szCs w:val="16"/>
                      <w:lang w:val="en-US"/>
                    </w:rPr>
                    <w:t>,</w:t>
                  </w:r>
                  <w:r>
                    <w:rPr>
                      <w:rFonts w:asciiTheme="minorHAnsi" w:hAnsi="Calibri" w:cstheme="minorBidi"/>
                      <w:color w:val="000000" w:themeColor="text1"/>
                      <w:kern w:val="24"/>
                      <w:sz w:val="10"/>
                      <w:szCs w:val="16"/>
                    </w:rPr>
                    <w:t>1</w:t>
                  </w:r>
                  <w:proofErr w:type="gramEnd"/>
                  <w:r w:rsidRPr="007F5EB5">
                    <w:rPr>
                      <w:rFonts w:asciiTheme="minorHAnsi" w:hAnsi="Calibri" w:cstheme="minorBidi"/>
                      <w:color w:val="000000" w:themeColor="text1"/>
                      <w:kern w:val="24"/>
                      <w:sz w:val="10"/>
                      <w:szCs w:val="16"/>
                      <w:lang w:val="en-US"/>
                    </w:rPr>
                    <w:t>%</w:t>
                  </w:r>
                </w:p>
              </w:txbxContent>
            </v:textbox>
          </v:shape>
        </w:pict>
      </w:r>
      <w:r w:rsidRPr="00C00739">
        <w:rPr>
          <w:rFonts w:ascii="Segoe UI" w:hAnsi="Segoe UI" w:cs="Segoe UI"/>
          <w:noProof/>
          <w:sz w:val="20"/>
          <w:lang w:eastAsia="el-GR"/>
        </w:rPr>
        <w:pict>
          <v:rect id="Rectangle 26" o:spid="_x0000_s1039" style="position:absolute;margin-left:448.2pt;margin-top:96.3pt;width:59.25pt;height:27.75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" fillcolor="window" strokecolor="#ff7415">
            <v:path arrowok="t"/>
            <v:textbox>
              <w:txbxContent>
                <w:p w:rsidR="003B131A" w:rsidRPr="003334D2" w:rsidRDefault="003334D2" w:rsidP="00E55AED">
                  <w:pPr>
                    <w:jc w:val="center"/>
                    <w:textAlignment w:val="baseline"/>
                    <w:rPr>
                      <w:rFonts w:cs="Segoe UI"/>
                      <w:sz w:val="12"/>
                      <w:szCs w:val="14"/>
                    </w:rPr>
                  </w:pPr>
                  <w:r w:rsidRPr="003334D2">
                    <w:rPr>
                      <w:rFonts w:ascii="Calibri" w:eastAsia="MS Mincho" w:hAnsi="Calibri" w:cs="Times New Roman"/>
                      <w:color w:val="000000"/>
                      <w:kern w:val="24"/>
                      <w:sz w:val="8"/>
                      <w:szCs w:val="10"/>
                    </w:rPr>
                    <w:t>Απόθεμα Ασφαλείας των Λοιπών Συστημικά Σημαντικών Πιστωτικών Ιδρυμάτων</w:t>
                  </w:r>
                  <w:r>
                    <w:rPr>
                      <w:rFonts w:ascii="Calibri" w:eastAsia="MS Mincho" w:hAnsi="Calibri" w:cs="Times New Roman"/>
                      <w:color w:val="000000"/>
                      <w:kern w:val="24"/>
                      <w:sz w:val="8"/>
                      <w:szCs w:val="10"/>
                    </w:rPr>
                    <w:t xml:space="preserve"> (</w:t>
                  </w:r>
                  <w:r w:rsidR="008516A3" w:rsidRPr="003334D2">
                    <w:rPr>
                      <w:rFonts w:ascii="Calibri" w:eastAsia="MS Mincho" w:hAnsi="Calibri" w:cs="Times New Roman"/>
                      <w:color w:val="000000"/>
                      <w:kern w:val="24"/>
                      <w:sz w:val="8"/>
                      <w:szCs w:val="10"/>
                      <w:lang w:val="en-US"/>
                    </w:rPr>
                    <w:t>O</w:t>
                  </w:r>
                  <w:r w:rsidR="008516A3" w:rsidRPr="003334D2">
                    <w:rPr>
                      <w:rFonts w:ascii="Calibri" w:eastAsia="MS Mincho" w:hAnsi="Calibri" w:cs="Times New Roman"/>
                      <w:color w:val="000000"/>
                      <w:kern w:val="24"/>
                      <w:sz w:val="8"/>
                      <w:szCs w:val="10"/>
                    </w:rPr>
                    <w:t>-</w:t>
                  </w:r>
                  <w:r w:rsidR="008516A3" w:rsidRPr="003334D2">
                    <w:rPr>
                      <w:rFonts w:ascii="Calibri" w:eastAsia="MS Mincho" w:hAnsi="Calibri" w:cs="Times New Roman"/>
                      <w:color w:val="000000"/>
                      <w:kern w:val="24"/>
                      <w:sz w:val="8"/>
                      <w:szCs w:val="10"/>
                      <w:lang w:val="en-US"/>
                    </w:rPr>
                    <w:t>SII</w:t>
                  </w:r>
                  <w:r>
                    <w:rPr>
                      <w:rFonts w:ascii="Calibri" w:eastAsia="MS Mincho" w:hAnsi="Calibri" w:cs="Times New Roman"/>
                      <w:color w:val="000000"/>
                      <w:kern w:val="24"/>
                      <w:sz w:val="8"/>
                      <w:szCs w:val="10"/>
                    </w:rPr>
                    <w:t>)</w:t>
                  </w:r>
                  <w:r w:rsidR="003B131A" w:rsidRPr="003334D2">
                    <w:rPr>
                      <w:rFonts w:ascii="Calibri" w:eastAsia="MS Mincho" w:hAnsi="Calibri" w:cs="Times New Roman"/>
                      <w:color w:val="000000"/>
                      <w:kern w:val="24"/>
                      <w:sz w:val="8"/>
                      <w:szCs w:val="10"/>
                    </w:rPr>
                    <w:t>:</w:t>
                  </w:r>
                  <w:r w:rsidR="008516A3" w:rsidRPr="003334D2">
                    <w:rPr>
                      <w:rFonts w:ascii="Calibri" w:eastAsia="MS Mincho" w:hAnsi="Calibri" w:cs="Times New Roman"/>
                      <w:color w:val="000000"/>
                      <w:kern w:val="24"/>
                      <w:sz w:val="8"/>
                      <w:szCs w:val="10"/>
                    </w:rPr>
                    <w:t xml:space="preserve"> 0</w:t>
                  </w:r>
                  <w:r w:rsidR="003B131A" w:rsidRPr="003334D2">
                    <w:rPr>
                      <w:rFonts w:cs="Segoe UI"/>
                      <w:color w:val="000000" w:themeColor="text1"/>
                      <w:kern w:val="24"/>
                      <w:sz w:val="8"/>
                      <w:szCs w:val="10"/>
                    </w:rPr>
                    <w:t>,5</w:t>
                  </w:r>
                  <w:r w:rsidR="003B131A" w:rsidRPr="003334D2">
                    <w:rPr>
                      <w:rFonts w:cs="Segoe UI"/>
                      <w:color w:val="000000" w:themeColor="text1"/>
                      <w:kern w:val="24"/>
                      <w:sz w:val="7"/>
                      <w:szCs w:val="9"/>
                    </w:rPr>
                    <w:t>%</w:t>
                  </w:r>
                </w:p>
              </w:txbxContent>
            </v:textbox>
          </v:rect>
        </w:pict>
      </w:r>
      <w:r w:rsidRPr="00C00739">
        <w:rPr>
          <w:rFonts w:ascii="Segoe UI" w:hAnsi="Segoe UI" w:cs="Segoe UI"/>
          <w:noProof/>
          <w:sz w:val="20"/>
          <w:lang w:eastAsia="el-GR"/>
        </w:rPr>
        <w:pict>
          <v:rect id="Rectangle 15" o:spid="_x0000_s1040" style="position:absolute;margin-left:14.35pt;margin-top:76.5pt;width:34pt;height:22.7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" fillcolor="window" strokecolor="teal">
            <v:path arrowok="t"/>
            <v:textbox>
              <w:txbxContent>
                <w:p w:rsidR="003B131A" w:rsidRPr="007F5EB5" w:rsidRDefault="003B131A" w:rsidP="00E55AED">
                  <w:pPr>
                    <w:pStyle w:val="Web"/>
                    <w:spacing w:before="0" w:beforeAutospacing="0" w:after="0" w:afterAutospacing="0"/>
                    <w:jc w:val="center"/>
                    <w:textAlignment w:val="baseline"/>
                    <w:rPr>
                      <w:rFonts w:asciiTheme="minorHAnsi" w:hAnsi="Calibri" w:cstheme="minorBidi"/>
                      <w:color w:val="000000" w:themeColor="text1"/>
                      <w:kern w:val="24"/>
                      <w:sz w:val="10"/>
                      <w:szCs w:val="16"/>
                      <w:lang w:val="en-US"/>
                    </w:rPr>
                  </w:pPr>
                  <w:r w:rsidRPr="007F5EB5">
                    <w:rPr>
                      <w:rFonts w:asciiTheme="minorHAnsi" w:hAnsi="Calibri" w:cstheme="minorBidi"/>
                      <w:color w:val="000000" w:themeColor="text1"/>
                      <w:kern w:val="24"/>
                      <w:sz w:val="10"/>
                      <w:szCs w:val="16"/>
                      <w:lang w:val="en-US"/>
                    </w:rPr>
                    <w:t xml:space="preserve">CET1: </w:t>
                  </w:r>
                </w:p>
                <w:p w:rsidR="003B131A" w:rsidRPr="007F5EB5" w:rsidRDefault="003B131A" w:rsidP="00E55AED">
                  <w:pPr>
                    <w:pStyle w:val="Web"/>
                    <w:spacing w:before="0" w:beforeAutospacing="0" w:after="0" w:afterAutospacing="0"/>
                    <w:jc w:val="center"/>
                    <w:textAlignment w:val="baseline"/>
                    <w:rPr>
                      <w:sz w:val="16"/>
                    </w:rPr>
                  </w:pPr>
                  <w:r w:rsidRPr="007F5EB5">
                    <w:rPr>
                      <w:rFonts w:asciiTheme="minorHAnsi" w:hAnsi="Calibri" w:cstheme="minorBidi"/>
                      <w:color w:val="000000" w:themeColor="text1"/>
                      <w:kern w:val="24"/>
                      <w:sz w:val="10"/>
                      <w:szCs w:val="16"/>
                    </w:rPr>
                    <w:t>€</w:t>
                  </w:r>
                  <w:r>
                    <w:rPr>
                      <w:rFonts w:asciiTheme="minorHAnsi" w:hAnsi="Calibri" w:cstheme="minorBidi"/>
                      <w:color w:val="000000" w:themeColor="text1"/>
                      <w:kern w:val="24"/>
                      <w:sz w:val="10"/>
                      <w:szCs w:val="16"/>
                    </w:rPr>
                    <w:t>5</w:t>
                  </w:r>
                  <w:r w:rsidRPr="007F5EB5">
                    <w:rPr>
                      <w:rFonts w:asciiTheme="minorHAnsi" w:hAnsi="Calibri" w:cstheme="minorBidi"/>
                      <w:color w:val="000000" w:themeColor="text1"/>
                      <w:kern w:val="24"/>
                      <w:sz w:val="10"/>
                      <w:szCs w:val="16"/>
                    </w:rPr>
                    <w:t>,</w:t>
                  </w:r>
                  <w:r>
                    <w:rPr>
                      <w:rFonts w:asciiTheme="minorHAnsi" w:hAnsi="Calibri" w:cstheme="minorBidi"/>
                      <w:color w:val="000000" w:themeColor="text1"/>
                      <w:kern w:val="24"/>
                      <w:sz w:val="10"/>
                      <w:szCs w:val="16"/>
                    </w:rPr>
                    <w:t>7</w:t>
                  </w:r>
                  <w:r w:rsidRPr="007F5EB5">
                    <w:rPr>
                      <w:rFonts w:asciiTheme="minorHAnsi" w:hAnsi="Calibri" w:cstheme="minorBidi"/>
                      <w:color w:val="000000" w:themeColor="text1"/>
                      <w:kern w:val="24"/>
                      <w:sz w:val="10"/>
                      <w:szCs w:val="16"/>
                    </w:rPr>
                    <w:t xml:space="preserve"> δισ.</w:t>
                  </w:r>
                </w:p>
              </w:txbxContent>
            </v:textbox>
          </v:rect>
        </w:pict>
      </w:r>
      <w:r w:rsidRPr="00C00739">
        <w:rPr>
          <w:rFonts w:ascii="Segoe UI" w:hAnsi="Segoe UI" w:cs="Segoe UI"/>
          <w:noProof/>
          <w:sz w:val="20"/>
          <w:lang w:eastAsia="el-GR"/>
        </w:rPr>
        <w:pict>
          <v:rect id="_x0000_s1041" style="position:absolute;margin-left:10.25pt;margin-top:108.95pt;width:42.4pt;height:32.8pt;z-index:2516823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" fillcolor="window" strokecolor="teal">
            <v:path arrowok="t"/>
            <v:textbox>
              <w:txbxContent>
                <w:p w:rsidR="003B131A" w:rsidRPr="004C4BF5" w:rsidRDefault="003B131A" w:rsidP="00A72714">
                  <w:pPr>
                    <w:pStyle w:val="Web"/>
                    <w:spacing w:before="0" w:beforeAutospacing="0" w:after="0" w:afterAutospacing="0"/>
                    <w:jc w:val="center"/>
                    <w:textAlignment w:val="baseline"/>
                    <w:rPr>
                      <w:rFonts w:ascii="Calibri" w:eastAsia="MS Mincho" w:hAnsi="Calibri"/>
                      <w:color w:val="000000"/>
                      <w:kern w:val="24"/>
                      <w:sz w:val="10"/>
                      <w:szCs w:val="10"/>
                      <w:lang w:eastAsia="en-US"/>
                    </w:rPr>
                  </w:pPr>
                  <w:r w:rsidRPr="004C4BF5">
                    <w:rPr>
                      <w:rFonts w:ascii="Calibri" w:eastAsia="MS Mincho" w:hAnsi="Calibri"/>
                      <w:color w:val="000000"/>
                      <w:kern w:val="24"/>
                      <w:sz w:val="10"/>
                      <w:szCs w:val="10"/>
                      <w:lang w:eastAsia="en-US"/>
                    </w:rPr>
                    <w:t>Σταθμισμένα Στοιχεία Ενεργητικού:</w:t>
                  </w:r>
                  <w:r w:rsidRPr="003B2B95">
                    <w:rPr>
                      <w:rFonts w:asciiTheme="minorHAnsi" w:hAnsi="Calibri" w:cstheme="minorBidi"/>
                      <w:color w:val="000000" w:themeColor="text1"/>
                      <w:kern w:val="24"/>
                      <w:sz w:val="14"/>
                      <w:szCs w:val="16"/>
                      <w:lang w:val="en-US"/>
                    </w:rPr>
                    <w:t xml:space="preserve"> </w:t>
                  </w:r>
                  <w:r w:rsidRPr="004C4BF5">
                    <w:rPr>
                      <w:rFonts w:ascii="Calibri" w:eastAsia="MS Mincho" w:hAnsi="Calibri"/>
                      <w:color w:val="000000"/>
                      <w:kern w:val="24"/>
                      <w:sz w:val="10"/>
                      <w:szCs w:val="10"/>
                      <w:lang w:eastAsia="en-US"/>
                    </w:rPr>
                    <w:t>€3</w:t>
                  </w:r>
                  <w:r>
                    <w:rPr>
                      <w:rFonts w:ascii="Calibri" w:eastAsia="MS Mincho" w:hAnsi="Calibri"/>
                      <w:color w:val="000000"/>
                      <w:kern w:val="24"/>
                      <w:sz w:val="10"/>
                      <w:szCs w:val="10"/>
                      <w:lang w:eastAsia="en-US"/>
                    </w:rPr>
                    <w:t>6,9 δισ.</w:t>
                  </w:r>
                </w:p>
              </w:txbxContent>
            </v:textbox>
          </v:rect>
        </w:pict>
      </w:r>
      <w:r w:rsidRPr="00C00739">
        <w:rPr>
          <w:rFonts w:ascii="Segoe UI" w:hAnsi="Segoe UI" w:cs="Segoe UI"/>
          <w:noProof/>
          <w:sz w:val="20"/>
          <w:lang w:eastAsia="el-GR"/>
        </w:rPr>
        <w:pict>
          <v:rect id="_x0000_s1042" style="position:absolute;margin-left:262.1pt;margin-top:71.2pt;width:34pt;height:22.7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" fillcolor="window" strokecolor="teal">
            <v:path arrowok="t"/>
            <v:textbox>
              <w:txbxContent>
                <w:p w:rsidR="003B131A" w:rsidRPr="007F5EB5" w:rsidRDefault="003B131A"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lang w:val="en-US"/>
                    </w:rPr>
                    <w:t xml:space="preserve">CET1: </w:t>
                  </w:r>
                  <w:r w:rsidRPr="007F5EB5">
                    <w:rPr>
                      <w:rFonts w:asciiTheme="minorHAnsi" w:hAnsi="Calibri" w:cstheme="minorBidi"/>
                      <w:color w:val="000000" w:themeColor="text1"/>
                      <w:kern w:val="24"/>
                      <w:sz w:val="10"/>
                      <w:szCs w:val="16"/>
                    </w:rPr>
                    <w:t>€5</w:t>
                  </w:r>
                  <w:r w:rsidRPr="007F5EB5">
                    <w:rPr>
                      <w:rFonts w:asciiTheme="minorHAnsi" w:hAnsi="Calibri" w:cstheme="minorBidi"/>
                      <w:color w:val="000000" w:themeColor="text1"/>
                      <w:kern w:val="24"/>
                      <w:sz w:val="10"/>
                      <w:szCs w:val="16"/>
                      <w:lang w:val="en-US"/>
                    </w:rPr>
                    <w:t>,</w:t>
                  </w:r>
                  <w:r w:rsidRPr="007F5EB5">
                    <w:rPr>
                      <w:rFonts w:asciiTheme="minorHAnsi" w:hAnsi="Calibri" w:cstheme="minorBidi"/>
                      <w:color w:val="000000" w:themeColor="text1"/>
                      <w:kern w:val="24"/>
                      <w:sz w:val="10"/>
                      <w:szCs w:val="16"/>
                    </w:rPr>
                    <w:t>7</w:t>
                  </w:r>
                  <w:r w:rsidRPr="007F5EB5">
                    <w:rPr>
                      <w:rFonts w:asciiTheme="minorHAnsi" w:hAnsi="Calibri" w:cstheme="minorBidi"/>
                      <w:color w:val="000000" w:themeColor="text1"/>
                      <w:kern w:val="24"/>
                      <w:sz w:val="10"/>
                      <w:szCs w:val="16"/>
                      <w:lang w:val="en-US"/>
                    </w:rPr>
                    <w:t>δισ</w:t>
                  </w:r>
                  <w:r>
                    <w:rPr>
                      <w:rFonts w:asciiTheme="minorHAnsi" w:hAnsi="Calibri" w:cstheme="minorBidi"/>
                      <w:color w:val="000000" w:themeColor="text1"/>
                      <w:kern w:val="24"/>
                      <w:sz w:val="10"/>
                      <w:szCs w:val="16"/>
                    </w:rPr>
                    <w:t>.</w:t>
                  </w:r>
                </w:p>
              </w:txbxContent>
            </v:textbox>
          </v:rect>
        </w:pict>
      </w:r>
      <w:r w:rsidRPr="00C00739">
        <w:rPr>
          <w:rFonts w:ascii="Segoe UI" w:hAnsi="Segoe UI" w:cs="Segoe UI"/>
          <w:noProof/>
          <w:sz w:val="20"/>
          <w:lang w:eastAsia="el-GR"/>
        </w:rPr>
        <w:pict>
          <v:rect id="_x0000_s1043" style="position:absolute;margin-left:257.9pt;margin-top:106.7pt;width:42.4pt;height:32.8pt;z-index:2516843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" fillcolor="window" strokecolor="teal">
            <v:path arrowok="t"/>
            <v:textbox>
              <w:txbxContent>
                <w:p w:rsidR="003B131A" w:rsidRPr="004C4BF5" w:rsidRDefault="003B131A" w:rsidP="007F5EB5">
                  <w:pPr>
                    <w:pStyle w:val="Web"/>
                    <w:spacing w:before="0" w:beforeAutospacing="0" w:after="0" w:afterAutospacing="0"/>
                    <w:jc w:val="center"/>
                    <w:textAlignment w:val="baseline"/>
                    <w:rPr>
                      <w:rFonts w:ascii="Calibri" w:eastAsia="MS Mincho" w:hAnsi="Calibri"/>
                      <w:color w:val="000000"/>
                      <w:kern w:val="24"/>
                      <w:sz w:val="10"/>
                      <w:szCs w:val="10"/>
                      <w:lang w:eastAsia="en-US"/>
                    </w:rPr>
                  </w:pPr>
                  <w:r w:rsidRPr="004C4BF5">
                    <w:rPr>
                      <w:rFonts w:ascii="Calibri" w:eastAsia="MS Mincho" w:hAnsi="Calibri"/>
                      <w:color w:val="000000"/>
                      <w:kern w:val="24"/>
                      <w:sz w:val="10"/>
                      <w:szCs w:val="10"/>
                      <w:lang w:eastAsia="en-US"/>
                    </w:rPr>
                    <w:t>Σταθμισμένα Στοιχεία Ενεργητικού:</w:t>
                  </w:r>
                  <w:r w:rsidRPr="003B2B95">
                    <w:rPr>
                      <w:rFonts w:asciiTheme="minorHAnsi" w:hAnsi="Calibri" w:cstheme="minorBidi"/>
                      <w:color w:val="000000" w:themeColor="text1"/>
                      <w:kern w:val="24"/>
                      <w:sz w:val="14"/>
                      <w:szCs w:val="16"/>
                      <w:lang w:val="en-US"/>
                    </w:rPr>
                    <w:t xml:space="preserve"> </w:t>
                  </w:r>
                  <w:r>
                    <w:rPr>
                      <w:rFonts w:ascii="Calibri" w:eastAsia="MS Mincho" w:hAnsi="Calibri"/>
                      <w:color w:val="000000"/>
                      <w:kern w:val="24"/>
                      <w:sz w:val="10"/>
                      <w:szCs w:val="10"/>
                      <w:lang w:eastAsia="en-US"/>
                    </w:rPr>
                    <w:t>€36,1 δισ.</w:t>
                  </w:r>
                </w:p>
              </w:txbxContent>
            </v:textbox>
          </v:rect>
        </w:pict>
      </w:r>
      <w:r w:rsidRPr="00C00739">
        <w:rPr>
          <w:rFonts w:ascii="Segoe UI" w:hAnsi="Segoe UI" w:cs="Segoe UI"/>
          <w:noProof/>
          <w:sz w:val="20"/>
          <w:lang w:eastAsia="el-GR"/>
        </w:rPr>
        <w:pict>
          <v:rect id="_x0000_s1044" style="position:absolute;margin-left:362pt;margin-top:71.2pt;width:34pt;height:22.7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" fillcolor="window" strokecolor="teal">
            <v:path arrowok="t"/>
            <v:textbox>
              <w:txbxContent>
                <w:p w:rsidR="003B131A" w:rsidRPr="007F5EB5" w:rsidRDefault="003B131A" w:rsidP="00E55AED">
                  <w:pPr>
                    <w:pStyle w:val="Web"/>
                    <w:spacing w:before="0" w:beforeAutospacing="0" w:after="0" w:afterAutospacing="0"/>
                    <w:jc w:val="center"/>
                    <w:textAlignment w:val="baseline"/>
                    <w:rPr>
                      <w:rFonts w:asciiTheme="minorHAnsi" w:hAnsi="Calibri" w:cstheme="minorBidi"/>
                      <w:color w:val="000000" w:themeColor="text1"/>
                      <w:kern w:val="24"/>
                      <w:sz w:val="10"/>
                      <w:szCs w:val="16"/>
                    </w:rPr>
                  </w:pPr>
                  <w:r w:rsidRPr="007F5EB5">
                    <w:rPr>
                      <w:rFonts w:asciiTheme="minorHAnsi" w:hAnsi="Calibri" w:cstheme="minorBidi"/>
                      <w:color w:val="000000" w:themeColor="text1"/>
                      <w:kern w:val="24"/>
                      <w:sz w:val="10"/>
                      <w:szCs w:val="16"/>
                      <w:lang w:val="en-US"/>
                    </w:rPr>
                    <w:t xml:space="preserve">CET1: </w:t>
                  </w:r>
                </w:p>
                <w:p w:rsidR="003B131A" w:rsidRPr="007F5EB5" w:rsidRDefault="003B131A" w:rsidP="00E55AED">
                  <w:pPr>
                    <w:pStyle w:val="Web"/>
                    <w:spacing w:before="0" w:beforeAutospacing="0" w:after="0" w:afterAutospacing="0"/>
                    <w:jc w:val="center"/>
                    <w:textAlignment w:val="baseline"/>
                    <w:rPr>
                      <w:sz w:val="18"/>
                    </w:rPr>
                  </w:pPr>
                  <w:r w:rsidRPr="007F5EB5">
                    <w:rPr>
                      <w:rFonts w:asciiTheme="minorHAnsi" w:hAnsi="Calibri" w:cstheme="minorBidi"/>
                      <w:color w:val="000000" w:themeColor="text1"/>
                      <w:kern w:val="24"/>
                      <w:sz w:val="10"/>
                      <w:szCs w:val="16"/>
                    </w:rPr>
                    <w:t>€5</w:t>
                  </w:r>
                  <w:r w:rsidRPr="007F5EB5">
                    <w:rPr>
                      <w:rFonts w:asciiTheme="minorHAnsi" w:hAnsi="Calibri" w:cstheme="minorBidi"/>
                      <w:color w:val="000000" w:themeColor="text1"/>
                      <w:kern w:val="24"/>
                      <w:sz w:val="10"/>
                      <w:szCs w:val="16"/>
                      <w:lang w:val="en-US"/>
                    </w:rPr>
                    <w:t>,</w:t>
                  </w:r>
                  <w:r>
                    <w:rPr>
                      <w:rFonts w:asciiTheme="minorHAnsi" w:hAnsi="Calibri" w:cstheme="minorBidi"/>
                      <w:color w:val="000000" w:themeColor="text1"/>
                      <w:kern w:val="24"/>
                      <w:sz w:val="10"/>
                      <w:szCs w:val="16"/>
                      <w:lang w:val="en-US"/>
                    </w:rPr>
                    <w:t>7</w:t>
                  </w:r>
                  <w:r>
                    <w:rPr>
                      <w:rFonts w:asciiTheme="minorHAnsi" w:hAnsi="Calibri" w:cstheme="minorBidi"/>
                      <w:color w:val="000000" w:themeColor="text1"/>
                      <w:kern w:val="24"/>
                      <w:sz w:val="10"/>
                      <w:szCs w:val="16"/>
                    </w:rPr>
                    <w:t xml:space="preserve"> </w:t>
                  </w:r>
                  <w:r w:rsidRPr="007F5EB5">
                    <w:rPr>
                      <w:rFonts w:asciiTheme="minorHAnsi" w:hAnsi="Calibri" w:cstheme="minorBidi"/>
                      <w:color w:val="000000" w:themeColor="text1"/>
                      <w:kern w:val="24"/>
                      <w:sz w:val="10"/>
                      <w:szCs w:val="16"/>
                    </w:rPr>
                    <w:t>δισ.</w:t>
                  </w:r>
                </w:p>
              </w:txbxContent>
            </v:textbox>
          </v:rect>
        </w:pict>
      </w:r>
      <w:r w:rsidRPr="00C00739">
        <w:rPr>
          <w:rFonts w:ascii="Segoe UI" w:hAnsi="Segoe UI" w:cs="Segoe UI"/>
          <w:noProof/>
          <w:sz w:val="20"/>
          <w:lang w:eastAsia="el-GR"/>
        </w:rPr>
        <w:pict>
          <v:rect id="_x0000_s1046" style="position:absolute;margin-left:357.45pt;margin-top:105.9pt;width:42.4pt;height:32.8pt;z-index:2516864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" fillcolor="window" strokecolor="teal">
            <v:path arrowok="t"/>
            <v:textbox>
              <w:txbxContent>
                <w:p w:rsidR="003B131A" w:rsidRPr="004C4BF5" w:rsidRDefault="003B131A" w:rsidP="007F5EB5">
                  <w:pPr>
                    <w:pStyle w:val="Web"/>
                    <w:spacing w:before="0" w:beforeAutospacing="0" w:after="0" w:afterAutospacing="0"/>
                    <w:jc w:val="center"/>
                    <w:textAlignment w:val="baseline"/>
                    <w:rPr>
                      <w:rFonts w:ascii="Calibri" w:eastAsia="MS Mincho" w:hAnsi="Calibri"/>
                      <w:color w:val="000000"/>
                      <w:kern w:val="24"/>
                      <w:sz w:val="10"/>
                      <w:szCs w:val="10"/>
                      <w:lang w:eastAsia="en-US"/>
                    </w:rPr>
                  </w:pPr>
                  <w:r w:rsidRPr="004C4BF5">
                    <w:rPr>
                      <w:rFonts w:ascii="Calibri" w:eastAsia="MS Mincho" w:hAnsi="Calibri"/>
                      <w:color w:val="000000"/>
                      <w:kern w:val="24"/>
                      <w:sz w:val="10"/>
                      <w:szCs w:val="10"/>
                      <w:lang w:eastAsia="en-US"/>
                    </w:rPr>
                    <w:t>Σταθμισμένα Στοιχεία Ενεργητικού:</w:t>
                  </w:r>
                  <w:r w:rsidRPr="003B2B95">
                    <w:rPr>
                      <w:rFonts w:asciiTheme="minorHAnsi" w:hAnsi="Calibri" w:cstheme="minorBidi"/>
                      <w:color w:val="000000" w:themeColor="text1"/>
                      <w:kern w:val="24"/>
                      <w:sz w:val="14"/>
                      <w:szCs w:val="16"/>
                      <w:lang w:val="en-US"/>
                    </w:rPr>
                    <w:t xml:space="preserve"> </w:t>
                  </w:r>
                  <w:r w:rsidRPr="004C4BF5">
                    <w:rPr>
                      <w:rFonts w:ascii="Calibri" w:eastAsia="MS Mincho" w:hAnsi="Calibri"/>
                      <w:color w:val="000000"/>
                      <w:kern w:val="24"/>
                      <w:sz w:val="10"/>
                      <w:szCs w:val="10"/>
                      <w:lang w:eastAsia="en-US"/>
                    </w:rPr>
                    <w:t>€</w:t>
                  </w:r>
                  <w:r>
                    <w:rPr>
                      <w:rFonts w:ascii="Calibri" w:eastAsia="MS Mincho" w:hAnsi="Calibri"/>
                      <w:color w:val="000000"/>
                      <w:kern w:val="24"/>
                      <w:sz w:val="10"/>
                      <w:szCs w:val="10"/>
                      <w:lang w:eastAsia="en-US"/>
                    </w:rPr>
                    <w:t>35,</w:t>
                  </w:r>
                  <w:r>
                    <w:rPr>
                      <w:rFonts w:ascii="Calibri" w:eastAsia="MS Mincho" w:hAnsi="Calibri"/>
                      <w:color w:val="000000"/>
                      <w:kern w:val="24"/>
                      <w:sz w:val="10"/>
                      <w:szCs w:val="10"/>
                      <w:lang w:val="en-US" w:eastAsia="en-US"/>
                    </w:rPr>
                    <w:t>7</w:t>
                  </w:r>
                  <w:r>
                    <w:rPr>
                      <w:rFonts w:ascii="Calibri" w:eastAsia="MS Mincho" w:hAnsi="Calibri"/>
                      <w:color w:val="000000"/>
                      <w:kern w:val="24"/>
                      <w:sz w:val="10"/>
                      <w:szCs w:val="10"/>
                      <w:lang w:eastAsia="en-US"/>
                    </w:rPr>
                    <w:t xml:space="preserve"> δισ.</w:t>
                  </w:r>
                </w:p>
              </w:txbxContent>
            </v:textbox>
          </v:rect>
        </w:pict>
      </w:r>
      <w:r w:rsidRPr="00C00739">
        <w:rPr>
          <w:rFonts w:ascii="Segoe UI" w:hAnsi="Segoe UI" w:cs="Segoe UI"/>
          <w:noProof/>
          <w:lang w:eastAsia="el-GR"/>
        </w:rPr>
        <w:pict>
          <v:oval id="Oval 20" o:spid="_x0000_s1056" style="position:absolute;margin-left:237.95pt;margin-top:8.65pt;width:81.8pt;height:35.1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" filled="f" strokecolor="teal" strokeweight="1pt">
            <v:stroke joinstyle="miter"/>
            <v:path arrowok="t"/>
          </v:oval>
        </w:pict>
      </w:r>
      <w:r w:rsidR="00E55AED" w:rsidRPr="006E13AD">
        <w:rPr>
          <w:rFonts w:ascii="Segoe UI" w:eastAsia="Segoe UI" w:hAnsi="Segoe UI" w:cs="Segoe UI"/>
          <w:b/>
          <w:noProof/>
          <w:color w:val="008080"/>
          <w:kern w:val="24"/>
          <w:sz w:val="18"/>
          <w:lang w:eastAsia="el-GR"/>
        </w:rPr>
        <w:drawing>
          <wp:inline distT="0" distB="0" distL="0" distR="0">
            <wp:extent cx="6467475" cy="2409825"/>
            <wp:effectExtent l="0" t="0" r="9525" b="9525"/>
            <wp:docPr id="750847114" name="Γράφημα 750847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5AED" w:rsidRPr="000F701B" w:rsidRDefault="00E55AED" w:rsidP="00E55AED">
      <w:pPr>
        <w:rPr>
          <w:rFonts w:ascii="Segoe UI" w:hAnsi="Segoe UI" w:cs="Segoe UI"/>
          <w:b/>
          <w:sz w:val="32"/>
        </w:rPr>
      </w:pPr>
    </w:p>
    <w:p w:rsidR="008E0A91" w:rsidRPr="000F701B" w:rsidRDefault="001E012B" w:rsidP="008E0A91">
      <w:pPr>
        <w:pStyle w:val="TITLEINBODY"/>
        <w:rPr>
          <w:rFonts w:ascii="Segoe UI" w:hAnsi="Segoe UI" w:cs="Segoe UI"/>
          <w:lang w:val="el-GR"/>
        </w:rPr>
      </w:pPr>
      <w:r w:rsidRPr="000F701B">
        <w:rPr>
          <w:rFonts w:ascii="Segoe UI" w:hAnsi="Segoe UI" w:cs="Segoe UI"/>
          <w:lang w:val="el-GR"/>
        </w:rPr>
        <w:t>Ρευστότητα</w:t>
      </w:r>
    </w:p>
    <w:p w:rsidR="00ED38A5" w:rsidRPr="00ED38A5" w:rsidRDefault="00ED38A5" w:rsidP="00ED38A5">
      <w:pPr>
        <w:autoSpaceDE w:val="0"/>
        <w:autoSpaceDN w:val="0"/>
        <w:adjustRightInd w:val="0"/>
        <w:spacing w:before="240" w:after="160" w:line="320" w:lineRule="atLeast"/>
        <w:jc w:val="both"/>
        <w:rPr>
          <w:rFonts w:ascii="Segoe UI" w:eastAsia="MS Mincho" w:hAnsi="Segoe UI" w:cs="Segoe UI"/>
          <w:sz w:val="20"/>
          <w:szCs w:val="22"/>
          <w:lang w:eastAsia="el-GR" w:bidi="el-GR"/>
        </w:rPr>
      </w:pPr>
      <w:r w:rsidRPr="00ED38A5">
        <w:rPr>
          <w:rFonts w:ascii="Segoe UI" w:eastAsia="MS Mincho" w:hAnsi="Segoe UI" w:cs="Segoe UI"/>
          <w:sz w:val="20"/>
          <w:szCs w:val="22"/>
          <w:lang w:eastAsia="el-GR" w:bidi="el-GR"/>
        </w:rPr>
        <w:t xml:space="preserve">Στην Ελλάδα, οι </w:t>
      </w:r>
      <w:r w:rsidRPr="00695851">
        <w:rPr>
          <w:rFonts w:ascii="Segoe UI" w:eastAsia="MS Mincho" w:hAnsi="Segoe UI" w:cs="Segoe UI"/>
          <w:b/>
          <w:sz w:val="20"/>
          <w:szCs w:val="22"/>
          <w:lang w:eastAsia="el-GR" w:bidi="el-GR"/>
        </w:rPr>
        <w:t>καταθέσεις</w:t>
      </w:r>
      <w:r w:rsidRPr="00ED38A5">
        <w:rPr>
          <w:rFonts w:ascii="Segoe UI" w:eastAsia="MS Mincho" w:hAnsi="Segoe UI" w:cs="Segoe UI"/>
          <w:sz w:val="20"/>
          <w:szCs w:val="22"/>
          <w:lang w:eastAsia="el-GR" w:bidi="el-GR"/>
        </w:rPr>
        <w:t xml:space="preserve"> ανήλθαν σε €</w:t>
      </w:r>
      <w:r w:rsidR="00E13DD6">
        <w:rPr>
          <w:rFonts w:ascii="Segoe UI" w:eastAsia="MS Mincho" w:hAnsi="Segoe UI" w:cs="Segoe UI"/>
          <w:sz w:val="20"/>
          <w:szCs w:val="22"/>
          <w:lang w:eastAsia="el-GR" w:bidi="el-GR"/>
        </w:rPr>
        <w:t>4</w:t>
      </w:r>
      <w:r w:rsidR="00A83BF1">
        <w:rPr>
          <w:rFonts w:ascii="Segoe UI" w:eastAsia="MS Mincho" w:hAnsi="Segoe UI" w:cs="Segoe UI"/>
          <w:sz w:val="20"/>
          <w:szCs w:val="22"/>
          <w:lang w:eastAsia="el-GR" w:bidi="el-GR"/>
        </w:rPr>
        <w:t>3,3</w:t>
      </w:r>
      <w:r w:rsidRPr="00ED38A5">
        <w:rPr>
          <w:rFonts w:ascii="Segoe UI" w:eastAsia="MS Mincho" w:hAnsi="Segoe UI" w:cs="Segoe UI"/>
          <w:sz w:val="20"/>
          <w:szCs w:val="22"/>
          <w:lang w:eastAsia="el-GR" w:bidi="el-GR"/>
        </w:rPr>
        <w:t xml:space="preserve"> δισ.</w:t>
      </w:r>
      <w:r w:rsidR="00E13DD6">
        <w:rPr>
          <w:rFonts w:ascii="Segoe UI" w:eastAsia="MS Mincho" w:hAnsi="Segoe UI" w:cs="Segoe UI"/>
          <w:sz w:val="20"/>
          <w:szCs w:val="22"/>
          <w:lang w:eastAsia="el-GR" w:bidi="el-GR"/>
        </w:rPr>
        <w:t>, αντ</w:t>
      </w:r>
      <w:r w:rsidR="00081ED2">
        <w:rPr>
          <w:rFonts w:ascii="Segoe UI" w:eastAsia="MS Mincho" w:hAnsi="Segoe UI" w:cs="Segoe UI"/>
          <w:sz w:val="20"/>
          <w:szCs w:val="22"/>
          <w:lang w:eastAsia="el-GR" w:bidi="el-GR"/>
        </w:rPr>
        <w:t xml:space="preserve">ικατοπτρίζοντας </w:t>
      </w:r>
      <w:r w:rsidR="00E13DD6" w:rsidRPr="00E13DD6">
        <w:rPr>
          <w:rFonts w:ascii="Segoe UI" w:eastAsia="MS Mincho" w:hAnsi="Segoe UI" w:cs="Segoe UI"/>
          <w:sz w:val="20"/>
          <w:szCs w:val="22"/>
          <w:lang w:eastAsia="el-GR" w:bidi="el-GR"/>
        </w:rPr>
        <w:t>ε</w:t>
      </w:r>
      <w:r w:rsidR="00A83BF1">
        <w:rPr>
          <w:rFonts w:ascii="Segoe UI" w:eastAsia="MS Mincho" w:hAnsi="Segoe UI" w:cs="Segoe UI"/>
          <w:sz w:val="20"/>
          <w:szCs w:val="22"/>
          <w:lang w:eastAsia="el-GR" w:bidi="el-GR"/>
        </w:rPr>
        <w:t>κ</w:t>
      </w:r>
      <w:r w:rsidR="00E13DD6" w:rsidRPr="00E13DD6">
        <w:rPr>
          <w:rFonts w:ascii="Segoe UI" w:eastAsia="MS Mincho" w:hAnsi="Segoe UI" w:cs="Segoe UI"/>
          <w:sz w:val="20"/>
          <w:szCs w:val="22"/>
          <w:lang w:eastAsia="el-GR" w:bidi="el-GR"/>
        </w:rPr>
        <w:t xml:space="preserve">ροές καταθέσεων </w:t>
      </w:r>
      <w:r w:rsidR="00E13DD6">
        <w:rPr>
          <w:rFonts w:ascii="Segoe UI" w:eastAsia="MS Mincho" w:hAnsi="Segoe UI" w:cs="Segoe UI"/>
          <w:sz w:val="20"/>
          <w:szCs w:val="22"/>
          <w:lang w:eastAsia="el-GR" w:bidi="el-GR"/>
        </w:rPr>
        <w:t xml:space="preserve">ύψους </w:t>
      </w:r>
      <w:r w:rsidRPr="00ED38A5">
        <w:rPr>
          <w:rFonts w:ascii="Segoe UI" w:eastAsia="MS Mincho" w:hAnsi="Segoe UI" w:cs="Segoe UI"/>
          <w:sz w:val="20"/>
          <w:szCs w:val="22"/>
          <w:lang w:eastAsia="el-GR" w:bidi="el-GR"/>
        </w:rPr>
        <w:t>€</w:t>
      </w:r>
      <w:r w:rsidR="00A83BF1">
        <w:rPr>
          <w:rFonts w:ascii="Segoe UI" w:eastAsia="MS Mincho" w:hAnsi="Segoe UI" w:cs="Segoe UI"/>
          <w:sz w:val="20"/>
          <w:szCs w:val="22"/>
          <w:lang w:eastAsia="el-GR" w:bidi="el-GR"/>
        </w:rPr>
        <w:t>0</w:t>
      </w:r>
      <w:r w:rsidR="00613DFE">
        <w:rPr>
          <w:rFonts w:ascii="Segoe UI" w:eastAsia="MS Mincho" w:hAnsi="Segoe UI" w:cs="Segoe UI"/>
          <w:sz w:val="20"/>
          <w:szCs w:val="22"/>
          <w:lang w:eastAsia="el-GR" w:bidi="el-GR"/>
        </w:rPr>
        <w:t>,7</w:t>
      </w:r>
      <w:r w:rsidRPr="00ED38A5">
        <w:rPr>
          <w:rFonts w:ascii="Segoe UI" w:eastAsia="MS Mincho" w:hAnsi="Segoe UI" w:cs="Segoe UI"/>
          <w:sz w:val="20"/>
          <w:szCs w:val="22"/>
          <w:lang w:eastAsia="el-GR" w:bidi="el-GR"/>
        </w:rPr>
        <w:t xml:space="preserve"> δισ. σε </w:t>
      </w:r>
      <w:r w:rsidR="00326542">
        <w:rPr>
          <w:rFonts w:ascii="Segoe UI" w:eastAsia="MS Mincho" w:hAnsi="Segoe UI" w:cs="Segoe UI"/>
          <w:sz w:val="20"/>
          <w:szCs w:val="22"/>
          <w:lang w:eastAsia="el-GR" w:bidi="el-GR"/>
        </w:rPr>
        <w:t>σχέση με το προηγούμενο τρίμηνο</w:t>
      </w:r>
      <w:r w:rsidRPr="00ED38A5">
        <w:rPr>
          <w:rFonts w:ascii="Segoe UI" w:eastAsia="MS Mincho" w:hAnsi="Segoe UI" w:cs="Segoe UI"/>
          <w:sz w:val="20"/>
          <w:szCs w:val="22"/>
          <w:lang w:eastAsia="el-GR" w:bidi="el-GR"/>
        </w:rPr>
        <w:t>,</w:t>
      </w:r>
      <w:r w:rsidR="00E13DD6">
        <w:rPr>
          <w:rFonts w:ascii="Segoe UI" w:eastAsia="MS Mincho" w:hAnsi="Segoe UI" w:cs="Segoe UI"/>
          <w:sz w:val="20"/>
          <w:szCs w:val="22"/>
          <w:lang w:eastAsia="el-GR" w:bidi="el-GR"/>
        </w:rPr>
        <w:t xml:space="preserve"> </w:t>
      </w:r>
      <w:r w:rsidR="00613DFE">
        <w:rPr>
          <w:rFonts w:ascii="Segoe UI" w:eastAsia="MS Mincho" w:hAnsi="Segoe UI" w:cs="Segoe UI"/>
          <w:sz w:val="20"/>
          <w:szCs w:val="22"/>
          <w:lang w:eastAsia="el-GR" w:bidi="el-GR"/>
        </w:rPr>
        <w:t>ως αποτέλεσμα των</w:t>
      </w:r>
      <w:r w:rsidR="00613DFE" w:rsidRPr="00613DFE">
        <w:rPr>
          <w:rFonts w:ascii="Segoe UI" w:eastAsia="MS Mincho" w:hAnsi="Segoe UI" w:cs="Segoe UI"/>
          <w:sz w:val="20"/>
          <w:szCs w:val="22"/>
          <w:lang w:eastAsia="el-GR" w:bidi="el-GR"/>
        </w:rPr>
        <w:t xml:space="preserve"> ε</w:t>
      </w:r>
      <w:r w:rsidR="00A83BF1">
        <w:rPr>
          <w:rFonts w:ascii="Segoe UI" w:eastAsia="MS Mincho" w:hAnsi="Segoe UI" w:cs="Segoe UI"/>
          <w:sz w:val="20"/>
          <w:szCs w:val="22"/>
          <w:lang w:eastAsia="el-GR" w:bidi="el-GR"/>
        </w:rPr>
        <w:t>κ</w:t>
      </w:r>
      <w:r w:rsidR="00613DFE" w:rsidRPr="00613DFE">
        <w:rPr>
          <w:rFonts w:ascii="Segoe UI" w:eastAsia="MS Mincho" w:hAnsi="Segoe UI" w:cs="Segoe UI"/>
          <w:sz w:val="20"/>
          <w:szCs w:val="22"/>
          <w:lang w:eastAsia="el-GR" w:bidi="el-GR"/>
        </w:rPr>
        <w:t>ρο</w:t>
      </w:r>
      <w:r w:rsidR="00613DFE">
        <w:rPr>
          <w:rFonts w:ascii="Segoe UI" w:eastAsia="MS Mincho" w:hAnsi="Segoe UI" w:cs="Segoe UI"/>
          <w:sz w:val="20"/>
          <w:szCs w:val="22"/>
          <w:lang w:eastAsia="el-GR" w:bidi="el-GR"/>
        </w:rPr>
        <w:t>ών</w:t>
      </w:r>
      <w:r w:rsidR="00613DFE" w:rsidRPr="00613DFE">
        <w:rPr>
          <w:rFonts w:ascii="Segoe UI" w:eastAsia="MS Mincho" w:hAnsi="Segoe UI" w:cs="Segoe UI"/>
          <w:sz w:val="20"/>
          <w:szCs w:val="22"/>
          <w:lang w:eastAsia="el-GR" w:bidi="el-GR"/>
        </w:rPr>
        <w:t xml:space="preserve"> κρατικών καταθέσεων, </w:t>
      </w:r>
      <w:r w:rsidR="00A83BF1">
        <w:rPr>
          <w:rFonts w:ascii="Segoe UI" w:eastAsia="MS Mincho" w:hAnsi="Segoe UI" w:cs="Segoe UI"/>
          <w:sz w:val="20"/>
          <w:szCs w:val="22"/>
          <w:lang w:eastAsia="el-GR" w:bidi="el-GR"/>
        </w:rPr>
        <w:t xml:space="preserve">ενώ οι </w:t>
      </w:r>
      <w:r w:rsidR="00613DFE" w:rsidRPr="00613DFE">
        <w:rPr>
          <w:rFonts w:ascii="Segoe UI" w:eastAsia="MS Mincho" w:hAnsi="Segoe UI" w:cs="Segoe UI"/>
          <w:sz w:val="20"/>
          <w:szCs w:val="22"/>
          <w:lang w:eastAsia="el-GR" w:bidi="el-GR"/>
        </w:rPr>
        <w:t>καταθέσεις ιδιωτών διατ</w:t>
      </w:r>
      <w:r w:rsidR="00694882">
        <w:rPr>
          <w:rFonts w:ascii="Segoe UI" w:eastAsia="MS Mincho" w:hAnsi="Segoe UI" w:cs="Segoe UI"/>
          <w:sz w:val="20"/>
          <w:szCs w:val="22"/>
          <w:lang w:eastAsia="el-GR" w:bidi="el-GR"/>
        </w:rPr>
        <w:t>ήρησαν τ</w:t>
      </w:r>
      <w:r w:rsidR="00613DFE" w:rsidRPr="00613DFE">
        <w:rPr>
          <w:rFonts w:ascii="Segoe UI" w:eastAsia="MS Mincho" w:hAnsi="Segoe UI" w:cs="Segoe UI"/>
          <w:sz w:val="20"/>
          <w:szCs w:val="22"/>
          <w:lang w:eastAsia="el-GR" w:bidi="el-GR"/>
        </w:rPr>
        <w:t>η θετική τους τάση</w:t>
      </w:r>
      <w:r w:rsidR="00A83BF1">
        <w:rPr>
          <w:rFonts w:ascii="Segoe UI" w:eastAsia="MS Mincho" w:hAnsi="Segoe UI" w:cs="Segoe UI"/>
          <w:sz w:val="20"/>
          <w:szCs w:val="22"/>
          <w:lang w:eastAsia="el-GR" w:bidi="el-GR"/>
        </w:rPr>
        <w:t xml:space="preserve"> (+€0,</w:t>
      </w:r>
      <w:r w:rsidR="004174DE">
        <w:rPr>
          <w:rFonts w:ascii="Segoe UI" w:eastAsia="MS Mincho" w:hAnsi="Segoe UI" w:cs="Segoe UI"/>
          <w:sz w:val="20"/>
          <w:szCs w:val="22"/>
          <w:lang w:eastAsia="el-GR" w:bidi="el-GR"/>
        </w:rPr>
        <w:t>9</w:t>
      </w:r>
      <w:r w:rsidR="00A83BF1">
        <w:rPr>
          <w:rFonts w:ascii="Segoe UI" w:eastAsia="MS Mincho" w:hAnsi="Segoe UI" w:cs="Segoe UI"/>
          <w:sz w:val="20"/>
          <w:szCs w:val="22"/>
          <w:lang w:eastAsia="el-GR" w:bidi="el-GR"/>
        </w:rPr>
        <w:t xml:space="preserve"> δισ. σε τριμηνιαία βάση)</w:t>
      </w:r>
      <w:r w:rsidR="00114711" w:rsidRPr="00114711">
        <w:rPr>
          <w:rFonts w:ascii="Segoe UI" w:eastAsia="MS Mincho" w:hAnsi="Segoe UI" w:cs="Segoe UI"/>
          <w:sz w:val="20"/>
          <w:szCs w:val="22"/>
          <w:lang w:eastAsia="el-GR" w:bidi="el-GR"/>
        </w:rPr>
        <w:t>.</w:t>
      </w:r>
      <w:r w:rsidRPr="00ED38A5">
        <w:rPr>
          <w:rFonts w:ascii="Segoe UI" w:eastAsia="MS Mincho" w:hAnsi="Segoe UI" w:cs="Segoe UI"/>
          <w:sz w:val="20"/>
          <w:szCs w:val="22"/>
          <w:lang w:eastAsia="el-GR" w:bidi="el-GR"/>
        </w:rPr>
        <w:t xml:space="preserve"> Οι καταθέσεις στις διεθνείς δραστηριότητες </w:t>
      </w:r>
      <w:r w:rsidR="00694882">
        <w:rPr>
          <w:rFonts w:ascii="Segoe UI" w:eastAsia="MS Mincho" w:hAnsi="Segoe UI" w:cs="Segoe UI"/>
          <w:sz w:val="20"/>
          <w:szCs w:val="22"/>
          <w:lang w:eastAsia="el-GR" w:bidi="el-GR"/>
        </w:rPr>
        <w:t xml:space="preserve">παρέμειναν αμετάβλητες </w:t>
      </w:r>
      <w:r w:rsidRPr="00ED38A5">
        <w:rPr>
          <w:rFonts w:ascii="Segoe UI" w:eastAsia="MS Mincho" w:hAnsi="Segoe UI" w:cs="Segoe UI"/>
          <w:sz w:val="20"/>
          <w:szCs w:val="22"/>
          <w:lang w:eastAsia="el-GR" w:bidi="el-GR"/>
        </w:rPr>
        <w:t xml:space="preserve">σε </w:t>
      </w:r>
      <w:r w:rsidR="00AC2461">
        <w:rPr>
          <w:rFonts w:ascii="Segoe UI" w:eastAsia="MS Mincho" w:hAnsi="Segoe UI" w:cs="Segoe UI"/>
          <w:sz w:val="20"/>
          <w:szCs w:val="22"/>
          <w:lang w:eastAsia="el-GR" w:bidi="el-GR"/>
        </w:rPr>
        <w:t>τριμηνιαία</w:t>
      </w:r>
      <w:r w:rsidRPr="00ED38A5">
        <w:rPr>
          <w:rFonts w:ascii="Segoe UI" w:eastAsia="MS Mincho" w:hAnsi="Segoe UI" w:cs="Segoe UI"/>
          <w:sz w:val="20"/>
          <w:szCs w:val="22"/>
          <w:lang w:eastAsia="el-GR" w:bidi="el-GR"/>
        </w:rPr>
        <w:t xml:space="preserve"> βάση, σε €1,</w:t>
      </w:r>
      <w:r w:rsidR="00694882">
        <w:rPr>
          <w:rFonts w:ascii="Segoe UI" w:eastAsia="MS Mincho" w:hAnsi="Segoe UI" w:cs="Segoe UI"/>
          <w:sz w:val="20"/>
          <w:szCs w:val="22"/>
          <w:lang w:eastAsia="el-GR" w:bidi="el-GR"/>
        </w:rPr>
        <w:t>5</w:t>
      </w:r>
      <w:r w:rsidRPr="00ED38A5">
        <w:rPr>
          <w:rFonts w:ascii="Segoe UI" w:eastAsia="MS Mincho" w:hAnsi="Segoe UI" w:cs="Segoe UI"/>
          <w:sz w:val="20"/>
          <w:szCs w:val="22"/>
          <w:lang w:eastAsia="el-GR" w:bidi="el-GR"/>
        </w:rPr>
        <w:t xml:space="preserve"> δισ. </w:t>
      </w:r>
      <w:r w:rsidR="00694882">
        <w:rPr>
          <w:rFonts w:ascii="Segoe UI" w:eastAsia="MS Mincho" w:hAnsi="Segoe UI" w:cs="Segoe UI"/>
          <w:sz w:val="20"/>
          <w:szCs w:val="22"/>
          <w:lang w:eastAsia="el-GR" w:bidi="el-GR"/>
        </w:rPr>
        <w:t xml:space="preserve">Σε </w:t>
      </w:r>
      <w:r w:rsidR="00F553D1">
        <w:rPr>
          <w:rFonts w:ascii="Segoe UI" w:eastAsia="MS Mincho" w:hAnsi="Segoe UI" w:cs="Segoe UI"/>
          <w:sz w:val="20"/>
          <w:szCs w:val="22"/>
          <w:lang w:eastAsia="el-GR" w:bidi="el-GR"/>
        </w:rPr>
        <w:t>επίπεδο Ομίλου</w:t>
      </w:r>
      <w:r w:rsidR="00694882">
        <w:rPr>
          <w:rFonts w:ascii="Segoe UI" w:eastAsia="MS Mincho" w:hAnsi="Segoe UI" w:cs="Segoe UI"/>
          <w:sz w:val="20"/>
          <w:szCs w:val="22"/>
          <w:lang w:eastAsia="el-GR" w:bidi="el-GR"/>
        </w:rPr>
        <w:t>, οι καταθέσεις σε αυξήθηκαν κατά 4,0% σε σχέση με το Α’ εξάμηνο 2019, ανερχ</w:t>
      </w:r>
      <w:r w:rsidR="00F553D1">
        <w:rPr>
          <w:rFonts w:ascii="Segoe UI" w:eastAsia="MS Mincho" w:hAnsi="Segoe UI" w:cs="Segoe UI"/>
          <w:sz w:val="20"/>
          <w:szCs w:val="22"/>
          <w:lang w:eastAsia="el-GR" w:bidi="el-GR"/>
        </w:rPr>
        <w:t xml:space="preserve">όμενες σε €44,8 εκατ. το </w:t>
      </w:r>
      <w:r w:rsidR="00F553D1" w:rsidRPr="00F553D1">
        <w:rPr>
          <w:rFonts w:ascii="Segoe UI" w:eastAsia="MS Mincho" w:hAnsi="Segoe UI" w:cs="Segoe UI"/>
          <w:sz w:val="20"/>
          <w:szCs w:val="22"/>
          <w:lang w:eastAsia="el-GR" w:bidi="el-GR"/>
        </w:rPr>
        <w:t>Α’ εξάμηνο 20</w:t>
      </w:r>
      <w:r w:rsidR="00F553D1">
        <w:rPr>
          <w:rFonts w:ascii="Segoe UI" w:eastAsia="MS Mincho" w:hAnsi="Segoe UI" w:cs="Segoe UI"/>
          <w:sz w:val="20"/>
          <w:szCs w:val="22"/>
          <w:lang w:eastAsia="el-GR" w:bidi="el-GR"/>
        </w:rPr>
        <w:t>20</w:t>
      </w:r>
      <w:r w:rsidR="00694882">
        <w:rPr>
          <w:rFonts w:ascii="Segoe UI" w:eastAsia="MS Mincho" w:hAnsi="Segoe UI" w:cs="Segoe UI"/>
          <w:sz w:val="20"/>
          <w:szCs w:val="22"/>
          <w:lang w:eastAsia="el-GR" w:bidi="el-GR"/>
        </w:rPr>
        <w:t>, αντανακλώντας τις εισροές καταθέσεων ύψους €1,7 δισ. στην Ελλάδα</w:t>
      </w:r>
      <w:r w:rsidR="00AB75D5">
        <w:rPr>
          <w:rFonts w:ascii="Segoe UI" w:eastAsia="MS Mincho" w:hAnsi="Segoe UI" w:cs="Segoe UI"/>
          <w:sz w:val="20"/>
          <w:szCs w:val="22"/>
          <w:lang w:eastAsia="el-GR" w:bidi="el-GR"/>
        </w:rPr>
        <w:t>.</w:t>
      </w:r>
      <w:r w:rsidR="00F553D1" w:rsidRPr="00F553D1">
        <w:rPr>
          <w:rFonts w:ascii="Segoe UI" w:eastAsia="MS Mincho" w:hAnsi="Segoe UI" w:cs="Segoe UI"/>
          <w:sz w:val="20"/>
          <w:szCs w:val="22"/>
          <w:lang w:eastAsia="el-GR" w:bidi="el-GR"/>
        </w:rPr>
        <w:t xml:space="preserve"> </w:t>
      </w:r>
    </w:p>
    <w:p w:rsidR="00ED38A5" w:rsidRPr="00ED38A5" w:rsidRDefault="00ED38A5" w:rsidP="00ED38A5">
      <w:pPr>
        <w:autoSpaceDE w:val="0"/>
        <w:autoSpaceDN w:val="0"/>
        <w:adjustRightInd w:val="0"/>
        <w:spacing w:after="160" w:line="320" w:lineRule="atLeast"/>
        <w:jc w:val="both"/>
        <w:rPr>
          <w:rFonts w:ascii="Segoe UI" w:eastAsia="MS Mincho" w:hAnsi="Segoe UI" w:cs="Segoe UI"/>
          <w:sz w:val="20"/>
          <w:szCs w:val="22"/>
          <w:lang w:eastAsia="el-GR" w:bidi="el-GR"/>
        </w:rPr>
      </w:pPr>
      <w:r w:rsidRPr="00ED38A5">
        <w:rPr>
          <w:rFonts w:ascii="Segoe UI" w:eastAsia="MS Mincho" w:hAnsi="Segoe UI" w:cs="Segoe UI"/>
          <w:sz w:val="20"/>
          <w:szCs w:val="22"/>
          <w:lang w:eastAsia="el-GR" w:bidi="el-GR"/>
        </w:rPr>
        <w:t xml:space="preserve">Ως αποτέλεσμα, ο </w:t>
      </w:r>
      <w:r w:rsidRPr="00ED38A5">
        <w:rPr>
          <w:rFonts w:ascii="Segoe UI" w:eastAsia="MS Mincho" w:hAnsi="Segoe UI" w:cs="Segoe UI"/>
          <w:b/>
          <w:sz w:val="20"/>
          <w:szCs w:val="22"/>
          <w:lang w:eastAsia="el-GR" w:bidi="el-GR"/>
        </w:rPr>
        <w:t>δείκτης Δανείων προς Καταθέσεις</w:t>
      </w:r>
      <w:r w:rsidRPr="00ED38A5">
        <w:rPr>
          <w:rFonts w:ascii="Segoe UI" w:eastAsia="MS Mincho" w:hAnsi="Segoe UI" w:cs="Segoe UI"/>
          <w:sz w:val="20"/>
          <w:szCs w:val="22"/>
          <w:lang w:eastAsia="el-GR" w:bidi="el-GR"/>
        </w:rPr>
        <w:t xml:space="preserve"> διαμορφώθηκε σε 6</w:t>
      </w:r>
      <w:r w:rsidR="00A81818">
        <w:rPr>
          <w:rFonts w:ascii="Segoe UI" w:eastAsia="MS Mincho" w:hAnsi="Segoe UI" w:cs="Segoe UI"/>
          <w:sz w:val="20"/>
          <w:szCs w:val="22"/>
          <w:lang w:eastAsia="el-GR" w:bidi="el-GR"/>
        </w:rPr>
        <w:t>3</w:t>
      </w:r>
      <w:r w:rsidR="00695851">
        <w:rPr>
          <w:rFonts w:ascii="Segoe UI" w:eastAsia="MS Mincho" w:hAnsi="Segoe UI" w:cs="Segoe UI"/>
          <w:sz w:val="20"/>
          <w:szCs w:val="22"/>
          <w:lang w:eastAsia="el-GR" w:bidi="el-GR"/>
        </w:rPr>
        <w:t>,7</w:t>
      </w:r>
      <w:r w:rsidRPr="00ED38A5">
        <w:rPr>
          <w:rFonts w:ascii="Segoe UI" w:eastAsia="MS Mincho" w:hAnsi="Segoe UI" w:cs="Segoe UI"/>
          <w:sz w:val="20"/>
          <w:szCs w:val="22"/>
          <w:lang w:eastAsia="el-GR" w:bidi="el-GR"/>
        </w:rPr>
        <w:t>% στην Ελλάδα και σε 6</w:t>
      </w:r>
      <w:r w:rsidR="00A81818">
        <w:rPr>
          <w:rFonts w:ascii="Segoe UI" w:eastAsia="MS Mincho" w:hAnsi="Segoe UI" w:cs="Segoe UI"/>
          <w:sz w:val="20"/>
          <w:szCs w:val="22"/>
          <w:lang w:eastAsia="el-GR" w:bidi="el-GR"/>
        </w:rPr>
        <w:t>4</w:t>
      </w:r>
      <w:r w:rsidR="00695851">
        <w:rPr>
          <w:rFonts w:ascii="Segoe UI" w:eastAsia="MS Mincho" w:hAnsi="Segoe UI" w:cs="Segoe UI"/>
          <w:sz w:val="20"/>
          <w:szCs w:val="22"/>
          <w:lang w:eastAsia="el-GR" w:bidi="el-GR"/>
        </w:rPr>
        <w:t>,5</w:t>
      </w:r>
      <w:r w:rsidRPr="00ED38A5">
        <w:rPr>
          <w:rFonts w:ascii="Segoe UI" w:eastAsia="MS Mincho" w:hAnsi="Segoe UI" w:cs="Segoe UI"/>
          <w:sz w:val="20"/>
          <w:szCs w:val="22"/>
          <w:lang w:eastAsia="el-GR" w:bidi="el-GR"/>
        </w:rPr>
        <w:t>% σε επίπεδο Ομίλου.</w:t>
      </w:r>
    </w:p>
    <w:p w:rsidR="00651B7F" w:rsidRPr="0072294B" w:rsidRDefault="00ED38A5" w:rsidP="00695851">
      <w:pPr>
        <w:autoSpaceDE w:val="0"/>
        <w:autoSpaceDN w:val="0"/>
        <w:adjustRightInd w:val="0"/>
        <w:spacing w:before="240" w:after="160" w:line="320" w:lineRule="atLeast"/>
        <w:jc w:val="both"/>
        <w:rPr>
          <w:rFonts w:ascii="Segoe UI" w:eastAsia="MS Mincho" w:hAnsi="Segoe UI" w:cs="Segoe UI"/>
          <w:sz w:val="20"/>
          <w:szCs w:val="22"/>
          <w:lang w:eastAsia="el-GR" w:bidi="el-GR"/>
        </w:rPr>
      </w:pPr>
      <w:r w:rsidRPr="00ED38A5">
        <w:rPr>
          <w:rFonts w:ascii="Segoe UI" w:eastAsia="MS Mincho" w:hAnsi="Segoe UI" w:cs="Segoe UI"/>
          <w:sz w:val="20"/>
          <w:szCs w:val="22"/>
          <w:lang w:eastAsia="el-GR" w:bidi="el-GR"/>
        </w:rPr>
        <w:t xml:space="preserve">Η </w:t>
      </w:r>
      <w:r w:rsidRPr="00695851">
        <w:rPr>
          <w:rFonts w:ascii="Segoe UI" w:eastAsia="MS Mincho" w:hAnsi="Segoe UI" w:cs="Segoe UI"/>
          <w:b/>
          <w:sz w:val="20"/>
          <w:szCs w:val="22"/>
          <w:lang w:eastAsia="el-GR" w:bidi="el-GR"/>
        </w:rPr>
        <w:t>χρηματοδότηση από το</w:t>
      </w:r>
      <w:r w:rsidR="00303BAA" w:rsidRPr="00695851">
        <w:rPr>
          <w:rFonts w:ascii="Segoe UI" w:eastAsia="MS Mincho" w:hAnsi="Segoe UI" w:cs="Segoe UI"/>
          <w:b/>
          <w:sz w:val="20"/>
          <w:szCs w:val="22"/>
          <w:lang w:eastAsia="el-GR" w:bidi="el-GR"/>
        </w:rPr>
        <w:t xml:space="preserve"> </w:t>
      </w:r>
      <w:r w:rsidRPr="00695851">
        <w:rPr>
          <w:rFonts w:ascii="Segoe UI" w:eastAsia="MS Mincho" w:hAnsi="Segoe UI" w:cs="Segoe UI"/>
          <w:b/>
          <w:sz w:val="20"/>
          <w:szCs w:val="22"/>
          <w:lang w:eastAsia="el-GR" w:bidi="el-GR"/>
        </w:rPr>
        <w:t>Ευρωσύστημα</w:t>
      </w:r>
      <w:r w:rsidRPr="00ED38A5">
        <w:rPr>
          <w:rFonts w:ascii="Segoe UI" w:eastAsia="MS Mincho" w:hAnsi="Segoe UI" w:cs="Segoe UI"/>
          <w:sz w:val="20"/>
          <w:szCs w:val="22"/>
          <w:lang w:eastAsia="el-GR" w:bidi="el-GR"/>
        </w:rPr>
        <w:t xml:space="preserve"> </w:t>
      </w:r>
      <w:r w:rsidR="00A81818">
        <w:rPr>
          <w:rFonts w:ascii="Segoe UI" w:eastAsia="MS Mincho" w:hAnsi="Segoe UI" w:cs="Segoe UI"/>
          <w:sz w:val="20"/>
          <w:szCs w:val="22"/>
          <w:lang w:eastAsia="el-GR" w:bidi="el-GR"/>
        </w:rPr>
        <w:t xml:space="preserve">ανήλθε σε </w:t>
      </w:r>
      <w:r w:rsidRPr="00ED38A5">
        <w:rPr>
          <w:rFonts w:ascii="Segoe UI" w:eastAsia="MS Mincho" w:hAnsi="Segoe UI" w:cs="Segoe UI"/>
          <w:sz w:val="20"/>
          <w:szCs w:val="22"/>
          <w:lang w:eastAsia="el-GR" w:bidi="el-GR"/>
        </w:rPr>
        <w:t>€</w:t>
      </w:r>
      <w:r w:rsidR="00695851">
        <w:rPr>
          <w:rFonts w:ascii="Segoe UI" w:eastAsia="MS Mincho" w:hAnsi="Segoe UI" w:cs="Segoe UI"/>
          <w:sz w:val="20"/>
          <w:szCs w:val="22"/>
          <w:lang w:eastAsia="el-GR" w:bidi="el-GR"/>
        </w:rPr>
        <w:t>10,5</w:t>
      </w:r>
      <w:r w:rsidRPr="00ED38A5">
        <w:rPr>
          <w:rFonts w:ascii="Segoe UI" w:eastAsia="MS Mincho" w:hAnsi="Segoe UI" w:cs="Segoe UI"/>
          <w:sz w:val="20"/>
          <w:szCs w:val="22"/>
          <w:lang w:eastAsia="el-GR" w:bidi="el-GR"/>
        </w:rPr>
        <w:t xml:space="preserve"> δισ. </w:t>
      </w:r>
      <w:r w:rsidR="00A81818">
        <w:rPr>
          <w:rFonts w:ascii="Segoe UI" w:eastAsia="MS Mincho" w:hAnsi="Segoe UI" w:cs="Segoe UI"/>
          <w:sz w:val="20"/>
          <w:szCs w:val="22"/>
          <w:lang w:eastAsia="el-GR" w:bidi="el-GR"/>
        </w:rPr>
        <w:t xml:space="preserve">το </w:t>
      </w:r>
      <w:r w:rsidR="00695851">
        <w:rPr>
          <w:rFonts w:ascii="Segoe UI" w:eastAsia="MS Mincho" w:hAnsi="Segoe UI" w:cs="Segoe UI"/>
          <w:sz w:val="20"/>
          <w:szCs w:val="22"/>
          <w:lang w:eastAsia="el-GR" w:bidi="el-GR"/>
        </w:rPr>
        <w:t>Β</w:t>
      </w:r>
      <w:r w:rsidR="00695851" w:rsidRPr="00695851">
        <w:rPr>
          <w:rFonts w:ascii="Segoe UI" w:eastAsia="MS Mincho" w:hAnsi="Segoe UI" w:cs="Segoe UI"/>
          <w:sz w:val="20"/>
          <w:szCs w:val="22"/>
          <w:lang w:eastAsia="el-GR" w:bidi="el-GR"/>
        </w:rPr>
        <w:t>’ τρίμηνο 2020</w:t>
      </w:r>
      <w:r w:rsidR="00695851">
        <w:rPr>
          <w:rFonts w:ascii="Segoe UI" w:eastAsia="MS Mincho" w:hAnsi="Segoe UI" w:cs="Segoe UI"/>
          <w:sz w:val="20"/>
          <w:szCs w:val="22"/>
          <w:lang w:eastAsia="el-GR" w:bidi="el-GR"/>
        </w:rPr>
        <w:t xml:space="preserve">, καθώς η ΕΤΕ εκμεταλλεύτηκε τη </w:t>
      </w:r>
      <w:r w:rsidR="00695851" w:rsidRPr="00695851">
        <w:rPr>
          <w:rFonts w:ascii="Segoe UI" w:eastAsia="MS Mincho" w:hAnsi="Segoe UI" w:cs="Segoe UI"/>
          <w:sz w:val="20"/>
          <w:szCs w:val="22"/>
          <w:lang w:eastAsia="el-GR" w:bidi="el-GR"/>
        </w:rPr>
        <w:t>δυνατότητα άντλησης ρευστότητας από το Πρόγραμμα Συναλλαγών Μακροχρόνιας Αναχρηματοδότησης (LTRO/TLTRO) της ΕΚΤ</w:t>
      </w:r>
      <w:r w:rsidR="00695851">
        <w:rPr>
          <w:rFonts w:ascii="Segoe UI" w:eastAsia="MS Mincho" w:hAnsi="Segoe UI" w:cs="Segoe UI"/>
          <w:sz w:val="20"/>
          <w:szCs w:val="22"/>
          <w:lang w:eastAsia="el-GR" w:bidi="el-GR"/>
        </w:rPr>
        <w:t>. Αντανακλώντας την ανατιμολόγηση των καταθέσεων προθεσμίας και τη</w:t>
      </w:r>
      <w:r w:rsidR="00824156">
        <w:rPr>
          <w:rFonts w:ascii="Segoe UI" w:eastAsia="MS Mincho" w:hAnsi="Segoe UI" w:cs="Segoe UI"/>
          <w:sz w:val="20"/>
          <w:szCs w:val="22"/>
          <w:lang w:eastAsia="el-GR" w:bidi="el-GR"/>
        </w:rPr>
        <w:t>ν παροχή</w:t>
      </w:r>
      <w:r w:rsidR="00695851">
        <w:rPr>
          <w:rFonts w:ascii="Segoe UI" w:eastAsia="MS Mincho" w:hAnsi="Segoe UI" w:cs="Segoe UI"/>
          <w:sz w:val="20"/>
          <w:szCs w:val="22"/>
          <w:lang w:eastAsia="el-GR" w:bidi="el-GR"/>
        </w:rPr>
        <w:t xml:space="preserve"> ρευστότητα</w:t>
      </w:r>
      <w:r w:rsidR="00824156">
        <w:rPr>
          <w:rFonts w:ascii="Segoe UI" w:eastAsia="MS Mincho" w:hAnsi="Segoe UI" w:cs="Segoe UI"/>
          <w:sz w:val="20"/>
          <w:szCs w:val="22"/>
          <w:lang w:eastAsia="el-GR" w:bidi="el-GR"/>
        </w:rPr>
        <w:t>ς</w:t>
      </w:r>
      <w:r w:rsidR="00695851">
        <w:rPr>
          <w:rFonts w:ascii="Segoe UI" w:eastAsia="MS Mincho" w:hAnsi="Segoe UI" w:cs="Segoe UI"/>
          <w:sz w:val="20"/>
          <w:szCs w:val="22"/>
          <w:lang w:eastAsia="el-GR" w:bidi="el-GR"/>
        </w:rPr>
        <w:t xml:space="preserve"> χαμηλού κόστους από την ΕΚΤ,</w:t>
      </w:r>
      <w:r w:rsidR="00695851" w:rsidRPr="00695851">
        <w:rPr>
          <w:rFonts w:ascii="Segoe UI" w:eastAsia="MS Mincho" w:hAnsi="Segoe UI" w:cs="Segoe UI"/>
          <w:sz w:val="20"/>
          <w:szCs w:val="22"/>
          <w:lang w:eastAsia="el-GR" w:bidi="el-GR"/>
        </w:rPr>
        <w:t xml:space="preserve"> το κόστος χρηματοδότησης </w:t>
      </w:r>
      <w:r w:rsidR="00695851">
        <w:rPr>
          <w:rFonts w:ascii="Segoe UI" w:eastAsia="MS Mincho" w:hAnsi="Segoe UI" w:cs="Segoe UI"/>
          <w:sz w:val="20"/>
          <w:szCs w:val="22"/>
          <w:lang w:eastAsia="el-GR" w:bidi="el-GR"/>
        </w:rPr>
        <w:t xml:space="preserve">της Τράπεζας </w:t>
      </w:r>
      <w:r w:rsidR="00695851" w:rsidRPr="00695851">
        <w:rPr>
          <w:rFonts w:ascii="Segoe UI" w:eastAsia="MS Mincho" w:hAnsi="Segoe UI" w:cs="Segoe UI"/>
          <w:sz w:val="20"/>
          <w:szCs w:val="22"/>
          <w:lang w:eastAsia="el-GR" w:bidi="el-GR"/>
        </w:rPr>
        <w:t>διαμορφώ</w:t>
      </w:r>
      <w:r w:rsidR="00695851">
        <w:rPr>
          <w:rFonts w:ascii="Segoe UI" w:eastAsia="MS Mincho" w:hAnsi="Segoe UI" w:cs="Segoe UI"/>
          <w:sz w:val="20"/>
          <w:szCs w:val="22"/>
          <w:lang w:eastAsia="el-GR" w:bidi="el-GR"/>
        </w:rPr>
        <w:t>θηκε</w:t>
      </w:r>
      <w:r w:rsidR="00695851" w:rsidRPr="00695851">
        <w:rPr>
          <w:rFonts w:ascii="Segoe UI" w:eastAsia="MS Mincho" w:hAnsi="Segoe UI" w:cs="Segoe UI"/>
          <w:sz w:val="20"/>
          <w:szCs w:val="22"/>
          <w:lang w:eastAsia="el-GR" w:bidi="el-GR"/>
        </w:rPr>
        <w:t xml:space="preserve"> σε </w:t>
      </w:r>
      <w:bookmarkStart w:id="0" w:name="_GoBack"/>
      <w:bookmarkEnd w:id="0"/>
      <w:r w:rsidR="00695851" w:rsidRPr="00695851">
        <w:rPr>
          <w:rFonts w:ascii="Segoe UI" w:eastAsia="MS Mincho" w:hAnsi="Segoe UI" w:cs="Segoe UI"/>
          <w:sz w:val="20"/>
          <w:szCs w:val="22"/>
          <w:lang w:eastAsia="el-GR" w:bidi="el-GR"/>
        </w:rPr>
        <w:t>επίπεδα της τάξεως των 14μ.β</w:t>
      </w:r>
      <w:r w:rsidR="0072294B">
        <w:rPr>
          <w:rFonts w:ascii="Segoe UI" w:eastAsia="MS Mincho" w:hAnsi="Segoe UI" w:cs="Segoe UI"/>
          <w:sz w:val="20"/>
          <w:szCs w:val="22"/>
          <w:lang w:eastAsia="el-GR" w:bidi="el-GR"/>
        </w:rPr>
        <w:t xml:space="preserve">. </w:t>
      </w:r>
      <w:r w:rsidR="00A81818">
        <w:rPr>
          <w:rFonts w:ascii="Segoe UI" w:eastAsia="MS Mincho" w:hAnsi="Segoe UI" w:cs="Segoe UI"/>
          <w:sz w:val="20"/>
          <w:szCs w:val="22"/>
          <w:lang w:eastAsia="el-GR" w:bidi="el-GR"/>
        </w:rPr>
        <w:t>Οι</w:t>
      </w:r>
      <w:r w:rsidRPr="00ED38A5">
        <w:rPr>
          <w:rFonts w:ascii="Segoe UI" w:eastAsia="MS Mincho" w:hAnsi="Segoe UI" w:cs="Segoe UI"/>
          <w:sz w:val="20"/>
          <w:szCs w:val="22"/>
          <w:lang w:eastAsia="el-GR" w:bidi="el-GR"/>
        </w:rPr>
        <w:t xml:space="preserve"> </w:t>
      </w:r>
      <w:r w:rsidRPr="00ED38A5">
        <w:rPr>
          <w:rFonts w:ascii="Segoe UI" w:eastAsia="MS Mincho" w:hAnsi="Segoe UI" w:cs="Segoe UI"/>
          <w:b/>
          <w:sz w:val="20"/>
          <w:szCs w:val="22"/>
          <w:lang w:eastAsia="el-GR" w:bidi="el-GR"/>
        </w:rPr>
        <w:t>δείκτες LCR</w:t>
      </w:r>
      <w:r w:rsidRPr="00ED38A5">
        <w:rPr>
          <w:rFonts w:ascii="Segoe UI" w:eastAsia="MS Mincho" w:hAnsi="Segoe UI" w:cs="Segoe UI"/>
          <w:sz w:val="20"/>
          <w:szCs w:val="22"/>
          <w:lang w:eastAsia="el-GR" w:bidi="el-GR"/>
        </w:rPr>
        <w:t xml:space="preserve"> και </w:t>
      </w:r>
      <w:r w:rsidRPr="00ED38A5">
        <w:rPr>
          <w:rFonts w:ascii="Segoe UI" w:eastAsia="MS Mincho" w:hAnsi="Segoe UI" w:cs="Segoe UI"/>
          <w:b/>
          <w:sz w:val="20"/>
          <w:szCs w:val="22"/>
          <w:lang w:eastAsia="el-GR" w:bidi="el-GR"/>
        </w:rPr>
        <w:t>NSFR</w:t>
      </w:r>
      <w:r w:rsidRPr="00ED38A5">
        <w:rPr>
          <w:rFonts w:ascii="Segoe UI" w:eastAsia="MS Mincho" w:hAnsi="Segoe UI" w:cs="Segoe UI"/>
          <w:sz w:val="20"/>
          <w:szCs w:val="22"/>
          <w:lang w:eastAsia="el-GR" w:bidi="el-GR"/>
        </w:rPr>
        <w:t xml:space="preserve"> διατηρ</w:t>
      </w:r>
      <w:r w:rsidR="00FC742D">
        <w:rPr>
          <w:rFonts w:ascii="Segoe UI" w:eastAsia="MS Mincho" w:hAnsi="Segoe UI" w:cs="Segoe UI"/>
          <w:sz w:val="20"/>
          <w:szCs w:val="22"/>
          <w:lang w:eastAsia="el-GR" w:bidi="el-GR"/>
        </w:rPr>
        <w:t>ήθηκαν</w:t>
      </w:r>
      <w:r w:rsidRPr="00ED38A5">
        <w:rPr>
          <w:rFonts w:ascii="Segoe UI" w:eastAsia="MS Mincho" w:hAnsi="Segoe UI" w:cs="Segoe UI"/>
          <w:sz w:val="20"/>
          <w:szCs w:val="22"/>
          <w:lang w:eastAsia="el-GR" w:bidi="el-GR"/>
        </w:rPr>
        <w:t xml:space="preserve"> σε </w:t>
      </w:r>
      <w:r w:rsidR="00BE238D">
        <w:rPr>
          <w:rFonts w:ascii="Segoe UI" w:eastAsia="MS Mincho" w:hAnsi="Segoe UI" w:cs="Segoe UI"/>
          <w:sz w:val="20"/>
          <w:szCs w:val="22"/>
          <w:lang w:eastAsia="el-GR" w:bidi="el-GR"/>
        </w:rPr>
        <w:t xml:space="preserve">πολύ </w:t>
      </w:r>
      <w:r w:rsidRPr="00ED38A5">
        <w:rPr>
          <w:rFonts w:ascii="Segoe UI" w:eastAsia="MS Mincho" w:hAnsi="Segoe UI" w:cs="Segoe UI"/>
          <w:sz w:val="20"/>
          <w:szCs w:val="22"/>
          <w:lang w:eastAsia="el-GR" w:bidi="el-GR"/>
        </w:rPr>
        <w:t xml:space="preserve">υψηλά επίπεδα </w:t>
      </w:r>
      <w:r w:rsidR="009E63C1" w:rsidRPr="009E63C1">
        <w:rPr>
          <w:rFonts w:ascii="Segoe UI" w:eastAsia="MS Mincho" w:hAnsi="Segoe UI" w:cs="Segoe UI"/>
          <w:sz w:val="20"/>
          <w:szCs w:val="22"/>
          <w:lang w:eastAsia="el-GR" w:bidi="el-GR"/>
        </w:rPr>
        <w:t>πλέον του 100%, υπερβαίνοντας κατά πολύ το ελάχιστο εποπτικό όριο</w:t>
      </w:r>
      <w:r w:rsidRPr="00ED38A5">
        <w:rPr>
          <w:rFonts w:ascii="Segoe UI" w:eastAsia="MS Mincho" w:hAnsi="Segoe UI" w:cs="Segoe UI"/>
          <w:sz w:val="20"/>
          <w:szCs w:val="22"/>
          <w:lang w:eastAsia="el-GR" w:bidi="el-GR"/>
        </w:rPr>
        <w:t xml:space="preserve">. </w:t>
      </w:r>
    </w:p>
    <w:p w:rsidR="007C2814" w:rsidRDefault="007C2814">
      <w:pPr>
        <w:rPr>
          <w:rFonts w:ascii="Segoe UI" w:eastAsia="Segoe UI" w:hAnsi="Segoe UI" w:cs="Segoe UI"/>
          <w:b/>
          <w:color w:val="008080"/>
          <w:kern w:val="24"/>
          <w:sz w:val="20"/>
          <w:lang w:eastAsia="el-GR"/>
        </w:rPr>
      </w:pPr>
      <w:r>
        <w:rPr>
          <w:rFonts w:ascii="Segoe UI" w:eastAsia="Segoe UI" w:hAnsi="Segoe UI" w:cs="Segoe UI"/>
          <w:b/>
          <w:color w:val="008080"/>
          <w:kern w:val="24"/>
          <w:sz w:val="20"/>
          <w:lang w:eastAsia="el-GR"/>
        </w:rPr>
        <w:br w:type="page"/>
      </w:r>
    </w:p>
    <w:p w:rsidR="009450BE" w:rsidRPr="000F701B" w:rsidRDefault="008E01D0" w:rsidP="00E55AED">
      <w:pPr>
        <w:kinsoku w:val="0"/>
        <w:overflowPunct w:val="0"/>
        <w:spacing w:before="40"/>
        <w:ind w:left="547" w:hanging="547"/>
        <w:textAlignment w:val="baseline"/>
        <w:rPr>
          <w:rFonts w:ascii="Segoe UI" w:eastAsia="Segoe UI" w:hAnsi="Segoe UI" w:cs="Segoe UI"/>
          <w:b/>
          <w:color w:val="008080"/>
          <w:kern w:val="24"/>
          <w:sz w:val="6"/>
          <w:szCs w:val="6"/>
          <w:lang w:eastAsia="el-GR"/>
        </w:rPr>
      </w:pPr>
      <w:r w:rsidRPr="000F701B">
        <w:rPr>
          <w:rFonts w:ascii="Segoe UI" w:eastAsia="Segoe UI" w:hAnsi="Segoe UI" w:cs="Segoe UI"/>
          <w:b/>
          <w:color w:val="008080"/>
          <w:kern w:val="24"/>
          <w:sz w:val="20"/>
          <w:lang w:eastAsia="el-GR"/>
        </w:rPr>
        <w:lastRenderedPageBreak/>
        <w:t>Χρηματοδότηση από το Ευρωσύστημα (€ δισ.)</w:t>
      </w:r>
      <w:r w:rsidR="00DC2CB0" w:rsidRPr="00DC2CB0">
        <w:rPr>
          <w:noProof/>
          <w:lang w:eastAsia="el-GR"/>
        </w:rPr>
        <w:t xml:space="preserve"> </w:t>
      </w:r>
    </w:p>
    <w:p w:rsidR="00E55AED" w:rsidRPr="00EE40A0" w:rsidRDefault="00C00739" w:rsidP="0016376C">
      <w:pPr>
        <w:autoSpaceDE w:val="0"/>
        <w:autoSpaceDN w:val="0"/>
        <w:adjustRightInd w:val="0"/>
        <w:spacing w:after="160" w:line="320" w:lineRule="atLeast"/>
        <w:rPr>
          <w:rFonts w:ascii="Segoe UI" w:hAnsi="Segoe UI" w:cs="Segoe UI"/>
          <w:b/>
          <w:color w:val="000000"/>
          <w:sz w:val="20"/>
          <w:lang w:val="en-US"/>
        </w:rPr>
      </w:pPr>
      <w:r w:rsidRPr="00C00739">
        <w:rPr>
          <w:rFonts w:ascii="Segoe UI" w:hAnsi="Segoe UI" w:cs="Segoe UI"/>
          <w:noProof/>
          <w:color w:val="000000"/>
          <w:lang w:eastAsia="el-GR"/>
        </w:rPr>
        <w:pict>
          <v:shape id="Rectangular Callout 18" o:spid="_x0000_s1047" type="#_x0000_t61" style="position:absolute;margin-left:420.65pt;margin-top:43.15pt;width:78.65pt;height:34.2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" adj="13141,27140" fillcolor="window" strokecolor="#d9d9d9" strokeweight="1pt">
            <v:path arrowok="t"/>
            <v:textbox>
              <w:txbxContent>
                <w:p w:rsidR="003B131A" w:rsidRPr="007634E8" w:rsidRDefault="003B131A" w:rsidP="00E55AED">
                  <w:pPr>
                    <w:jc w:val="center"/>
                    <w:textAlignment w:val="baseline"/>
                    <w:rPr>
                      <w:sz w:val="28"/>
                    </w:rPr>
                  </w:pPr>
                  <w:r w:rsidRPr="00BC070D">
                    <w:rPr>
                      <w:rFonts w:ascii="Calibri" w:eastAsia="Times New Roman" w:hAnsi="Calibri" w:cs="Times New Roman"/>
                      <w:color w:val="000000"/>
                      <w:kern w:val="24"/>
                      <w:sz w:val="12"/>
                      <w:szCs w:val="14"/>
                      <w:lang w:eastAsia="el-GR"/>
                    </w:rPr>
                    <w:t>€0,3 δισ. χρηματοδότηση</w:t>
                  </w:r>
                  <w:r w:rsidRPr="008E01D0">
                    <w:rPr>
                      <w:rFonts w:ascii="Calibri" w:eastAsia="Times New Roman" w:hAnsi="Calibri" w:cs="Times New Roman"/>
                      <w:color w:val="000000"/>
                      <w:kern w:val="24"/>
                      <w:sz w:val="12"/>
                      <w:szCs w:val="14"/>
                      <w:lang w:eastAsia="el-GR"/>
                    </w:rPr>
                    <w:t xml:space="preserve"> </w:t>
                  </w:r>
                  <w:r>
                    <w:rPr>
                      <w:rFonts w:ascii="Calibri" w:eastAsia="Times New Roman" w:hAnsi="Calibri" w:cs="Times New Roman"/>
                      <w:color w:val="000000"/>
                      <w:kern w:val="24"/>
                      <w:sz w:val="12"/>
                      <w:szCs w:val="14"/>
                      <w:lang w:eastAsia="el-GR"/>
                    </w:rPr>
                    <w:t>μέσω</w:t>
                  </w:r>
                  <w:r w:rsidRPr="008E01D0">
                    <w:rPr>
                      <w:rFonts w:ascii="Calibri" w:eastAsia="Times New Roman" w:hAnsi="Calibri" w:cs="Times New Roman"/>
                      <w:color w:val="000000"/>
                      <w:kern w:val="24"/>
                      <w:sz w:val="12"/>
                      <w:szCs w:val="14"/>
                      <w:lang w:eastAsia="el-GR"/>
                    </w:rPr>
                    <w:t xml:space="preserve"> </w:t>
                  </w:r>
                  <w:r>
                    <w:rPr>
                      <w:rFonts w:ascii="Calibri" w:eastAsia="Times New Roman" w:hAnsi="Calibri" w:cs="Times New Roman"/>
                      <w:color w:val="000000"/>
                      <w:kern w:val="24"/>
                      <w:sz w:val="12"/>
                      <w:szCs w:val="14"/>
                      <w:lang w:eastAsia="el-GR"/>
                    </w:rPr>
                    <w:t>συμφωνιών επαναγοράς (</w:t>
                  </w:r>
                  <w:r>
                    <w:rPr>
                      <w:rFonts w:ascii="Calibri" w:eastAsia="Times New Roman" w:hAnsi="Calibri" w:cs="Times New Roman"/>
                      <w:color w:val="000000"/>
                      <w:kern w:val="24"/>
                      <w:sz w:val="12"/>
                      <w:szCs w:val="14"/>
                      <w:lang w:val="en-US" w:eastAsia="el-GR"/>
                    </w:rPr>
                    <w:t>repos</w:t>
                  </w:r>
                  <w:r w:rsidRPr="00E676F6">
                    <w:rPr>
                      <w:rFonts w:ascii="Calibri" w:eastAsia="Times New Roman" w:hAnsi="Calibri" w:cs="Times New Roman"/>
                      <w:color w:val="000000"/>
                      <w:kern w:val="24"/>
                      <w:sz w:val="12"/>
                      <w:szCs w:val="14"/>
                      <w:lang w:eastAsia="el-GR"/>
                    </w:rPr>
                    <w:t xml:space="preserve">, </w:t>
                  </w:r>
                  <w:r>
                    <w:rPr>
                      <w:rFonts w:ascii="Calibri" w:eastAsia="Times New Roman" w:hAnsi="Calibri" w:cs="Times New Roman"/>
                      <w:color w:val="000000"/>
                      <w:kern w:val="24"/>
                      <w:sz w:val="12"/>
                      <w:szCs w:val="14"/>
                      <w:lang w:val="en-US" w:eastAsia="el-GR"/>
                    </w:rPr>
                    <w:t>net</w:t>
                  </w:r>
                  <w:r w:rsidRPr="00E676F6">
                    <w:rPr>
                      <w:rFonts w:ascii="Calibri" w:eastAsia="Times New Roman" w:hAnsi="Calibri" w:cs="Times New Roman"/>
                      <w:color w:val="000000"/>
                      <w:kern w:val="24"/>
                      <w:sz w:val="12"/>
                      <w:szCs w:val="14"/>
                      <w:lang w:eastAsia="el-GR"/>
                    </w:rPr>
                    <w:t>)</w:t>
                  </w:r>
                </w:p>
              </w:txbxContent>
            </v:textbox>
          </v:shape>
        </w:pict>
      </w:r>
      <w:r w:rsidRPr="00C00739">
        <w:rPr>
          <w:noProof/>
          <w:lang w:eastAsia="el-GR"/>
        </w:rPr>
        <w:pict>
          <v:shape id="_x0000_s1048" type="#_x0000_t61" style="position:absolute;margin-left:331.4pt;margin-top:54.45pt;width:78.75pt;height:22.65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" adj="19198,29467" fillcolor="window" strokecolor="#d9d9d9" strokeweight="1pt">
            <v:path arrowok="t"/>
            <v:textbox>
              <w:txbxContent>
                <w:p w:rsidR="003B131A" w:rsidRPr="00DC2CB0" w:rsidRDefault="003B131A" w:rsidP="00DC2CB0">
                  <w:pPr>
                    <w:jc w:val="center"/>
                    <w:textAlignment w:val="baseline"/>
                    <w:rPr>
                      <w:rFonts w:ascii="Calibri" w:eastAsia="Times New Roman" w:hAnsi="Calibri" w:cs="Times New Roman"/>
                      <w:color w:val="000000"/>
                      <w:kern w:val="24"/>
                      <w:sz w:val="12"/>
                      <w:szCs w:val="14"/>
                      <w:lang w:eastAsia="el-GR"/>
                    </w:rPr>
                  </w:pPr>
                  <w:r w:rsidRPr="00DC2CB0">
                    <w:rPr>
                      <w:rFonts w:ascii="Calibri" w:eastAsia="Times New Roman" w:hAnsi="Calibri" w:cs="Times New Roman"/>
                      <w:color w:val="000000"/>
                      <w:kern w:val="24"/>
                      <w:sz w:val="12"/>
                      <w:szCs w:val="14"/>
                      <w:lang w:eastAsia="el-GR"/>
                    </w:rPr>
                    <w:t xml:space="preserve">Κόστος χρηματοδότησης </w:t>
                  </w:r>
                  <w:r>
                    <w:rPr>
                      <w:rFonts w:ascii="Calibri" w:eastAsia="Times New Roman" w:hAnsi="Calibri" w:cs="Times New Roman"/>
                      <w:color w:val="000000"/>
                      <w:kern w:val="24"/>
                      <w:sz w:val="12"/>
                      <w:szCs w:val="14"/>
                      <w:lang w:eastAsia="el-GR"/>
                    </w:rPr>
                    <w:t>της Τράπεζας στις 14μ.β.</w:t>
                  </w:r>
                </w:p>
              </w:txbxContent>
            </v:textbox>
          </v:shape>
        </w:pict>
      </w:r>
      <w:r w:rsidRPr="00C00739">
        <w:rPr>
          <w:rFonts w:ascii="Segoe UI" w:hAnsi="Segoe UI" w:cs="Segoe UI"/>
          <w:noProof/>
          <w:color w:val="000000"/>
          <w:lang w:eastAsia="el-GR"/>
        </w:rPr>
        <w:pict>
          <v:shape id="_x0000_s1049" type="#_x0000_t61" style="position:absolute;margin-left:-5.75pt;margin-top:172pt;width:329.15pt;height:18.3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" adj="13609,16125" filled="f" stroked="f" strokeweight="1pt">
            <v:path arrowok="t"/>
            <v:textbox>
              <w:txbxContent>
                <w:p w:rsidR="003B131A" w:rsidRPr="00F60990" w:rsidRDefault="003B131A" w:rsidP="00741CA9">
                  <w:pPr>
                    <w:kinsoku w:val="0"/>
                    <w:overflowPunct w:val="0"/>
                    <w:ind w:left="544" w:hanging="544"/>
                    <w:textAlignment w:val="baseline"/>
                    <w:rPr>
                      <w:rFonts w:ascii="Segoe UI" w:eastAsia="Segoe UI" w:hAnsi="Segoe UI" w:cs="Segoe UI"/>
                      <w:kern w:val="24"/>
                      <w:sz w:val="10"/>
                      <w:szCs w:val="12"/>
                      <w:lang w:eastAsia="el-GR"/>
                    </w:rPr>
                  </w:pPr>
                  <w:r w:rsidRPr="00F60990">
                    <w:rPr>
                      <w:rFonts w:ascii="Segoe UI" w:eastAsia="Segoe UI" w:hAnsi="Segoe UI" w:cs="Segoe UI"/>
                      <w:kern w:val="24"/>
                      <w:sz w:val="10"/>
                      <w:szCs w:val="12"/>
                      <w:vertAlign w:val="superscript"/>
                      <w:lang w:eastAsia="el-GR"/>
                    </w:rPr>
                    <w:t>1</w:t>
                  </w:r>
                  <w:r>
                    <w:rPr>
                      <w:rFonts w:ascii="Segoe UI" w:eastAsia="Segoe UI" w:hAnsi="Segoe UI" w:cs="Segoe UI"/>
                      <w:kern w:val="24"/>
                      <w:sz w:val="10"/>
                      <w:szCs w:val="12"/>
                      <w:lang w:eastAsia="el-GR"/>
                    </w:rPr>
                    <w:t>Πλήρης αποπληρωμή της χρηματοδότησης από τον έκτακτο μηχανισμό ρευστότητας (</w:t>
                  </w:r>
                  <w:r>
                    <w:rPr>
                      <w:rFonts w:ascii="Segoe UI" w:eastAsia="Segoe UI" w:hAnsi="Segoe UI" w:cs="Segoe UI"/>
                      <w:kern w:val="24"/>
                      <w:sz w:val="10"/>
                      <w:szCs w:val="12"/>
                      <w:lang w:val="en-US" w:eastAsia="el-GR"/>
                    </w:rPr>
                    <w:t>E</w:t>
                  </w:r>
                  <w:r>
                    <w:rPr>
                      <w:rFonts w:ascii="Segoe UI" w:eastAsia="Segoe UI" w:hAnsi="Segoe UI" w:cs="Segoe UI"/>
                      <w:kern w:val="24"/>
                      <w:sz w:val="10"/>
                      <w:szCs w:val="12"/>
                      <w:lang w:val="en-GB" w:eastAsia="el-GR"/>
                    </w:rPr>
                    <w:t>LA</w:t>
                  </w:r>
                  <w:r w:rsidRPr="00D6644E">
                    <w:rPr>
                      <w:rFonts w:ascii="Segoe UI" w:eastAsia="Segoe UI" w:hAnsi="Segoe UI" w:cs="Segoe UI"/>
                      <w:kern w:val="24"/>
                      <w:sz w:val="10"/>
                      <w:szCs w:val="12"/>
                      <w:lang w:eastAsia="el-GR"/>
                    </w:rPr>
                    <w:t xml:space="preserve">) </w:t>
                  </w:r>
                  <w:r>
                    <w:rPr>
                      <w:rFonts w:ascii="Segoe UI" w:eastAsia="Segoe UI" w:hAnsi="Segoe UI" w:cs="Segoe UI"/>
                      <w:kern w:val="24"/>
                      <w:sz w:val="10"/>
                      <w:szCs w:val="12"/>
                      <w:lang w:eastAsia="el-GR"/>
                    </w:rPr>
                    <w:t xml:space="preserve">της Τράπεζας της Ελλάδος (ΤτΕ) το </w:t>
                  </w:r>
                  <w:r w:rsidRPr="00F60990">
                    <w:rPr>
                      <w:rFonts w:ascii="Segoe UI" w:eastAsia="Segoe UI" w:hAnsi="Segoe UI" w:cs="Segoe UI"/>
                      <w:kern w:val="24"/>
                      <w:sz w:val="10"/>
                      <w:szCs w:val="12"/>
                      <w:lang w:eastAsia="el-GR"/>
                    </w:rPr>
                    <w:t>2017</w:t>
                  </w:r>
                </w:p>
              </w:txbxContent>
            </v:textbox>
          </v:shape>
        </w:pict>
      </w:r>
      <w:r w:rsidRPr="00C00739">
        <w:rPr>
          <w:rFonts w:ascii="Segoe UI" w:hAnsi="Segoe UI" w:cs="Segoe UI"/>
          <w:noProof/>
          <w:lang w:eastAsia="el-GR"/>
        </w:rPr>
        <w:pict>
          <v:shape id="TextBox 15" o:spid="_x0000_s1050" type="#_x0000_t202" style="position:absolute;margin-left:15.15pt;margin-top:122.15pt;width:30.6pt;height:15.5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" filled="f" stroked="f">
            <v:path arrowok="t"/>
            <v:textbox>
              <w:txbxContent>
                <w:p w:rsidR="003B131A" w:rsidRPr="00842227" w:rsidRDefault="003B131A" w:rsidP="00E55AED">
                  <w:pPr>
                    <w:textAlignment w:val="baseline"/>
                  </w:pPr>
                  <w:r w:rsidRPr="00842227">
                    <w:rPr>
                      <w:rFonts w:cs="Arial"/>
                      <w:b/>
                      <w:bCs/>
                      <w:color w:val="000000" w:themeColor="text1"/>
                      <w:kern w:val="24"/>
                      <w:sz w:val="14"/>
                      <w:szCs w:val="16"/>
                      <w:lang w:val="en-US"/>
                    </w:rPr>
                    <w:t>E</w:t>
                  </w:r>
                  <w:r>
                    <w:rPr>
                      <w:rFonts w:cs="Arial"/>
                      <w:b/>
                      <w:bCs/>
                      <w:color w:val="000000" w:themeColor="text1"/>
                      <w:kern w:val="24"/>
                      <w:sz w:val="14"/>
                      <w:szCs w:val="16"/>
                      <w:lang w:val="en-US"/>
                    </w:rPr>
                    <w:t>KT</w:t>
                  </w:r>
                </w:p>
              </w:txbxContent>
            </v:textbox>
          </v:shape>
        </w:pict>
      </w:r>
      <w:r w:rsidRPr="00C00739">
        <w:rPr>
          <w:rFonts w:ascii="Segoe UI" w:hAnsi="Segoe UI" w:cs="Segoe UI"/>
          <w:noProof/>
          <w:lang w:eastAsia="el-GR"/>
        </w:rPr>
        <w:pict>
          <v:shape id="_x0000_s1051" type="#_x0000_t202" style="position:absolute;margin-left:15.25pt;margin-top:52.1pt;width:31.2pt;height:13.9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" filled="f" stroked="f">
            <v:path arrowok="t"/>
            <v:textbox>
              <w:txbxContent>
                <w:p w:rsidR="003B131A" w:rsidRPr="00842227" w:rsidRDefault="003B131A" w:rsidP="00E55AED">
                  <w:pPr>
                    <w:textAlignment w:val="baseline"/>
                  </w:pPr>
                  <w:r w:rsidRPr="00842227">
                    <w:rPr>
                      <w:rFonts w:cs="Arial"/>
                      <w:b/>
                      <w:bCs/>
                      <w:color w:val="000000" w:themeColor="text1"/>
                      <w:kern w:val="24"/>
                      <w:sz w:val="14"/>
                      <w:szCs w:val="16"/>
                      <w:lang w:val="en-US"/>
                    </w:rPr>
                    <w:t>ELA</w:t>
                  </w:r>
                  <w:r w:rsidRPr="00741CA9">
                    <w:rPr>
                      <w:rFonts w:cs="Arial"/>
                      <w:b/>
                      <w:bCs/>
                      <w:color w:val="000000" w:themeColor="text1"/>
                      <w:kern w:val="24"/>
                      <w:sz w:val="14"/>
                      <w:szCs w:val="16"/>
                      <w:vertAlign w:val="superscript"/>
                      <w:lang w:val="en-US"/>
                    </w:rPr>
                    <w:t>1</w:t>
                  </w:r>
                </w:p>
              </w:txbxContent>
            </v:textbox>
          </v:shape>
        </w:pict>
      </w:r>
      <w:r w:rsidR="00E55AED" w:rsidRPr="00EE40A0">
        <w:rPr>
          <w:rFonts w:ascii="Segoe UI" w:hAnsi="Segoe UI" w:cs="Segoe UI"/>
          <w:b/>
          <w:noProof/>
          <w:color w:val="000000"/>
          <w:sz w:val="20"/>
          <w:lang w:eastAsia="el-GR"/>
        </w:rPr>
        <w:drawing>
          <wp:inline distT="0" distB="0" distL="0" distR="0">
            <wp:extent cx="6422066" cy="2232837"/>
            <wp:effectExtent l="0" t="0" r="17145" b="15240"/>
            <wp:docPr id="75084711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376C" w:rsidRDefault="0016376C"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p>
    <w:p w:rsidR="00E55AED" w:rsidRPr="000F701B" w:rsidRDefault="008E01D0" w:rsidP="00E55AED">
      <w:pPr>
        <w:kinsoku w:val="0"/>
        <w:overflowPunct w:val="0"/>
        <w:spacing w:before="40"/>
        <w:ind w:left="547" w:hanging="547"/>
        <w:textAlignment w:val="baseline"/>
        <w:rPr>
          <w:rFonts w:ascii="Segoe UI" w:eastAsia="Segoe UI" w:hAnsi="Segoe UI" w:cs="Segoe UI"/>
          <w:b/>
          <w:color w:val="008080"/>
          <w:kern w:val="24"/>
          <w:sz w:val="20"/>
          <w:lang w:eastAsia="el-GR"/>
        </w:rPr>
      </w:pPr>
      <w:r w:rsidRPr="000F701B">
        <w:rPr>
          <w:rFonts w:ascii="Segoe UI" w:eastAsia="Segoe UI" w:hAnsi="Segoe UI" w:cs="Segoe UI"/>
          <w:b/>
          <w:color w:val="008080"/>
          <w:kern w:val="24"/>
          <w:sz w:val="20"/>
          <w:lang w:eastAsia="el-GR"/>
        </w:rPr>
        <w:t>Εγχώριες ροές καταθέσεων (€ δι</w:t>
      </w:r>
      <w:r>
        <w:rPr>
          <w:rFonts w:ascii="Segoe UI" w:eastAsia="Segoe UI" w:hAnsi="Segoe UI" w:cs="Segoe UI"/>
          <w:b/>
          <w:color w:val="008080"/>
          <w:kern w:val="24"/>
          <w:sz w:val="20"/>
          <w:lang w:eastAsia="el-GR"/>
        </w:rPr>
        <w:t>σ</w:t>
      </w:r>
      <w:r w:rsidRPr="000F701B">
        <w:rPr>
          <w:rFonts w:ascii="Segoe UI" w:eastAsia="Segoe UI" w:hAnsi="Segoe UI" w:cs="Segoe UI"/>
          <w:b/>
          <w:color w:val="008080"/>
          <w:kern w:val="24"/>
          <w:sz w:val="20"/>
          <w:lang w:eastAsia="el-GR"/>
        </w:rPr>
        <w:t>.</w:t>
      </w:r>
      <w:r w:rsidR="00E55AED" w:rsidRPr="000F701B">
        <w:rPr>
          <w:rFonts w:ascii="Segoe UI" w:eastAsia="Segoe UI" w:hAnsi="Segoe UI" w:cs="Segoe UI"/>
          <w:b/>
          <w:color w:val="008080"/>
          <w:kern w:val="24"/>
          <w:sz w:val="20"/>
          <w:lang w:eastAsia="el-GR"/>
        </w:rPr>
        <w:t>)</w:t>
      </w:r>
    </w:p>
    <w:p w:rsidR="009450BE" w:rsidRPr="000F701B" w:rsidRDefault="009450BE" w:rsidP="00E55AED">
      <w:pPr>
        <w:kinsoku w:val="0"/>
        <w:overflowPunct w:val="0"/>
        <w:spacing w:before="40"/>
        <w:ind w:left="547" w:hanging="547"/>
        <w:textAlignment w:val="baseline"/>
        <w:rPr>
          <w:rFonts w:ascii="Segoe UI" w:eastAsia="Segoe UI" w:hAnsi="Segoe UI" w:cs="Segoe UI"/>
          <w:b/>
          <w:color w:val="008080"/>
          <w:kern w:val="24"/>
          <w:sz w:val="6"/>
          <w:szCs w:val="6"/>
          <w:lang w:eastAsia="el-GR"/>
        </w:rPr>
      </w:pPr>
    </w:p>
    <w:p w:rsidR="00E55AED" w:rsidRPr="00EE40A0" w:rsidRDefault="00C00739" w:rsidP="0016376C">
      <w:pPr>
        <w:kinsoku w:val="0"/>
        <w:overflowPunct w:val="0"/>
        <w:spacing w:before="40"/>
        <w:ind w:left="547" w:hanging="547"/>
        <w:textAlignment w:val="baseline"/>
        <w:rPr>
          <w:rFonts w:ascii="Segoe UI" w:eastAsia="Segoe UI" w:hAnsi="Segoe UI" w:cs="Segoe UI"/>
          <w:b/>
          <w:color w:val="008080"/>
          <w:kern w:val="24"/>
          <w:sz w:val="18"/>
          <w:lang w:val="en-US" w:eastAsia="el-GR"/>
        </w:rPr>
      </w:pPr>
      <w:r w:rsidRPr="00C00739">
        <w:rPr>
          <w:rFonts w:ascii="Segoe UI" w:hAnsi="Segoe UI" w:cs="Segoe UI"/>
          <w:noProof/>
          <w:lang w:eastAsia="el-GR"/>
        </w:rPr>
        <w:pict>
          <v:rect id="_x0000_s1055" style="position:absolute;left:0;text-align:left;margin-left:177.15pt;margin-top:1.65pt;width:328.65pt;height:149.65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" filled="f" strokecolor="#7f7f7f" strokeweight="1.5pt">
            <v:stroke dashstyle="3 1"/>
            <v:path arrowok="t"/>
          </v:rect>
        </w:pict>
      </w:r>
      <w:r w:rsidRPr="00C00739">
        <w:rPr>
          <w:rFonts w:ascii="Segoe UI" w:hAnsi="Segoe UI" w:cs="Segoe UI"/>
          <w:noProof/>
          <w:lang w:eastAsia="el-GR"/>
        </w:rPr>
        <w:pict>
          <v:rect id="Rectangle 40" o:spid="_x0000_s1054" style="position:absolute;left:0;text-align:left;margin-left:-.05pt;margin-top:2.1pt;width:158pt;height:149.65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" filled="f" strokecolor="#7f7f7f [1612]" strokeweight="1.5pt">
            <v:stroke dashstyle="3 1"/>
            <v:path arrowok="t"/>
          </v:rect>
        </w:pict>
      </w:r>
      <w:r w:rsidR="00E55AED" w:rsidRPr="00EE40A0">
        <w:rPr>
          <w:rFonts w:ascii="Segoe UI" w:eastAsia="Segoe UI" w:hAnsi="Segoe UI" w:cs="Segoe UI"/>
          <w:b/>
          <w:noProof/>
          <w:color w:val="008080"/>
          <w:kern w:val="24"/>
          <w:sz w:val="18"/>
          <w:lang w:eastAsia="el-GR"/>
        </w:rPr>
        <w:drawing>
          <wp:inline distT="0" distB="0" distL="0" distR="0">
            <wp:extent cx="6422066" cy="1871330"/>
            <wp:effectExtent l="0" t="0" r="0" b="0"/>
            <wp:docPr id="7508471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5AED" w:rsidRPr="00EE40A0" w:rsidRDefault="00E55AED"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p>
    <w:p w:rsidR="00E55AED" w:rsidRPr="00EE40A0" w:rsidRDefault="00C00739"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r w:rsidRPr="00C00739">
        <w:rPr>
          <w:rFonts w:ascii="Segoe UI" w:hAnsi="Segoe UI" w:cs="Segoe UI"/>
          <w:noProof/>
          <w:lang w:eastAsia="el-GR"/>
        </w:rPr>
        <w:pict>
          <v:shape id="Rectangular Callout 37" o:spid="_x0000_s1052" type="#_x0000_t61" style="position:absolute;left:0;text-align:left;margin-left:299.75pt;margin-top:1.4pt;width:63.8pt;height:19.3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" adj="10145,-5088" strokecolor="#56608a" strokeweight="1pt">
            <v:path arrowok="t"/>
            <v:textbox>
              <w:txbxContent>
                <w:p w:rsidR="003B131A" w:rsidRPr="00D23243" w:rsidRDefault="003B131A" w:rsidP="00E55AED">
                  <w:pPr>
                    <w:jc w:val="center"/>
                    <w:textAlignment w:val="baseline"/>
                  </w:pPr>
                  <w:r w:rsidRPr="00D23243">
                    <w:rPr>
                      <w:rFonts w:ascii="Segoe UI" w:eastAsia="+mn-ea" w:hAnsi="Segoe UI" w:cs="+mn-cs"/>
                      <w:b/>
                      <w:bCs/>
                      <w:color w:val="00B050"/>
                      <w:kern w:val="24"/>
                      <w:sz w:val="16"/>
                      <w:szCs w:val="16"/>
                      <w:lang w:val="en-US"/>
                    </w:rPr>
                    <w:t>+</w:t>
                  </w:r>
                  <w:r w:rsidRPr="00D23243">
                    <w:rPr>
                      <w:rFonts w:ascii="Segoe UI" w:eastAsia="+mn-ea" w:hAnsi="Segoe UI" w:cs="+mn-cs"/>
                      <w:b/>
                      <w:bCs/>
                      <w:color w:val="00B050"/>
                      <w:kern w:val="24"/>
                      <w:sz w:val="16"/>
                      <w:szCs w:val="16"/>
                    </w:rPr>
                    <w:t>€</w:t>
                  </w:r>
                  <w:r>
                    <w:rPr>
                      <w:rFonts w:ascii="Segoe UI" w:eastAsia="+mn-ea" w:hAnsi="Segoe UI" w:cs="+mn-cs"/>
                      <w:b/>
                      <w:bCs/>
                      <w:color w:val="00B050"/>
                      <w:kern w:val="24"/>
                      <w:sz w:val="16"/>
                      <w:szCs w:val="16"/>
                      <w:lang w:val="en-US"/>
                    </w:rPr>
                    <w:t>7</w:t>
                  </w:r>
                  <w:proofErr w:type="gramStart"/>
                  <w:r>
                    <w:rPr>
                      <w:rFonts w:ascii="Segoe UI" w:eastAsia="+mn-ea" w:hAnsi="Segoe UI" w:cs="+mn-cs"/>
                      <w:b/>
                      <w:bCs/>
                      <w:color w:val="00B050"/>
                      <w:kern w:val="24"/>
                      <w:sz w:val="16"/>
                      <w:szCs w:val="16"/>
                      <w:lang w:val="en-US"/>
                    </w:rPr>
                    <w:t>,8</w:t>
                  </w:r>
                  <w:proofErr w:type="gramEnd"/>
                  <w:r>
                    <w:rPr>
                      <w:rFonts w:ascii="Segoe UI" w:eastAsia="+mn-ea" w:hAnsi="Segoe UI" w:cs="+mn-cs"/>
                      <w:b/>
                      <w:bCs/>
                      <w:color w:val="00B050"/>
                      <w:kern w:val="24"/>
                      <w:sz w:val="16"/>
                      <w:szCs w:val="16"/>
                    </w:rPr>
                    <w:t xml:space="preserve"> δισ.</w:t>
                  </w:r>
                </w:p>
              </w:txbxContent>
            </v:textbox>
          </v:shape>
        </w:pict>
      </w:r>
      <w:r w:rsidRPr="00C00739">
        <w:rPr>
          <w:rFonts w:ascii="Segoe UI" w:hAnsi="Segoe UI" w:cs="Segoe UI"/>
          <w:noProof/>
          <w:lang w:eastAsia="el-GR"/>
        </w:rPr>
        <w:pict>
          <v:shape id="_x0000_s1053" type="#_x0000_t61" style="position:absolute;left:0;text-align:left;margin-left:50.3pt;margin-top:1.25pt;width:63.8pt;height:19.3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" adj="10145,-5088" strokecolor="#56608a" strokeweight="1pt">
            <v:path arrowok="t"/>
            <v:textbox>
              <w:txbxContent>
                <w:p w:rsidR="003B131A" w:rsidRPr="00D23243" w:rsidRDefault="003B131A" w:rsidP="00E55AED">
                  <w:pPr>
                    <w:jc w:val="center"/>
                    <w:textAlignment w:val="baseline"/>
                    <w:rPr>
                      <w:color w:val="FF0000"/>
                    </w:rPr>
                  </w:pPr>
                  <w:r w:rsidRPr="00D23243">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rPr>
                    <w:t>€</w:t>
                  </w:r>
                  <w:r w:rsidRPr="00D23243">
                    <w:rPr>
                      <w:rFonts w:ascii="Segoe UI" w:eastAsia="+mn-ea" w:hAnsi="Segoe UI" w:cs="+mn-cs"/>
                      <w:b/>
                      <w:bCs/>
                      <w:color w:val="FF0000"/>
                      <w:kern w:val="24"/>
                      <w:sz w:val="16"/>
                      <w:szCs w:val="16"/>
                      <w:lang w:val="en-US"/>
                    </w:rPr>
                    <w:t>10</w:t>
                  </w:r>
                  <w:proofErr w:type="gramStart"/>
                  <w:r>
                    <w:rPr>
                      <w:rFonts w:ascii="Segoe UI" w:eastAsia="+mn-ea" w:hAnsi="Segoe UI" w:cs="+mn-cs"/>
                      <w:b/>
                      <w:bCs/>
                      <w:color w:val="FF0000"/>
                      <w:kern w:val="24"/>
                      <w:sz w:val="16"/>
                      <w:szCs w:val="16"/>
                      <w:lang w:val="en-US"/>
                    </w:rPr>
                    <w:t>,</w:t>
                  </w:r>
                  <w:r w:rsidRPr="00D23243">
                    <w:rPr>
                      <w:rFonts w:ascii="Segoe UI" w:eastAsia="+mn-ea" w:hAnsi="Segoe UI" w:cs="+mn-cs"/>
                      <w:b/>
                      <w:bCs/>
                      <w:color w:val="FF0000"/>
                      <w:kern w:val="24"/>
                      <w:sz w:val="16"/>
                      <w:szCs w:val="16"/>
                      <w:lang w:val="en-US"/>
                    </w:rPr>
                    <w:t>6</w:t>
                  </w:r>
                  <w:proofErr w:type="gramEnd"/>
                  <w:r>
                    <w:rPr>
                      <w:rFonts w:ascii="Segoe UI" w:eastAsia="+mn-ea" w:hAnsi="Segoe UI" w:cs="+mn-cs"/>
                      <w:b/>
                      <w:bCs/>
                      <w:color w:val="FF0000"/>
                      <w:kern w:val="24"/>
                      <w:sz w:val="16"/>
                      <w:szCs w:val="16"/>
                    </w:rPr>
                    <w:t xml:space="preserve"> δισ.</w:t>
                  </w:r>
                </w:p>
              </w:txbxContent>
            </v:textbox>
          </v:shape>
        </w:pict>
      </w:r>
    </w:p>
    <w:p w:rsidR="00E55AED" w:rsidRPr="00EE40A0" w:rsidRDefault="00E55AED" w:rsidP="00E55AED">
      <w:pPr>
        <w:kinsoku w:val="0"/>
        <w:overflowPunct w:val="0"/>
        <w:spacing w:before="40"/>
        <w:ind w:left="547" w:hanging="547"/>
        <w:textAlignment w:val="baseline"/>
        <w:rPr>
          <w:rFonts w:ascii="Segoe UI" w:eastAsia="Segoe UI" w:hAnsi="Segoe UI" w:cs="Segoe UI"/>
          <w:b/>
          <w:color w:val="008080"/>
          <w:kern w:val="24"/>
          <w:sz w:val="18"/>
          <w:lang w:val="en-US" w:eastAsia="el-GR"/>
        </w:rPr>
      </w:pPr>
    </w:p>
    <w:p w:rsidR="00E55AED" w:rsidRPr="00EE40A0" w:rsidRDefault="00E55AED" w:rsidP="00E55AED">
      <w:pPr>
        <w:autoSpaceDE w:val="0"/>
        <w:autoSpaceDN w:val="0"/>
        <w:adjustRightInd w:val="0"/>
        <w:spacing w:after="160" w:line="320" w:lineRule="atLeast"/>
        <w:jc w:val="both"/>
        <w:rPr>
          <w:rFonts w:ascii="Segoe UI" w:hAnsi="Segoe UI" w:cs="Segoe UI"/>
          <w:noProof/>
          <w:color w:val="000000"/>
          <w:lang w:val="en-US" w:eastAsia="el-GR"/>
        </w:rPr>
      </w:pPr>
    </w:p>
    <w:p w:rsidR="00E55AED" w:rsidRPr="00EE40A0" w:rsidRDefault="00E55AED" w:rsidP="00E55AED">
      <w:pPr>
        <w:autoSpaceDE w:val="0"/>
        <w:autoSpaceDN w:val="0"/>
        <w:adjustRightInd w:val="0"/>
        <w:spacing w:after="160" w:line="320" w:lineRule="atLeast"/>
        <w:jc w:val="both"/>
        <w:rPr>
          <w:rFonts w:ascii="Segoe UI" w:hAnsi="Segoe UI" w:cs="Segoe UI"/>
          <w:noProof/>
          <w:color w:val="000000"/>
          <w:sz w:val="2"/>
          <w:lang w:val="en-US" w:eastAsia="el-GR"/>
        </w:rPr>
      </w:pPr>
      <w:r w:rsidRPr="00EE40A0">
        <w:rPr>
          <w:rFonts w:ascii="Segoe UI" w:hAnsi="Segoe UI" w:cs="Segoe UI"/>
          <w:noProof/>
          <w:color w:val="000000"/>
          <w:sz w:val="2"/>
          <w:lang w:val="en-US" w:eastAsia="el-GR"/>
        </w:rPr>
        <w:br w:type="page"/>
      </w:r>
    </w:p>
    <w:p w:rsidR="009450BE" w:rsidRPr="000F701B" w:rsidRDefault="000F701B" w:rsidP="009450BE">
      <w:pPr>
        <w:pStyle w:val="TITLE2"/>
        <w:rPr>
          <w:rFonts w:ascii="Segoe UI" w:hAnsi="Segoe UI" w:cs="Segoe UI"/>
          <w:sz w:val="18"/>
          <w:szCs w:val="18"/>
          <w:lang w:val="el-GR"/>
        </w:rPr>
      </w:pPr>
      <w:r>
        <w:rPr>
          <w:rFonts w:ascii="Segoe UI" w:hAnsi="Segoe UI" w:cs="Segoe UI"/>
          <w:sz w:val="18"/>
          <w:szCs w:val="18"/>
          <w:lang w:val="el-GR"/>
        </w:rPr>
        <w:lastRenderedPageBreak/>
        <w:t>Ο</w:t>
      </w:r>
      <w:r w:rsidRPr="000F701B">
        <w:rPr>
          <w:rFonts w:ascii="Segoe UI" w:hAnsi="Segoe UI" w:cs="Segoe UI"/>
          <w:sz w:val="18"/>
          <w:szCs w:val="18"/>
          <w:lang w:val="el-GR"/>
        </w:rPr>
        <w:t>ρισμ</w:t>
      </w:r>
      <w:r>
        <w:rPr>
          <w:rFonts w:ascii="Segoe UI" w:hAnsi="Segoe UI" w:cs="Segoe UI"/>
          <w:sz w:val="18"/>
          <w:szCs w:val="18"/>
          <w:lang w:val="el-GR"/>
        </w:rPr>
        <w:t>ός</w:t>
      </w:r>
      <w:r w:rsidRPr="000F701B">
        <w:rPr>
          <w:rFonts w:ascii="Segoe UI" w:hAnsi="Segoe UI" w:cs="Segoe UI"/>
          <w:sz w:val="18"/>
          <w:szCs w:val="18"/>
          <w:lang w:val="el-GR"/>
        </w:rPr>
        <w:t xml:space="preserve"> των </w:t>
      </w:r>
      <w:r>
        <w:rPr>
          <w:rFonts w:ascii="Segoe UI" w:hAnsi="Segoe UI" w:cs="Segoe UI"/>
          <w:sz w:val="18"/>
          <w:szCs w:val="18"/>
          <w:lang w:val="el-GR"/>
        </w:rPr>
        <w:t>Χ</w:t>
      </w:r>
      <w:r w:rsidRPr="000F701B">
        <w:rPr>
          <w:rFonts w:ascii="Segoe UI" w:hAnsi="Segoe UI" w:cs="Segoe UI"/>
          <w:sz w:val="18"/>
          <w:szCs w:val="18"/>
          <w:lang w:val="el-GR"/>
        </w:rPr>
        <w:t>ρηματοοικονομικ</w:t>
      </w:r>
      <w:r>
        <w:rPr>
          <w:rFonts w:ascii="Segoe UI" w:hAnsi="Segoe UI" w:cs="Segoe UI"/>
          <w:sz w:val="18"/>
          <w:szCs w:val="18"/>
          <w:lang w:val="el-GR"/>
        </w:rPr>
        <w:t>ώ</w:t>
      </w:r>
      <w:r w:rsidRPr="000F701B">
        <w:rPr>
          <w:rFonts w:ascii="Segoe UI" w:hAnsi="Segoe UI" w:cs="Segoe UI"/>
          <w:sz w:val="18"/>
          <w:szCs w:val="18"/>
          <w:lang w:val="el-GR"/>
        </w:rPr>
        <w:t xml:space="preserve">ν </w:t>
      </w:r>
      <w:r>
        <w:rPr>
          <w:rFonts w:ascii="Segoe UI" w:hAnsi="Segoe UI" w:cs="Segoe UI"/>
          <w:sz w:val="18"/>
          <w:szCs w:val="18"/>
          <w:lang w:val="el-GR"/>
        </w:rPr>
        <w:t>Στοιχεί</w:t>
      </w:r>
      <w:r w:rsidRPr="000F701B">
        <w:rPr>
          <w:rFonts w:ascii="Segoe UI" w:hAnsi="Segoe UI" w:cs="Segoe UI"/>
          <w:sz w:val="18"/>
          <w:szCs w:val="18"/>
          <w:lang w:val="el-GR"/>
        </w:rPr>
        <w:t xml:space="preserve">ων και των </w:t>
      </w:r>
      <w:r>
        <w:rPr>
          <w:rFonts w:ascii="Segoe UI" w:hAnsi="Segoe UI" w:cs="Segoe UI"/>
          <w:sz w:val="18"/>
          <w:szCs w:val="18"/>
          <w:lang w:val="el-GR"/>
        </w:rPr>
        <w:t>Δ</w:t>
      </w:r>
      <w:r w:rsidRPr="000F701B">
        <w:rPr>
          <w:rFonts w:ascii="Segoe UI" w:hAnsi="Segoe UI" w:cs="Segoe UI"/>
          <w:sz w:val="18"/>
          <w:szCs w:val="18"/>
          <w:lang w:val="el-GR"/>
        </w:rPr>
        <w:t>εικτ</w:t>
      </w:r>
      <w:r>
        <w:rPr>
          <w:rFonts w:ascii="Segoe UI" w:hAnsi="Segoe UI" w:cs="Segoe UI"/>
          <w:sz w:val="18"/>
          <w:szCs w:val="18"/>
          <w:lang w:val="el-GR"/>
        </w:rPr>
        <w:t>ώ</w:t>
      </w:r>
      <w:r w:rsidRPr="000F701B">
        <w:rPr>
          <w:rFonts w:ascii="Segoe UI" w:hAnsi="Segoe UI" w:cs="Segoe UI"/>
          <w:sz w:val="18"/>
          <w:szCs w:val="18"/>
          <w:lang w:val="el-GR"/>
        </w:rPr>
        <w:t xml:space="preserve">ν που </w:t>
      </w:r>
      <w:r>
        <w:rPr>
          <w:rFonts w:ascii="Segoe UI" w:hAnsi="Segoe UI" w:cs="Segoe UI"/>
          <w:sz w:val="18"/>
          <w:szCs w:val="18"/>
          <w:lang w:val="el-GR"/>
        </w:rPr>
        <w:t>Χ</w:t>
      </w:r>
      <w:r w:rsidRPr="000F701B">
        <w:rPr>
          <w:rFonts w:ascii="Segoe UI" w:hAnsi="Segoe UI" w:cs="Segoe UI"/>
          <w:sz w:val="18"/>
          <w:szCs w:val="18"/>
          <w:lang w:val="el-GR"/>
        </w:rPr>
        <w:t>ρησιμοποι</w:t>
      </w:r>
      <w:r>
        <w:rPr>
          <w:rFonts w:ascii="Segoe UI" w:hAnsi="Segoe UI" w:cs="Segoe UI"/>
          <w:sz w:val="18"/>
          <w:szCs w:val="18"/>
          <w:lang w:val="el-GR"/>
        </w:rPr>
        <w:t>ή</w:t>
      </w:r>
      <w:r w:rsidRPr="000F701B">
        <w:rPr>
          <w:rFonts w:ascii="Segoe UI" w:hAnsi="Segoe UI" w:cs="Segoe UI"/>
          <w:sz w:val="18"/>
          <w:szCs w:val="18"/>
          <w:lang w:val="el-GR"/>
        </w:rPr>
        <w:t>θηκαν</w:t>
      </w:r>
    </w:p>
    <w:p w:rsidR="000F701B" w:rsidRPr="000F701B" w:rsidRDefault="000F701B" w:rsidP="009608A0">
      <w:pPr>
        <w:spacing w:after="160"/>
        <w:jc w:val="both"/>
        <w:rPr>
          <w:rFonts w:ascii="Segoe UI" w:hAnsi="Segoe UI" w:cs="Segoe UI"/>
          <w:sz w:val="15"/>
          <w:szCs w:val="15"/>
        </w:rPr>
      </w:pPr>
      <w:r w:rsidRPr="000F701B">
        <w:rPr>
          <w:rFonts w:ascii="Segoe UI" w:hAnsi="Segoe UI" w:cs="Segoe UI"/>
          <w:sz w:val="15"/>
          <w:szCs w:val="15"/>
          <w:lang w:val="en-US"/>
        </w:rPr>
        <w:t>To</w:t>
      </w:r>
      <w:r w:rsidRPr="000F701B">
        <w:rPr>
          <w:rFonts w:ascii="Segoe UI" w:hAnsi="Segoe UI" w:cs="Segoe UI"/>
          <w:sz w:val="15"/>
          <w:szCs w:val="15"/>
        </w:rPr>
        <w:t xml:space="preserve"> παρόν Δελτίο Τύπου των Αποτελεσμάτων </w:t>
      </w:r>
      <w:r w:rsidR="00B33F26">
        <w:rPr>
          <w:rFonts w:ascii="Segoe UI" w:hAnsi="Segoe UI" w:cs="Segoe UI"/>
          <w:sz w:val="15"/>
          <w:szCs w:val="15"/>
        </w:rPr>
        <w:t xml:space="preserve">του </w:t>
      </w:r>
      <w:r w:rsidR="00820461">
        <w:rPr>
          <w:rFonts w:ascii="Segoe UI" w:hAnsi="Segoe UI" w:cs="Segoe UI"/>
          <w:sz w:val="15"/>
          <w:szCs w:val="15"/>
        </w:rPr>
        <w:t>Β</w:t>
      </w:r>
      <w:r w:rsidR="002B6641">
        <w:rPr>
          <w:rFonts w:ascii="Segoe UI" w:hAnsi="Segoe UI" w:cs="Segoe UI"/>
          <w:sz w:val="15"/>
          <w:szCs w:val="15"/>
        </w:rPr>
        <w:t>’ τριμήνου 2020</w:t>
      </w:r>
      <w:r w:rsidRPr="000F701B">
        <w:rPr>
          <w:rFonts w:ascii="Segoe UI" w:hAnsi="Segoe UI" w:cs="Segoe UI"/>
          <w:sz w:val="15"/>
          <w:szCs w:val="15"/>
        </w:rPr>
        <w:t xml:space="preserve"> περιλαμβάνει χρηματοοικονομικές αναφορές και μεγέθη όπως προέρχονται από τις χρηματοοικονομικές καταστάσεις του Ομίλου και της Τράπεζας για την περίοδο που έληξε 3</w:t>
      </w:r>
      <w:r w:rsidR="00820461">
        <w:rPr>
          <w:rFonts w:ascii="Segoe UI" w:hAnsi="Segoe UI" w:cs="Segoe UI"/>
          <w:sz w:val="15"/>
          <w:szCs w:val="15"/>
        </w:rPr>
        <w:t>0</w:t>
      </w:r>
      <w:r w:rsidRPr="000F701B">
        <w:rPr>
          <w:rFonts w:ascii="Segoe UI" w:hAnsi="Segoe UI" w:cs="Segoe UI"/>
          <w:sz w:val="15"/>
          <w:szCs w:val="15"/>
        </w:rPr>
        <w:t xml:space="preserve"> </w:t>
      </w:r>
      <w:r w:rsidR="00820461">
        <w:rPr>
          <w:rFonts w:ascii="Segoe UI" w:hAnsi="Segoe UI" w:cs="Segoe UI"/>
          <w:sz w:val="15"/>
          <w:szCs w:val="15"/>
        </w:rPr>
        <w:t>Ιουνίου</w:t>
      </w:r>
      <w:r w:rsidR="00FB540B">
        <w:rPr>
          <w:rFonts w:ascii="Segoe UI" w:hAnsi="Segoe UI" w:cs="Segoe UI"/>
          <w:sz w:val="15"/>
          <w:szCs w:val="15"/>
        </w:rPr>
        <w:t xml:space="preserve"> 2020</w:t>
      </w:r>
      <w:r w:rsidRPr="000F701B">
        <w:rPr>
          <w:rFonts w:ascii="Segoe UI" w:hAnsi="Segoe UI" w:cs="Segoe UI"/>
          <w:sz w:val="15"/>
          <w:szCs w:val="15"/>
        </w:rPr>
        <w:t xml:space="preserve"> και της χρήσης που έληξε 31 Δεκεμβρίου 201</w:t>
      </w:r>
      <w:r w:rsidR="00FB540B">
        <w:rPr>
          <w:rFonts w:ascii="Segoe UI" w:hAnsi="Segoe UI" w:cs="Segoe UI"/>
          <w:sz w:val="15"/>
          <w:szCs w:val="15"/>
        </w:rPr>
        <w:t>9</w:t>
      </w:r>
      <w:r w:rsidR="009608A0">
        <w:rPr>
          <w:rFonts w:ascii="Segoe UI" w:hAnsi="Segoe UI" w:cs="Segoe UI"/>
          <w:sz w:val="15"/>
          <w:szCs w:val="15"/>
        </w:rPr>
        <w:t>,</w:t>
      </w:r>
      <w:r w:rsidRPr="000F701B">
        <w:rPr>
          <w:rFonts w:ascii="Segoe UI" w:hAnsi="Segoe UI" w:cs="Segoe UI"/>
          <w:sz w:val="15"/>
          <w:szCs w:val="15"/>
        </w:rPr>
        <w:t xml:space="preserve"> </w:t>
      </w:r>
      <w:r w:rsidR="009608A0" w:rsidRPr="009608A0">
        <w:rPr>
          <w:rFonts w:ascii="Segoe UI" w:hAnsi="Segoe UI" w:cs="Segoe UI"/>
          <w:sz w:val="15"/>
          <w:szCs w:val="15"/>
        </w:rPr>
        <w:t>οι οποίες έχουν συνταχθεί με βάση το Διεθνές Λογιστικό Πρότυπο 34 («Ενδιάμεσες Οικονομικές Καταστάσεις») και με τα Διεθνή</w:t>
      </w:r>
      <w:r w:rsidR="009608A0">
        <w:rPr>
          <w:rFonts w:ascii="Segoe UI" w:hAnsi="Segoe UI" w:cs="Segoe UI"/>
          <w:sz w:val="15"/>
          <w:szCs w:val="15"/>
        </w:rPr>
        <w:t xml:space="preserve"> </w:t>
      </w:r>
      <w:r w:rsidR="009608A0" w:rsidRPr="009608A0">
        <w:rPr>
          <w:rFonts w:ascii="Segoe UI" w:hAnsi="Segoe UI" w:cs="Segoe UI"/>
          <w:sz w:val="15"/>
          <w:szCs w:val="15"/>
        </w:rPr>
        <w:t>Πρότυπα Χρηματοοικονομικής Αναφοράς («ΔΠΧΑ»), όπως αυτά έχουν υιοθετηθεί από την Ευρωπαϊκή Ένωση («ΕΕ»).</w:t>
      </w:r>
      <w:r w:rsidRPr="000F701B">
        <w:rPr>
          <w:rFonts w:ascii="Segoe UI" w:hAnsi="Segoe UI" w:cs="Segoe UI"/>
          <w:sz w:val="15"/>
          <w:szCs w:val="15"/>
        </w:rPr>
        <w:t>. Επίσης, περιλαμβάνει χρηματοοικονομικές πληροφορίες οι οποίες αντλούνται από την κανονική ροή των συστημάτων χρηματοοικονομικής και διοικητικής πληροφόρησης, όπως αυτές κατηγοριοποιούνται σε ξένες και εγχώριες δραστηριότητες βάσει της χώρας προέλευσης των χρηματοοικονομικών καταστάσεων των εταιρειών του Ομίλου.</w:t>
      </w:r>
    </w:p>
    <w:p w:rsidR="000F701B" w:rsidRPr="000F701B" w:rsidRDefault="000F701B" w:rsidP="000F701B">
      <w:pPr>
        <w:spacing w:after="160"/>
        <w:jc w:val="both"/>
        <w:rPr>
          <w:rFonts w:ascii="Segoe UI" w:hAnsi="Segoe UI" w:cs="Segoe UI"/>
          <w:sz w:val="15"/>
          <w:szCs w:val="15"/>
        </w:rPr>
      </w:pPr>
      <w:r w:rsidRPr="000F701B">
        <w:rPr>
          <w:rFonts w:ascii="Segoe UI" w:hAnsi="Segoe UI" w:cs="Segoe UI"/>
          <w:sz w:val="15"/>
          <w:szCs w:val="15"/>
        </w:rPr>
        <w:t>Επιπρόσθετα, περιλαμβάνει αναφορές σε συγκεκριμένα μεγέθη τα οποία δεν ορίζονται από τα ΔΠΧΑ, και συγκεκριμένα αναφέρονται σε «κέρδη</w:t>
      </w:r>
      <w:r w:rsidR="00F74EC6">
        <w:rPr>
          <w:rFonts w:ascii="Segoe UI" w:hAnsi="Segoe UI" w:cs="Segoe UI"/>
          <w:sz w:val="15"/>
          <w:szCs w:val="15"/>
        </w:rPr>
        <w:t xml:space="preserve"> </w:t>
      </w:r>
      <w:r w:rsidRPr="000F701B">
        <w:rPr>
          <w:rFonts w:ascii="Segoe UI" w:hAnsi="Segoe UI" w:cs="Segoe UI"/>
          <w:sz w:val="15"/>
          <w:szCs w:val="15"/>
        </w:rPr>
        <w:t>/</w:t>
      </w:r>
      <w:r w:rsidR="00F74EC6">
        <w:rPr>
          <w:rFonts w:ascii="Segoe UI" w:hAnsi="Segoe UI" w:cs="Segoe UI"/>
          <w:sz w:val="15"/>
          <w:szCs w:val="15"/>
        </w:rPr>
        <w:t xml:space="preserve"> </w:t>
      </w:r>
      <w:r w:rsidR="00066AAA" w:rsidRPr="000F701B">
        <w:rPr>
          <w:rFonts w:ascii="Segoe UI" w:hAnsi="Segoe UI" w:cs="Segoe UI"/>
          <w:sz w:val="15"/>
          <w:szCs w:val="15"/>
        </w:rPr>
        <w:t>(</w:t>
      </w:r>
      <w:r w:rsidR="00066AAA">
        <w:rPr>
          <w:rFonts w:ascii="Segoe UI" w:hAnsi="Segoe UI" w:cs="Segoe UI"/>
          <w:sz w:val="15"/>
          <w:szCs w:val="15"/>
        </w:rPr>
        <w:t>ζημίες</w:t>
      </w:r>
      <w:r w:rsidRPr="000F701B">
        <w:rPr>
          <w:rFonts w:ascii="Segoe UI" w:hAnsi="Segoe UI" w:cs="Segoe UI"/>
          <w:sz w:val="15"/>
          <w:szCs w:val="15"/>
        </w:rPr>
        <w:t>) προ προβλέψεων», «καθαρό επιτοκιακό περιθώριο» και άλλα, όπως διατυπώνονται ανωτέρω. Αυτά είναι εκτός πλαισίου ΔΠΧΑ χρηματοοικονομικά μεγέθη. Ένα μη οριζόμενο από τα ΔΠΧΑ κονδύλι μετρά την ιστορική ή μελλοντική χρηματοοικονομική επίδοση, χρηματοοικονομική θέση ή τις ταμιακές ροές, και περιλαμβάνει ή εξαιρεί ποσά τα οποία δεν προβλέπονται από τα ΔΠΧΑ. Ο Όμιλος πιστεύει ότι τα μη οριζόμενα από τα ΔΠΧΑ κονδύλια παρουσιάζουν μια πιο ουσιαστική ανάλυση της χρηματοοικονομικής του κατάστασης και των αποτελεσμάτων των εργασιών του. Ωστόσο, τα μη οριζόμενα από τα ΔΠΧΑ κονδύλια δεν αποτελούν υποκατάστατο των ΔΠΧΑ</w:t>
      </w:r>
      <w:r>
        <w:rPr>
          <w:rFonts w:ascii="Segoe UI" w:hAnsi="Segoe UI" w:cs="Segoe UI"/>
          <w:sz w:val="15"/>
          <w:szCs w:val="15"/>
        </w:rPr>
        <w:t>.</w:t>
      </w:r>
      <w:r w:rsidR="00237972">
        <w:rPr>
          <w:rFonts w:ascii="Segoe UI" w:hAnsi="Segoe UI" w:cs="Segoe UI"/>
          <w:sz w:val="15"/>
          <w:szCs w:val="15"/>
        </w:rPr>
        <w:t xml:space="preserve"> </w:t>
      </w:r>
    </w:p>
    <w:p w:rsidR="00D56B7A" w:rsidRDefault="00D56B7A">
      <w:pPr>
        <w:rPr>
          <w:rFonts w:ascii="Segoe UI" w:hAnsi="Segoe UI" w:cs="Segoe UI"/>
          <w:sz w:val="15"/>
          <w:szCs w:val="15"/>
        </w:rPr>
      </w:pPr>
      <w:r w:rsidRPr="00F04303">
        <w:rPr>
          <w:rFonts w:ascii="Segoe UI" w:hAnsi="Segoe UI" w:cs="Segoe UI"/>
          <w:sz w:val="15"/>
          <w:szCs w:val="15"/>
        </w:rPr>
        <w:br w:type="page"/>
      </w:r>
    </w:p>
    <w:tbl>
      <w:tblPr>
        <w:tblW w:w="10193" w:type="dxa"/>
        <w:tblInd w:w="108" w:type="dxa"/>
        <w:tblLook w:val="04A0"/>
      </w:tblPr>
      <w:tblGrid>
        <w:gridCol w:w="1972"/>
        <w:gridCol w:w="1134"/>
        <w:gridCol w:w="7087"/>
      </w:tblGrid>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007180"/>
            <w:noWrap/>
            <w:vAlign w:val="bottom"/>
            <w:hideMark/>
          </w:tcPr>
          <w:p w:rsidR="00CB691B" w:rsidRPr="00CB691B" w:rsidRDefault="00CB691B" w:rsidP="00CB691B">
            <w:pPr>
              <w:rPr>
                <w:rFonts w:ascii="Segoe UI" w:hAnsi="Segoe UI" w:cs="Segoe UI"/>
                <w:b/>
                <w:color w:val="FFFFFF" w:themeColor="background1"/>
                <w:sz w:val="16"/>
                <w:szCs w:val="14"/>
              </w:rPr>
            </w:pPr>
            <w:r w:rsidRPr="00CB691B">
              <w:rPr>
                <w:rFonts w:ascii="Segoe UI" w:hAnsi="Segoe UI" w:cs="Segoe UI"/>
                <w:b/>
                <w:color w:val="FFFFFF" w:themeColor="background1"/>
                <w:sz w:val="16"/>
                <w:szCs w:val="14"/>
              </w:rPr>
              <w:lastRenderedPageBreak/>
              <w:t>Ονομασία</w:t>
            </w:r>
          </w:p>
        </w:tc>
        <w:tc>
          <w:tcPr>
            <w:tcW w:w="1134" w:type="dxa"/>
            <w:tcBorders>
              <w:top w:val="single" w:sz="4" w:space="0" w:color="D9D9D9"/>
              <w:left w:val="nil"/>
              <w:bottom w:val="single" w:sz="4" w:space="0" w:color="D9D9D9"/>
              <w:right w:val="nil"/>
            </w:tcBorders>
            <w:shd w:val="clear" w:color="auto" w:fill="007180"/>
            <w:noWrap/>
            <w:vAlign w:val="bottom"/>
            <w:hideMark/>
          </w:tcPr>
          <w:p w:rsidR="00CB691B" w:rsidRPr="00CB691B" w:rsidRDefault="00CB691B" w:rsidP="00CB691B">
            <w:pPr>
              <w:rPr>
                <w:rFonts w:ascii="Segoe UI" w:hAnsi="Segoe UI" w:cs="Segoe UI"/>
                <w:b/>
                <w:color w:val="FFFFFF" w:themeColor="background1"/>
                <w:sz w:val="16"/>
                <w:szCs w:val="14"/>
              </w:rPr>
            </w:pPr>
            <w:r w:rsidRPr="00CB691B">
              <w:rPr>
                <w:rFonts w:ascii="Segoe UI" w:hAnsi="Segoe UI" w:cs="Segoe UI"/>
                <w:b/>
                <w:color w:val="FFFFFF" w:themeColor="background1"/>
                <w:sz w:val="16"/>
                <w:szCs w:val="14"/>
              </w:rPr>
              <w:t>Συντομ/φία</w:t>
            </w:r>
          </w:p>
        </w:tc>
        <w:tc>
          <w:tcPr>
            <w:tcW w:w="7087" w:type="dxa"/>
            <w:tcBorders>
              <w:top w:val="single" w:sz="4" w:space="0" w:color="D9D9D9"/>
              <w:left w:val="nil"/>
              <w:bottom w:val="single" w:sz="4" w:space="0" w:color="D9D9D9"/>
              <w:right w:val="nil"/>
            </w:tcBorders>
            <w:shd w:val="clear" w:color="auto" w:fill="007180"/>
            <w:noWrap/>
            <w:vAlign w:val="bottom"/>
            <w:hideMark/>
          </w:tcPr>
          <w:p w:rsidR="00CB691B" w:rsidRPr="00CB691B" w:rsidRDefault="00CB691B" w:rsidP="00CB691B">
            <w:pPr>
              <w:rPr>
                <w:rFonts w:ascii="Segoe UI" w:hAnsi="Segoe UI" w:cs="Segoe UI"/>
                <w:b/>
                <w:color w:val="FFFFFF" w:themeColor="background1"/>
                <w:sz w:val="16"/>
                <w:szCs w:val="14"/>
              </w:rPr>
            </w:pPr>
            <w:r w:rsidRPr="00CB691B">
              <w:rPr>
                <w:rFonts w:ascii="Segoe UI" w:hAnsi="Segoe UI" w:cs="Segoe UI"/>
                <w:b/>
                <w:color w:val="FFFFFF" w:themeColor="background1"/>
                <w:sz w:val="16"/>
                <w:szCs w:val="14"/>
              </w:rPr>
              <w:t>Ορισμός</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Αποσβέσεις</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Αποσβέσεις και προβλέψεις απομείωσης αξίας ενσώματων παγίων και άυλων περιουσιακών στοιχείων και ακινήτων επενδύσεων</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Γενικά Διοικητικά Έξοδα </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Γενικά διοικητικά και λοιπά λειτουργικά έξοδα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9035E7" w:rsidRDefault="00CB691B" w:rsidP="009035E7">
            <w:pPr>
              <w:rPr>
                <w:rFonts w:ascii="Segoe UI" w:eastAsia="MS Mincho" w:hAnsi="Segoe UI" w:cs="Segoe UI"/>
                <w:color w:val="000000"/>
                <w:sz w:val="10"/>
                <w:szCs w:val="10"/>
              </w:rPr>
            </w:pPr>
            <w:r w:rsidRPr="007A1AF5">
              <w:rPr>
                <w:rFonts w:ascii="Segoe UI" w:eastAsia="MS Mincho" w:hAnsi="Segoe UI" w:cs="Segoe UI"/>
                <w:color w:val="000000"/>
                <w:sz w:val="10"/>
                <w:szCs w:val="10"/>
                <w:lang w:val="en-GB"/>
              </w:rPr>
              <w:t xml:space="preserve">Δάνεια μετά </w:t>
            </w:r>
            <w:r w:rsidR="009035E7">
              <w:rPr>
                <w:rFonts w:ascii="Segoe UI" w:eastAsia="MS Mincho" w:hAnsi="Segoe UI" w:cs="Segoe UI"/>
                <w:color w:val="000000"/>
                <w:sz w:val="10"/>
                <w:szCs w:val="10"/>
              </w:rPr>
              <w:t>από Προβλέψεις</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Δάνεια και απαιτήσεις κατά πελατών</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Δάνεια προ Προβλέψεων</w:t>
            </w:r>
          </w:p>
        </w:tc>
        <w:tc>
          <w:tcPr>
            <w:tcW w:w="1134"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Δάνεια και απαιτήσεις κατά πελατών προ πρόβλεψης ΑΠΖ δανείων και απαιτήσεων κατά πελατών</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Δείκτης Δάνεια προς Καταθέσεις</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144F4D">
            <w:pPr>
              <w:rPr>
                <w:rFonts w:ascii="Segoe UI" w:eastAsia="MS Mincho" w:hAnsi="Segoe UI" w:cs="Segoe UI"/>
                <w:color w:val="000000"/>
                <w:sz w:val="10"/>
                <w:szCs w:val="10"/>
              </w:rPr>
            </w:pPr>
            <w:r w:rsidRPr="007A1AF5">
              <w:rPr>
                <w:rFonts w:ascii="Segoe UI" w:eastAsia="MS Mincho" w:hAnsi="Segoe UI" w:cs="Segoe UI"/>
                <w:color w:val="000000"/>
                <w:sz w:val="10"/>
                <w:szCs w:val="10"/>
              </w:rPr>
              <w:t>Δάνεια μετά</w:t>
            </w:r>
            <w:r w:rsidR="009035E7">
              <w:rPr>
                <w:rFonts w:ascii="Segoe UI" w:eastAsia="MS Mincho" w:hAnsi="Segoe UI" w:cs="Segoe UI"/>
                <w:color w:val="000000"/>
                <w:sz w:val="10"/>
                <w:szCs w:val="10"/>
              </w:rPr>
              <w:t xml:space="preserve"> από προβλέψεις</w:t>
            </w:r>
            <w:r w:rsidRPr="007A1AF5">
              <w:rPr>
                <w:rFonts w:ascii="Segoe UI" w:eastAsia="MS Mincho" w:hAnsi="Segoe UI" w:cs="Segoe UI"/>
                <w:color w:val="000000"/>
                <w:sz w:val="10"/>
                <w:szCs w:val="10"/>
              </w:rPr>
              <w:t xml:space="preserve"> προς καταθέσεις, τέλος περιόδου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Δανείων σε Καθυστέρηση +90 Ημερών / Μη Εξυπηρετούμενων Δανείων</w:t>
            </w:r>
          </w:p>
        </w:tc>
        <w:tc>
          <w:tcPr>
            <w:tcW w:w="1134"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 xml:space="preserve">-- </w:t>
            </w:r>
          </w:p>
        </w:tc>
        <w:tc>
          <w:tcPr>
            <w:tcW w:w="7087" w:type="dxa"/>
            <w:tcBorders>
              <w:top w:val="single" w:sz="4" w:space="0" w:color="D9D9D9"/>
              <w:left w:val="nil"/>
              <w:bottom w:val="single" w:sz="4" w:space="0" w:color="D9D9D9"/>
              <w:right w:val="nil"/>
            </w:tcBorders>
            <w:shd w:val="clear" w:color="000000" w:fill="FFFFFF"/>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Δάνεια προ προβλέψεων σε καθυστέρηση άνω των 90 ημερών </w:t>
            </w:r>
            <w:r w:rsidR="00FF5954" w:rsidRPr="007A1AF5">
              <w:rPr>
                <w:rFonts w:ascii="Segoe UI" w:eastAsia="MS Mincho" w:hAnsi="Segoe UI" w:cs="Segoe UI"/>
                <w:color w:val="000000"/>
                <w:sz w:val="10"/>
                <w:szCs w:val="10"/>
              </w:rPr>
              <w:t xml:space="preserve">σε αναπόσβεστη αξία </w:t>
            </w:r>
            <w:r w:rsidRPr="007A1AF5">
              <w:rPr>
                <w:rFonts w:ascii="Segoe UI" w:eastAsia="MS Mincho" w:hAnsi="Segoe UI" w:cs="Segoe UI"/>
                <w:color w:val="000000"/>
                <w:sz w:val="10"/>
                <w:szCs w:val="10"/>
              </w:rPr>
              <w:t>προς δάνεια προ προβλέψεων, τέλος περιόδου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sz w:val="10"/>
                <w:szCs w:val="10"/>
              </w:rPr>
            </w:pPr>
            <w:r w:rsidRPr="007A1AF5">
              <w:rPr>
                <w:rFonts w:ascii="Segoe UI" w:eastAsia="MS Mincho" w:hAnsi="Segoe UI" w:cs="Segoe UI"/>
                <w:sz w:val="10"/>
                <w:szCs w:val="10"/>
              </w:rPr>
              <w:t>Δείκτης Καθαρής Σταθερής Χρηματοδότησης</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sz w:val="10"/>
                <w:szCs w:val="10"/>
                <w:lang w:val="en-US"/>
              </w:rPr>
            </w:pPr>
            <w:r w:rsidRPr="007A1AF5">
              <w:rPr>
                <w:rFonts w:ascii="Segoe UI" w:eastAsia="MS Mincho" w:hAnsi="Segoe UI" w:cs="Segoe UI"/>
                <w:sz w:val="10"/>
                <w:szCs w:val="10"/>
              </w:rPr>
              <w:t xml:space="preserve">Δείκτης </w:t>
            </w:r>
            <w:r w:rsidRPr="007A1AF5">
              <w:rPr>
                <w:rFonts w:ascii="Segoe UI" w:eastAsia="MS Mincho" w:hAnsi="Segoe UI" w:cs="Segoe UI"/>
                <w:sz w:val="10"/>
                <w:szCs w:val="10"/>
                <w:lang w:val="en-US"/>
              </w:rPr>
              <w:t>NSFR</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sz w:val="10"/>
                <w:szCs w:val="10"/>
              </w:rPr>
            </w:pPr>
            <w:r w:rsidRPr="007A1AF5">
              <w:rPr>
                <w:rFonts w:ascii="Segoe UI" w:eastAsia="MS Mincho" w:hAnsi="Segoe UI" w:cs="Segoe UI"/>
                <w:sz w:val="10"/>
                <w:szCs w:val="10"/>
              </w:rPr>
              <w:t>Ο Δείκτης Καθαρής Σταθερής Χρηματοδότησης ισούται με τη “διαθέσιμη ποσότητα σταθερής χρηματοδότησης» προς την «απαιτούμενη ποσότητα σταθερής χρηματοδότησης”</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Κάλυψης Δανείων σε Καθυστέρηση +90 Ημερών</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 xml:space="preserve">-- </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Σωρευμένες προβλέψεις προς δάνεια προ προβλέψεων σε καθυστέρηση άνω των 90 ημερών, εξαιρουμένων των υποχρεωτικά ταξινομούμενων στην εύλογη αξία μέσω αποτελεσμάτων δανείων, τέλος περιόδου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Κάλυψης Μη Εξυπηρετούμενων Ανοιγμάτων</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rPr>
              <w:t>Δείκτης κάλυψης ΜΕΑ</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Σωρευμένες προβλέψεις προς Μη Εξυπηρετούμενα Ανοίγματα, εξαιρουμένων των υποχρεωτικά ταξινομούμενων στην εύλογη αξία μέσω αποτελεσμάτων δανείων, τέλος περιόδου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Κάλυψης Ρευστότητας (</w:t>
            </w:r>
            <w:r w:rsidRPr="007A1AF5">
              <w:rPr>
                <w:rFonts w:ascii="Segoe UI" w:eastAsia="MS Mincho" w:hAnsi="Segoe UI" w:cs="Segoe UI"/>
                <w:color w:val="000000"/>
                <w:sz w:val="10"/>
                <w:szCs w:val="10"/>
                <w:lang w:val="en-US"/>
              </w:rPr>
              <w:t>Liquidity</w:t>
            </w:r>
            <w:r w:rsidR="0084527B" w:rsidRPr="007A1AF5">
              <w:rPr>
                <w:rFonts w:ascii="Segoe UI" w:eastAsia="MS Mincho" w:hAnsi="Segoe UI" w:cs="Segoe UI"/>
                <w:color w:val="000000"/>
                <w:sz w:val="10"/>
                <w:szCs w:val="10"/>
              </w:rPr>
              <w:t xml:space="preserve"> </w:t>
            </w:r>
            <w:r w:rsidRPr="007A1AF5">
              <w:rPr>
                <w:rFonts w:ascii="Segoe UI" w:eastAsia="MS Mincho" w:hAnsi="Segoe UI" w:cs="Segoe UI"/>
                <w:color w:val="000000"/>
                <w:sz w:val="10"/>
                <w:szCs w:val="10"/>
                <w:lang w:val="en-US"/>
              </w:rPr>
              <w:t>Coverage</w:t>
            </w:r>
            <w:r w:rsidR="0084527B" w:rsidRPr="007A1AF5">
              <w:rPr>
                <w:rFonts w:ascii="Segoe UI" w:eastAsia="MS Mincho" w:hAnsi="Segoe UI" w:cs="Segoe UI"/>
                <w:color w:val="000000"/>
                <w:sz w:val="10"/>
                <w:szCs w:val="10"/>
              </w:rPr>
              <w:t xml:space="preserve"> </w:t>
            </w:r>
            <w:r w:rsidRPr="007A1AF5">
              <w:rPr>
                <w:rFonts w:ascii="Segoe UI" w:eastAsia="MS Mincho" w:hAnsi="Segoe UI" w:cs="Segoe UI"/>
                <w:color w:val="000000"/>
                <w:sz w:val="10"/>
                <w:szCs w:val="10"/>
                <w:lang w:val="en-US"/>
              </w:rPr>
              <w:t>Ratio</w:t>
            </w:r>
            <w:r w:rsidRPr="007A1AF5">
              <w:rPr>
                <w:rFonts w:ascii="Segoe UI" w:eastAsia="MS Mincho" w:hAnsi="Segoe UI" w:cs="Segoe UI"/>
                <w:color w:val="000000"/>
                <w:sz w:val="10"/>
                <w:szCs w:val="10"/>
              </w:rPr>
              <w:t>)</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rPr>
              <w:t xml:space="preserve">Δείκτης </w:t>
            </w:r>
            <w:r w:rsidRPr="007A1AF5">
              <w:rPr>
                <w:rFonts w:ascii="Segoe UI" w:eastAsia="MS Mincho" w:hAnsi="Segoe UI" w:cs="Segoe UI"/>
                <w:color w:val="000000"/>
                <w:sz w:val="10"/>
                <w:szCs w:val="10"/>
                <w:lang w:val="en-US"/>
              </w:rPr>
              <w:t>LCR</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8124A6">
            <w:pPr>
              <w:rPr>
                <w:rFonts w:ascii="Segoe UI" w:eastAsia="MS Mincho" w:hAnsi="Segoe UI" w:cs="Segoe UI"/>
                <w:color w:val="000000"/>
                <w:sz w:val="10"/>
                <w:szCs w:val="10"/>
              </w:rPr>
            </w:pPr>
            <w:r w:rsidRPr="007A1AF5">
              <w:rPr>
                <w:rFonts w:ascii="Segoe UI" w:eastAsia="MS Mincho" w:hAnsi="Segoe UI" w:cs="Segoe UI"/>
                <w:color w:val="000000"/>
                <w:sz w:val="10"/>
                <w:szCs w:val="10"/>
              </w:rPr>
              <w:t>Ο Δείκτης Κάλυψης Ρευστότητας ισούται με τον δείκτη του αποθέματος ασφαλείας ρευστότητας του πιστωτικού ιδρύματος προς τις καθαρές εκροές ρευστότητάς του κατά τη διάρκεια μιας περιόδου ακραίων συνθηκών 30 ημερολογιακών ημερών</w:t>
            </w:r>
            <w:r w:rsidR="008124A6" w:rsidRPr="007A1AF5">
              <w:rPr>
                <w:rFonts w:ascii="Segoe UI" w:eastAsia="MS Mincho" w:hAnsi="Segoe UI" w:cs="Segoe UI"/>
                <w:color w:val="000000"/>
                <w:sz w:val="10"/>
                <w:szCs w:val="10"/>
              </w:rPr>
              <w:t xml:space="preserve">, σύμφωνα με τον Κανονισμό (ΕΕ) 2015/61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Κόστους προς Λειτουργικά Έσοδα</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Λειτουργικά έξοδα προς καθαρά λειτουργικά έσοδα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Κόστους προς Οργανικά Έσοδα</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Λειτουργικά έξοδα προς οργανικά έσοδα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Δείκτης κεφαλαίου κοινών μετοχών κατηγορίας 1 («Common Equity Tier 1», «CET1») 1 </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Δείκτης </w:t>
            </w:r>
            <w:r w:rsidRPr="007A1AF5">
              <w:rPr>
                <w:rFonts w:ascii="Segoe UI" w:eastAsia="MS Mincho" w:hAnsi="Segoe UI" w:cs="Segoe UI"/>
                <w:color w:val="000000"/>
                <w:sz w:val="10"/>
                <w:szCs w:val="10"/>
                <w:lang w:val="en-GB"/>
              </w:rPr>
              <w:t>CET</w:t>
            </w:r>
            <w:r w:rsidRPr="007A1AF5">
              <w:rPr>
                <w:rFonts w:ascii="Segoe UI" w:eastAsia="MS Mincho" w:hAnsi="Segoe UI" w:cs="Segoe UI"/>
                <w:color w:val="000000"/>
                <w:sz w:val="10"/>
                <w:szCs w:val="10"/>
              </w:rPr>
              <w:t>1</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Μέσα κεφαλαίου κοινών μετοχών κατηγορίας 1,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Δείκτης Κεφαλαίου Κοινών Μετοχών Κατηγορίας 1 με πλήρη εφαρμογή του ΔΠΧΑ9 (“CET1 fully loaded”)</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Δείκτης </w:t>
            </w:r>
            <w:r w:rsidRPr="007A1AF5">
              <w:rPr>
                <w:rFonts w:ascii="Segoe UI" w:eastAsia="MS Mincho" w:hAnsi="Segoe UI" w:cs="Segoe UI"/>
                <w:color w:val="000000"/>
                <w:sz w:val="10"/>
                <w:szCs w:val="10"/>
                <w:lang w:val="en-GB"/>
              </w:rPr>
              <w:t>CET</w:t>
            </w:r>
            <w:r w:rsidRPr="007A1AF5">
              <w:rPr>
                <w:rFonts w:ascii="Segoe UI" w:eastAsia="MS Mincho" w:hAnsi="Segoe UI" w:cs="Segoe UI"/>
                <w:color w:val="000000"/>
                <w:sz w:val="10"/>
                <w:szCs w:val="10"/>
              </w:rPr>
              <w:t xml:space="preserve">1 </w:t>
            </w:r>
            <w:r w:rsidRPr="007A1AF5">
              <w:rPr>
                <w:rFonts w:ascii="Segoe UI" w:eastAsia="MS Mincho" w:hAnsi="Segoe UI" w:cs="Segoe UI"/>
                <w:color w:val="000000"/>
                <w:sz w:val="10"/>
                <w:szCs w:val="10"/>
                <w:lang w:val="en-GB"/>
              </w:rPr>
              <w:t>FL</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Μέσα κεφαλαίου κοινών μετοχών κατηγορίας 1, με εφαρμογή των διατάξεων του Κανονισμού (EU) 575/2013, χωρίς την εφαρμογή των εποπτικών μεταβατικών ρυθμίσεων για την επίδραση του ΔΠΧΑ 9, αναφορικά με τα σταθμισμένα στοιχεία Ενεργητικού</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lang w:val="en-GB"/>
              </w:rPr>
              <w:t>Δείκτης Μη Εξυπηρετούμενων Ανοιγμάτων</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Δείκτης ΜΕΑ </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Μη Εξυπηρετούμενα Ανοίγματα προς δάνεια προ προβλέψεων, τέλος περιόδου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Ενσώματα Ίδια Κεφάλαια</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Ίδια κεφάλαια μετόχων Τράπεζας μείον υπεραξία επιχειρήσεων, λογισμικό και λοιπά άυλα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Έσοδα ή κέρδη (έξοδα ή ζημίες) από Χρηματ/κες Πράξεις &amp; Λοιπά Έσοδα (Έξοδα) / Μη Οργανικά Έσοδα</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Αποτελέσματα χρηματοοικονομικών πράξεων &amp; τίτλων επενδυτικού χαρτοφυλακίου {«έσοδα ή κέρδη (έξοδα ή ζημίες) από χρηματοοικονομικές πράξεις»)+ καθαρά λοιπά έσοδα / (έξοδα) {«λοιπά έσοδα (έξοδα)»}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Ίδια Κεφάλαια</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Ίδια κεφάλαια μετόχων Τράπεζας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Ισολογισμός </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Κατάσταση χρηματοοικονομικής θέσης</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Καθαρό Επιτοκιακό Περιθώριο</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0E78A8" w:rsidRDefault="00CB691B" w:rsidP="000E78A8">
            <w:pPr>
              <w:rPr>
                <w:rFonts w:ascii="Segoe UI" w:eastAsia="MS Mincho" w:hAnsi="Segoe UI" w:cs="Segoe UI"/>
                <w:color w:val="000000"/>
                <w:sz w:val="10"/>
                <w:szCs w:val="10"/>
              </w:rPr>
            </w:pPr>
            <w:r w:rsidRPr="007A1AF5">
              <w:rPr>
                <w:rFonts w:ascii="Segoe UI" w:eastAsia="MS Mincho" w:hAnsi="Segoe UI" w:cs="Segoe UI"/>
                <w:color w:val="000000"/>
                <w:sz w:val="10"/>
                <w:szCs w:val="10"/>
              </w:rPr>
              <w:t>Καθαρά έσοδα από τόκους προς το μέσο όρο των τοκοφόρων στοιχείων ενεργητικού (ο μέσος όρος των τοκοφόρων στοιχείων του ενεργητικού υπολογίζεται ως το άθροισμα των υπολοίπων των τοκοφόρων στοιχείων του ενεργητικού στο τέλος του προηγούμενου έτους και στο τέλος του έτους αναφοράς καθώς και των ενδιάμεσων τριμήνων, δια τον αριθμό των περιόδων (πέντε περίοδοι) για τις ετήσιες χρήσεις)</w:t>
            </w:r>
            <w:r w:rsidR="000E78A8" w:rsidRPr="000E78A8">
              <w:rPr>
                <w:rFonts w:ascii="Segoe UI" w:eastAsia="MS Mincho" w:hAnsi="Segoe UI" w:cs="Segoe UI"/>
                <w:color w:val="000000"/>
                <w:sz w:val="10"/>
                <w:szCs w:val="10"/>
              </w:rPr>
              <w:t xml:space="preserve">. </w:t>
            </w:r>
            <w:r w:rsidR="000E78A8">
              <w:rPr>
                <w:rFonts w:ascii="Segoe UI" w:eastAsia="MS Mincho" w:hAnsi="Segoe UI" w:cs="Segoe UI"/>
                <w:color w:val="000000"/>
                <w:sz w:val="10"/>
                <w:szCs w:val="10"/>
              </w:rPr>
              <w:t>Σε επίπεδο τριμήνου, το κ</w:t>
            </w:r>
            <w:r w:rsidR="000E78A8" w:rsidRPr="000E78A8">
              <w:rPr>
                <w:rFonts w:ascii="Segoe UI" w:eastAsia="MS Mincho" w:hAnsi="Segoe UI" w:cs="Segoe UI"/>
                <w:color w:val="000000"/>
                <w:sz w:val="10"/>
                <w:szCs w:val="10"/>
              </w:rPr>
              <w:t xml:space="preserve">αθαρό </w:t>
            </w:r>
            <w:r w:rsidR="000E78A8">
              <w:rPr>
                <w:rFonts w:ascii="Segoe UI" w:eastAsia="MS Mincho" w:hAnsi="Segoe UI" w:cs="Segoe UI"/>
                <w:color w:val="000000"/>
                <w:sz w:val="10"/>
                <w:szCs w:val="10"/>
              </w:rPr>
              <w:t>ε</w:t>
            </w:r>
            <w:r w:rsidR="000E78A8" w:rsidRPr="000E78A8">
              <w:rPr>
                <w:rFonts w:ascii="Segoe UI" w:eastAsia="MS Mincho" w:hAnsi="Segoe UI" w:cs="Segoe UI"/>
                <w:color w:val="000000"/>
                <w:sz w:val="10"/>
                <w:szCs w:val="10"/>
              </w:rPr>
              <w:t xml:space="preserve">πιτοκιακό </w:t>
            </w:r>
            <w:r w:rsidR="000E78A8">
              <w:rPr>
                <w:rFonts w:ascii="Segoe UI" w:eastAsia="MS Mincho" w:hAnsi="Segoe UI" w:cs="Segoe UI"/>
                <w:color w:val="000000"/>
                <w:sz w:val="10"/>
                <w:szCs w:val="10"/>
              </w:rPr>
              <w:t>π</w:t>
            </w:r>
            <w:r w:rsidR="000E78A8" w:rsidRPr="000E78A8">
              <w:rPr>
                <w:rFonts w:ascii="Segoe UI" w:eastAsia="MS Mincho" w:hAnsi="Segoe UI" w:cs="Segoe UI"/>
                <w:color w:val="000000"/>
                <w:sz w:val="10"/>
                <w:szCs w:val="10"/>
              </w:rPr>
              <w:t>εριθώριο</w:t>
            </w:r>
            <w:r w:rsidR="000E78A8">
              <w:rPr>
                <w:rFonts w:ascii="Segoe UI" w:eastAsia="MS Mincho" w:hAnsi="Segoe UI" w:cs="Segoe UI"/>
                <w:color w:val="000000"/>
                <w:sz w:val="10"/>
                <w:szCs w:val="10"/>
              </w:rPr>
              <w:t xml:space="preserve"> υπολογίζεται επί του μηνιαίου </w:t>
            </w:r>
            <w:r w:rsidR="000E78A8" w:rsidRPr="000E78A8">
              <w:rPr>
                <w:rFonts w:ascii="Segoe UI" w:eastAsia="MS Mincho" w:hAnsi="Segoe UI" w:cs="Segoe UI"/>
                <w:color w:val="000000"/>
                <w:sz w:val="10"/>
                <w:szCs w:val="10"/>
              </w:rPr>
              <w:t>μέσο</w:t>
            </w:r>
            <w:r w:rsidR="000E78A8">
              <w:rPr>
                <w:rFonts w:ascii="Segoe UI" w:eastAsia="MS Mincho" w:hAnsi="Segoe UI" w:cs="Segoe UI"/>
                <w:color w:val="000000"/>
                <w:sz w:val="10"/>
                <w:szCs w:val="10"/>
              </w:rPr>
              <w:t>υ</w:t>
            </w:r>
            <w:r w:rsidR="000E78A8" w:rsidRPr="000E78A8">
              <w:rPr>
                <w:rFonts w:ascii="Segoe UI" w:eastAsia="MS Mincho" w:hAnsi="Segoe UI" w:cs="Segoe UI"/>
                <w:color w:val="000000"/>
                <w:sz w:val="10"/>
                <w:szCs w:val="10"/>
              </w:rPr>
              <w:t xml:space="preserve"> όρο</w:t>
            </w:r>
            <w:r w:rsidR="000E78A8">
              <w:rPr>
                <w:rFonts w:ascii="Segoe UI" w:eastAsia="MS Mincho" w:hAnsi="Segoe UI" w:cs="Segoe UI"/>
                <w:color w:val="000000"/>
                <w:sz w:val="10"/>
                <w:szCs w:val="10"/>
              </w:rPr>
              <w:t>υ</w:t>
            </w:r>
            <w:r w:rsidR="000E78A8" w:rsidRPr="000E78A8">
              <w:rPr>
                <w:rFonts w:ascii="Segoe UI" w:eastAsia="MS Mincho" w:hAnsi="Segoe UI" w:cs="Segoe UI"/>
                <w:color w:val="000000"/>
                <w:sz w:val="10"/>
                <w:szCs w:val="10"/>
              </w:rPr>
              <w:t xml:space="preserve"> των τοκοφόρων στοιχείων ενεργητικού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Καθαρό Επιτοκιακό Περιθώριο Προσαρμοσμένο στον Κίνδυνο </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Καθαρό επιτοκιακό περιθώριο μείον το κόστος πιστωτικού κινδύνου</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0E78A8">
              <w:rPr>
                <w:rFonts w:ascii="Segoe UI" w:eastAsia="MS Mincho" w:hAnsi="Segoe UI" w:cs="Segoe UI"/>
                <w:color w:val="000000"/>
                <w:sz w:val="10"/>
                <w:szCs w:val="10"/>
              </w:rPr>
              <w:t>Κατ</w:t>
            </w:r>
            <w:proofErr w:type="spellStart"/>
            <w:r w:rsidRPr="007A1AF5">
              <w:rPr>
                <w:rFonts w:ascii="Segoe UI" w:eastAsia="MS Mincho" w:hAnsi="Segoe UI" w:cs="Segoe UI"/>
                <w:color w:val="000000"/>
                <w:sz w:val="10"/>
                <w:szCs w:val="10"/>
                <w:lang w:val="en-GB"/>
              </w:rPr>
              <w:t>αθέσεις</w:t>
            </w:r>
            <w:proofErr w:type="spellEnd"/>
            <w:r w:rsidRPr="007A1AF5">
              <w:rPr>
                <w:rFonts w:ascii="Segoe UI" w:eastAsia="MS Mincho" w:hAnsi="Segoe UI" w:cs="Segoe UI"/>
                <w:color w:val="000000"/>
                <w:sz w:val="10"/>
                <w:szCs w:val="10"/>
                <w:lang w:val="en-GB"/>
              </w:rPr>
              <w:t xml:space="preserve"> </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Υποχρεώσεις προς πελάτες</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Κέρδη / (ζημίες) από συνεχιζόμενες δραστηριότητες</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380DAA">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Κέρδη / (ζημίες) από συνεχιζόμενες δραστηριότητες, εξαιρουμένου του κόστους </w:t>
            </w:r>
            <w:r w:rsidR="00FF5954" w:rsidRPr="007A1AF5">
              <w:rPr>
                <w:rFonts w:ascii="Segoe UI" w:eastAsia="MS Mincho" w:hAnsi="Segoe UI" w:cs="Segoe UI"/>
                <w:color w:val="000000"/>
                <w:sz w:val="10"/>
                <w:szCs w:val="10"/>
              </w:rPr>
              <w:t xml:space="preserve">του Προγράμματος Εθελουσίας Προσωπικού, του κόστους </w:t>
            </w:r>
            <w:r w:rsidRPr="007A1AF5">
              <w:rPr>
                <w:rFonts w:ascii="Segoe UI" w:eastAsia="MS Mincho" w:hAnsi="Segoe UI" w:cs="Segoe UI"/>
                <w:color w:val="000000"/>
                <w:sz w:val="10"/>
                <w:szCs w:val="10"/>
              </w:rPr>
              <w:t>αναδιάρθρωσης</w:t>
            </w:r>
            <w:r w:rsidR="00FF5954" w:rsidRPr="007A1AF5">
              <w:rPr>
                <w:rFonts w:ascii="Segoe UI" w:eastAsia="MS Mincho" w:hAnsi="Segoe UI" w:cs="Segoe UI"/>
                <w:color w:val="000000"/>
                <w:sz w:val="10"/>
                <w:szCs w:val="10"/>
              </w:rPr>
              <w:t xml:space="preserve">, </w:t>
            </w:r>
            <w:r w:rsidR="002E35E6" w:rsidRPr="002E35E6">
              <w:rPr>
                <w:rFonts w:ascii="Segoe UI" w:eastAsia="MS Mincho" w:hAnsi="Segoe UI" w:cs="Segoe UI"/>
                <w:color w:val="000000"/>
                <w:sz w:val="10"/>
                <w:szCs w:val="10"/>
              </w:rPr>
              <w:t>τη</w:t>
            </w:r>
            <w:r w:rsidR="002E35E6">
              <w:rPr>
                <w:rFonts w:ascii="Segoe UI" w:eastAsia="MS Mincho" w:hAnsi="Segoe UI" w:cs="Segoe UI"/>
                <w:color w:val="000000"/>
                <w:sz w:val="10"/>
                <w:szCs w:val="10"/>
              </w:rPr>
              <w:t>ς</w:t>
            </w:r>
            <w:r w:rsidR="002E35E6" w:rsidRPr="002E35E6">
              <w:rPr>
                <w:rFonts w:ascii="Segoe UI" w:eastAsia="MS Mincho" w:hAnsi="Segoe UI" w:cs="Segoe UI"/>
                <w:color w:val="000000"/>
                <w:sz w:val="10"/>
                <w:szCs w:val="10"/>
              </w:rPr>
              <w:t xml:space="preserve"> διακοπή</w:t>
            </w:r>
            <w:r w:rsidR="002E35E6">
              <w:rPr>
                <w:rFonts w:ascii="Segoe UI" w:eastAsia="MS Mincho" w:hAnsi="Segoe UI" w:cs="Segoe UI"/>
                <w:color w:val="000000"/>
                <w:sz w:val="10"/>
                <w:szCs w:val="10"/>
              </w:rPr>
              <w:t>ς</w:t>
            </w:r>
            <w:r w:rsidR="002E35E6" w:rsidRPr="002E35E6">
              <w:rPr>
                <w:rFonts w:ascii="Segoe UI" w:eastAsia="MS Mincho" w:hAnsi="Segoe UI" w:cs="Segoe UI"/>
                <w:color w:val="000000"/>
                <w:sz w:val="10"/>
                <w:szCs w:val="10"/>
              </w:rPr>
              <w:t xml:space="preserve"> μισθώσεων και λοιπ</w:t>
            </w:r>
            <w:r w:rsidR="002E35E6">
              <w:rPr>
                <w:rFonts w:ascii="Segoe UI" w:eastAsia="MS Mincho" w:hAnsi="Segoe UI" w:cs="Segoe UI"/>
                <w:color w:val="000000"/>
                <w:sz w:val="10"/>
                <w:szCs w:val="10"/>
              </w:rPr>
              <w:t>ών</w:t>
            </w:r>
            <w:r w:rsidR="002E35E6" w:rsidRPr="002E35E6">
              <w:rPr>
                <w:rFonts w:ascii="Segoe UI" w:eastAsia="MS Mincho" w:hAnsi="Segoe UI" w:cs="Segoe UI"/>
                <w:color w:val="000000"/>
                <w:sz w:val="10"/>
                <w:szCs w:val="10"/>
              </w:rPr>
              <w:t xml:space="preserve"> μη επαναλαμβανόμεν</w:t>
            </w:r>
            <w:r w:rsidR="002E35E6">
              <w:rPr>
                <w:rFonts w:ascii="Segoe UI" w:eastAsia="MS Mincho" w:hAnsi="Segoe UI" w:cs="Segoe UI"/>
                <w:color w:val="000000"/>
                <w:sz w:val="10"/>
                <w:szCs w:val="10"/>
              </w:rPr>
              <w:t>ων</w:t>
            </w:r>
            <w:r w:rsidR="002E35E6" w:rsidRPr="002E35E6">
              <w:rPr>
                <w:rFonts w:ascii="Segoe UI" w:eastAsia="MS Mincho" w:hAnsi="Segoe UI" w:cs="Segoe UI"/>
                <w:color w:val="000000"/>
                <w:sz w:val="10"/>
                <w:szCs w:val="10"/>
              </w:rPr>
              <w:t xml:space="preserve"> δαπ</w:t>
            </w:r>
            <w:r w:rsidR="002E35E6">
              <w:rPr>
                <w:rFonts w:ascii="Segoe UI" w:eastAsia="MS Mincho" w:hAnsi="Segoe UI" w:cs="Segoe UI"/>
                <w:color w:val="000000"/>
                <w:sz w:val="10"/>
                <w:szCs w:val="10"/>
              </w:rPr>
              <w:t>ανών,</w:t>
            </w:r>
            <w:r w:rsidR="002E35E6" w:rsidRPr="002E35E6">
              <w:rPr>
                <w:rFonts w:ascii="Segoe UI" w:eastAsia="MS Mincho" w:hAnsi="Segoe UI" w:cs="Segoe UI"/>
                <w:color w:val="000000"/>
                <w:sz w:val="10"/>
                <w:szCs w:val="10"/>
              </w:rPr>
              <w:t xml:space="preserve"> </w:t>
            </w:r>
            <w:r w:rsidR="00FF5954" w:rsidRPr="007A1AF5">
              <w:rPr>
                <w:rFonts w:ascii="Segoe UI" w:eastAsia="MS Mincho" w:hAnsi="Segoe UI" w:cs="Segoe UI"/>
                <w:color w:val="000000"/>
                <w:sz w:val="10"/>
                <w:szCs w:val="10"/>
              </w:rPr>
              <w:t>καθώς και της δαπάνης για το ΛΕΠΕΤΕ</w:t>
            </w:r>
            <w:r w:rsidRPr="007A1AF5">
              <w:rPr>
                <w:rFonts w:ascii="Segoe UI" w:eastAsia="MS Mincho" w:hAnsi="Segoe UI" w:cs="Segoe UI"/>
                <w:color w:val="000000"/>
                <w:sz w:val="10"/>
                <w:szCs w:val="10"/>
              </w:rPr>
              <w:t>.</w:t>
            </w:r>
            <w:r w:rsidR="003C52B0">
              <w:rPr>
                <w:rFonts w:ascii="Segoe UI" w:eastAsia="MS Mincho" w:hAnsi="Segoe UI" w:cs="Segoe UI"/>
                <w:color w:val="000000"/>
                <w:sz w:val="10"/>
                <w:szCs w:val="10"/>
              </w:rPr>
              <w:t xml:space="preserve"> Τ</w:t>
            </w:r>
            <w:r w:rsidRPr="007A1AF5">
              <w:rPr>
                <w:rFonts w:ascii="Segoe UI" w:eastAsia="MS Mincho" w:hAnsi="Segoe UI" w:cs="Segoe UI"/>
                <w:color w:val="000000"/>
                <w:sz w:val="10"/>
                <w:szCs w:val="10"/>
              </w:rPr>
              <w:t xml:space="preserve">α </w:t>
            </w:r>
            <w:r w:rsidR="00962693" w:rsidRPr="007A1AF5">
              <w:rPr>
                <w:rFonts w:ascii="Segoe UI" w:eastAsia="MS Mincho" w:hAnsi="Segoe UI" w:cs="Segoe UI"/>
                <w:color w:val="000000"/>
                <w:sz w:val="10"/>
                <w:szCs w:val="10"/>
              </w:rPr>
              <w:t>κέρδη / (ζημίες) από συνεχιζόμενες δραστηριότητες</w:t>
            </w:r>
            <w:r w:rsidRPr="007A1AF5">
              <w:rPr>
                <w:rFonts w:ascii="Segoe UI" w:eastAsia="MS Mincho" w:hAnsi="Segoe UI" w:cs="Segoe UI"/>
                <w:color w:val="000000"/>
                <w:sz w:val="10"/>
                <w:szCs w:val="10"/>
              </w:rPr>
              <w:t xml:space="preserve"> εξαιρούν </w:t>
            </w:r>
            <w:r w:rsidR="00E315B7">
              <w:rPr>
                <w:rFonts w:ascii="Segoe UI" w:eastAsia="MS Mincho" w:hAnsi="Segoe UI" w:cs="Segoe UI"/>
                <w:color w:val="000000"/>
                <w:sz w:val="10"/>
                <w:szCs w:val="10"/>
              </w:rPr>
              <w:t>τη δαπάνη για το ΛΕΠΕΤΕ (€1</w:t>
            </w:r>
            <w:r w:rsidR="001D36B9" w:rsidRPr="009F27D9">
              <w:rPr>
                <w:rFonts w:ascii="Segoe UI" w:eastAsia="MS Mincho" w:hAnsi="Segoe UI" w:cs="Segoe UI"/>
                <w:color w:val="000000"/>
                <w:sz w:val="10"/>
                <w:szCs w:val="10"/>
              </w:rPr>
              <w:t>9</w:t>
            </w:r>
            <w:r w:rsidR="00E315B7">
              <w:rPr>
                <w:rFonts w:ascii="Segoe UI" w:eastAsia="MS Mincho" w:hAnsi="Segoe UI" w:cs="Segoe UI"/>
                <w:color w:val="000000"/>
                <w:sz w:val="10"/>
                <w:szCs w:val="10"/>
              </w:rPr>
              <w:t xml:space="preserve"> εκατ.), </w:t>
            </w:r>
            <w:r w:rsidR="003C52B0">
              <w:rPr>
                <w:rFonts w:ascii="Segoe UI" w:eastAsia="MS Mincho" w:hAnsi="Segoe UI" w:cs="Segoe UI"/>
                <w:color w:val="000000"/>
                <w:sz w:val="10"/>
                <w:szCs w:val="10"/>
              </w:rPr>
              <w:t>το κ</w:t>
            </w:r>
            <w:r w:rsidR="003C52B0" w:rsidRPr="003C52B0">
              <w:rPr>
                <w:rFonts w:ascii="Segoe UI" w:eastAsia="MS Mincho" w:hAnsi="Segoe UI" w:cs="Segoe UI"/>
                <w:color w:val="000000"/>
                <w:sz w:val="10"/>
                <w:szCs w:val="10"/>
              </w:rPr>
              <w:t>όστος Εθελουσίας Εξόδου Προσωπικού (€90 εκατ.), κόστη αναδιάρθρωσης (€</w:t>
            </w:r>
            <w:r w:rsidR="00380DAA" w:rsidRPr="00380DAA">
              <w:rPr>
                <w:rFonts w:ascii="Segoe UI" w:eastAsia="MS Mincho" w:hAnsi="Segoe UI" w:cs="Segoe UI"/>
                <w:color w:val="000000"/>
                <w:sz w:val="10"/>
                <w:szCs w:val="10"/>
              </w:rPr>
              <w:t>4</w:t>
            </w:r>
            <w:r w:rsidR="003C52B0" w:rsidRPr="003C52B0">
              <w:rPr>
                <w:rFonts w:ascii="Segoe UI" w:eastAsia="MS Mincho" w:hAnsi="Segoe UI" w:cs="Segoe UI"/>
                <w:color w:val="000000"/>
                <w:sz w:val="10"/>
                <w:szCs w:val="10"/>
              </w:rPr>
              <w:t xml:space="preserve"> εκατ.) και λοιπές μη επαναλαμβανόμενες δαπάνες (€</w:t>
            </w:r>
            <w:r w:rsidR="00380DAA" w:rsidRPr="00380DAA">
              <w:rPr>
                <w:rFonts w:ascii="Segoe UI" w:eastAsia="MS Mincho" w:hAnsi="Segoe UI" w:cs="Segoe UI"/>
                <w:color w:val="000000"/>
                <w:sz w:val="10"/>
                <w:szCs w:val="10"/>
              </w:rPr>
              <w:t>5</w:t>
            </w:r>
            <w:r w:rsidR="003C52B0" w:rsidRPr="003C52B0">
              <w:rPr>
                <w:rFonts w:ascii="Segoe UI" w:eastAsia="MS Mincho" w:hAnsi="Segoe UI" w:cs="Segoe UI"/>
                <w:color w:val="000000"/>
                <w:sz w:val="10"/>
                <w:szCs w:val="10"/>
              </w:rPr>
              <w:t xml:space="preserve"> εκατ.) </w:t>
            </w:r>
            <w:r w:rsidR="00944E88" w:rsidRPr="00944E88">
              <w:rPr>
                <w:rFonts w:ascii="Segoe UI" w:eastAsia="MS Mincho" w:hAnsi="Segoe UI" w:cs="Segoe UI"/>
                <w:color w:val="000000"/>
                <w:sz w:val="10"/>
                <w:szCs w:val="10"/>
              </w:rPr>
              <w:t xml:space="preserve">για </w:t>
            </w:r>
            <w:r w:rsidR="003C52B0" w:rsidRPr="003C52B0">
              <w:rPr>
                <w:rFonts w:ascii="Segoe UI" w:eastAsia="MS Mincho" w:hAnsi="Segoe UI" w:cs="Segoe UI"/>
                <w:color w:val="000000"/>
                <w:sz w:val="10"/>
                <w:szCs w:val="10"/>
              </w:rPr>
              <w:t xml:space="preserve">το Α’ </w:t>
            </w:r>
            <w:r w:rsidR="001D36B9">
              <w:rPr>
                <w:rFonts w:ascii="Segoe UI" w:eastAsia="MS Mincho" w:hAnsi="Segoe UI" w:cs="Segoe UI"/>
                <w:color w:val="000000"/>
                <w:sz w:val="10"/>
                <w:szCs w:val="10"/>
              </w:rPr>
              <w:t>εξάμηνο</w:t>
            </w:r>
            <w:r w:rsidR="003C52B0" w:rsidRPr="003C52B0">
              <w:rPr>
                <w:rFonts w:ascii="Segoe UI" w:eastAsia="MS Mincho" w:hAnsi="Segoe UI" w:cs="Segoe UI"/>
                <w:color w:val="000000"/>
                <w:sz w:val="10"/>
                <w:szCs w:val="10"/>
              </w:rPr>
              <w:t xml:space="preserve"> 2020, </w:t>
            </w:r>
            <w:r w:rsidR="003C52B0">
              <w:rPr>
                <w:rFonts w:ascii="Segoe UI" w:eastAsia="MS Mincho" w:hAnsi="Segoe UI" w:cs="Segoe UI"/>
                <w:color w:val="000000"/>
                <w:sz w:val="10"/>
                <w:szCs w:val="10"/>
              </w:rPr>
              <w:t xml:space="preserve">καθώς και το </w:t>
            </w:r>
            <w:r w:rsidR="003C52B0" w:rsidRPr="003C52B0">
              <w:rPr>
                <w:rFonts w:ascii="Segoe UI" w:eastAsia="MS Mincho" w:hAnsi="Segoe UI" w:cs="Segoe UI"/>
                <w:color w:val="000000"/>
                <w:sz w:val="10"/>
                <w:szCs w:val="10"/>
              </w:rPr>
              <w:t>κόστος Εθελουσίας Εξόδου Προσωπικού (€94 εκατ.) και κόστη αναδιάρθρωσης (€</w:t>
            </w:r>
            <w:r w:rsidR="001D36B9">
              <w:rPr>
                <w:rFonts w:ascii="Segoe UI" w:eastAsia="MS Mincho" w:hAnsi="Segoe UI" w:cs="Segoe UI"/>
                <w:color w:val="000000"/>
                <w:sz w:val="10"/>
                <w:szCs w:val="10"/>
              </w:rPr>
              <w:t>11</w:t>
            </w:r>
            <w:r w:rsidR="003C52B0" w:rsidRPr="003C52B0">
              <w:rPr>
                <w:rFonts w:ascii="Segoe UI" w:eastAsia="MS Mincho" w:hAnsi="Segoe UI" w:cs="Segoe UI"/>
                <w:color w:val="000000"/>
                <w:sz w:val="10"/>
                <w:szCs w:val="10"/>
              </w:rPr>
              <w:t xml:space="preserve"> εκατ.) για το Α’ </w:t>
            </w:r>
            <w:r w:rsidR="001D36B9" w:rsidRPr="001D36B9">
              <w:rPr>
                <w:rFonts w:ascii="Segoe UI" w:eastAsia="MS Mincho" w:hAnsi="Segoe UI" w:cs="Segoe UI"/>
                <w:color w:val="000000"/>
                <w:sz w:val="10"/>
                <w:szCs w:val="10"/>
              </w:rPr>
              <w:t xml:space="preserve">εξάμηνο </w:t>
            </w:r>
            <w:r w:rsidR="003C52B0" w:rsidRPr="003C52B0">
              <w:rPr>
                <w:rFonts w:ascii="Segoe UI" w:eastAsia="MS Mincho" w:hAnsi="Segoe UI" w:cs="Segoe UI"/>
                <w:color w:val="000000"/>
                <w:sz w:val="10"/>
                <w:szCs w:val="10"/>
              </w:rPr>
              <w:t>201</w:t>
            </w:r>
            <w:r w:rsidR="003C52B0">
              <w:rPr>
                <w:rFonts w:ascii="Segoe UI" w:eastAsia="MS Mincho" w:hAnsi="Segoe UI" w:cs="Segoe UI"/>
                <w:color w:val="000000"/>
                <w:sz w:val="10"/>
                <w:szCs w:val="10"/>
              </w:rPr>
              <w:t>9</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Κέρδη προ Προβλέψεων</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43370F">
            <w:pPr>
              <w:rPr>
                <w:rFonts w:ascii="Segoe UI" w:eastAsia="MS Mincho" w:hAnsi="Segoe UI" w:cs="Segoe UI"/>
                <w:color w:val="000000"/>
                <w:sz w:val="10"/>
                <w:szCs w:val="10"/>
              </w:rPr>
            </w:pPr>
            <w:r w:rsidRPr="007A1AF5">
              <w:rPr>
                <w:rFonts w:ascii="Segoe UI" w:eastAsia="MS Mincho" w:hAnsi="Segoe UI" w:cs="Segoe UI"/>
                <w:color w:val="000000"/>
                <w:sz w:val="10"/>
                <w:szCs w:val="10"/>
              </w:rPr>
              <w:t>Καθαρά λειτουργικά έσοδα μείον λειτουργικά έξοδα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Κόστος πιστωτικού κινδύνου</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US"/>
              </w:rPr>
            </w:pPr>
            <w:r w:rsidRPr="007A1AF5">
              <w:rPr>
                <w:rFonts w:ascii="Segoe UI" w:eastAsia="MS Mincho" w:hAnsi="Segoe UI" w:cs="Segoe UI"/>
                <w:color w:val="000000"/>
                <w:sz w:val="10"/>
                <w:szCs w:val="10"/>
                <w:lang w:val="en-US"/>
              </w:rPr>
              <w:t>CoR</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8B285E">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Προβλέψεις απομείωσης για ΑΠΖ </w:t>
            </w:r>
            <w:r w:rsidR="00856E23" w:rsidRPr="007A1AF5">
              <w:rPr>
                <w:rFonts w:ascii="Segoe UI" w:eastAsia="MS Mincho" w:hAnsi="Segoe UI" w:cs="Segoe UI"/>
                <w:color w:val="000000"/>
                <w:sz w:val="10"/>
                <w:szCs w:val="10"/>
              </w:rPr>
              <w:t>για το έτος</w:t>
            </w:r>
            <w:r w:rsidRPr="007A1AF5">
              <w:rPr>
                <w:rFonts w:ascii="Segoe UI" w:eastAsia="MS Mincho" w:hAnsi="Segoe UI" w:cs="Segoe UI"/>
                <w:color w:val="000000"/>
                <w:sz w:val="10"/>
                <w:szCs w:val="10"/>
              </w:rPr>
              <w:t xml:space="preserve"> προς μέσο δανείων μετά </w:t>
            </w:r>
            <w:r w:rsidR="008B285E">
              <w:rPr>
                <w:rFonts w:ascii="Segoe UI" w:eastAsia="MS Mincho" w:hAnsi="Segoe UI" w:cs="Segoe UI"/>
                <w:color w:val="000000"/>
                <w:sz w:val="10"/>
                <w:szCs w:val="10"/>
              </w:rPr>
              <w:t>από προβλέψεις</w:t>
            </w:r>
            <w:r w:rsidRPr="007A1AF5">
              <w:rPr>
                <w:rFonts w:ascii="Segoe UI" w:eastAsia="MS Mincho" w:hAnsi="Segoe UI" w:cs="Segoe UI"/>
                <w:color w:val="000000"/>
                <w:sz w:val="10"/>
                <w:szCs w:val="10"/>
              </w:rPr>
              <w:t xml:space="preserve">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856E23">
            <w:pPr>
              <w:rPr>
                <w:rFonts w:ascii="Segoe UI" w:eastAsia="MS Mincho" w:hAnsi="Segoe UI" w:cs="Segoe UI"/>
                <w:color w:val="000000"/>
                <w:sz w:val="10"/>
                <w:szCs w:val="10"/>
              </w:rPr>
            </w:pPr>
            <w:r w:rsidRPr="007A1AF5">
              <w:rPr>
                <w:rFonts w:ascii="Segoe UI" w:eastAsia="MS Mincho" w:hAnsi="Segoe UI" w:cs="Segoe UI"/>
                <w:color w:val="000000"/>
                <w:sz w:val="10"/>
                <w:szCs w:val="10"/>
              </w:rPr>
              <w:t>Κόστος Προγράμματος Εθελουσίας</w:t>
            </w:r>
            <w:r w:rsidR="00856E23" w:rsidRPr="007A1AF5">
              <w:rPr>
                <w:rFonts w:ascii="Segoe UI" w:eastAsia="MS Mincho" w:hAnsi="Segoe UI" w:cs="Segoe UI"/>
                <w:color w:val="000000"/>
                <w:sz w:val="10"/>
                <w:szCs w:val="10"/>
              </w:rPr>
              <w:t xml:space="preserve">, κόστη αναδιάρθρωσης </w:t>
            </w:r>
            <w:r w:rsidRPr="007A1AF5">
              <w:rPr>
                <w:rFonts w:ascii="Segoe UI" w:eastAsia="MS Mincho" w:hAnsi="Segoe UI" w:cs="Segoe UI"/>
                <w:color w:val="000000"/>
                <w:sz w:val="10"/>
                <w:szCs w:val="10"/>
              </w:rPr>
              <w:t xml:space="preserve">και λοιπά </w:t>
            </w:r>
            <w:r w:rsidR="00856E23" w:rsidRPr="007A1AF5">
              <w:rPr>
                <w:rFonts w:ascii="Segoe UI" w:eastAsia="MS Mincho" w:hAnsi="Segoe UI" w:cs="Segoe UI"/>
                <w:color w:val="000000"/>
                <w:sz w:val="10"/>
                <w:szCs w:val="10"/>
              </w:rPr>
              <w:t xml:space="preserve">έκτακτα </w:t>
            </w:r>
            <w:r w:rsidRPr="007A1AF5">
              <w:rPr>
                <w:rFonts w:ascii="Segoe UI" w:eastAsia="MS Mincho" w:hAnsi="Segoe UI" w:cs="Segoe UI"/>
                <w:color w:val="000000"/>
                <w:sz w:val="10"/>
                <w:szCs w:val="10"/>
              </w:rPr>
              <w:t xml:space="preserve">έξοδα </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856E23" w:rsidP="00856E23">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Περιλαμβάνει </w:t>
            </w:r>
            <w:r w:rsidR="00CB691B" w:rsidRPr="007A1AF5">
              <w:rPr>
                <w:rFonts w:ascii="Segoe UI" w:eastAsia="MS Mincho" w:hAnsi="Segoe UI" w:cs="Segoe UI"/>
                <w:color w:val="000000"/>
                <w:sz w:val="10"/>
                <w:szCs w:val="10"/>
              </w:rPr>
              <w:t xml:space="preserve">το Κόστος Προγράμματος Εθελουσίας Εξόδου, </w:t>
            </w:r>
            <w:r w:rsidRPr="007A1AF5">
              <w:rPr>
                <w:rFonts w:ascii="Segoe UI" w:eastAsia="MS Mincho" w:hAnsi="Segoe UI" w:cs="Segoe UI"/>
                <w:color w:val="000000"/>
                <w:sz w:val="10"/>
                <w:szCs w:val="10"/>
              </w:rPr>
              <w:t xml:space="preserve">κόστη αναδιάρθρωσης, </w:t>
            </w:r>
            <w:r w:rsidR="00CB691B" w:rsidRPr="007A1AF5">
              <w:rPr>
                <w:rFonts w:ascii="Segoe UI" w:eastAsia="MS Mincho" w:hAnsi="Segoe UI" w:cs="Segoe UI"/>
                <w:color w:val="000000"/>
                <w:sz w:val="10"/>
                <w:szCs w:val="10"/>
              </w:rPr>
              <w:t xml:space="preserve">καθώς και </w:t>
            </w:r>
            <w:r w:rsidRPr="007A1AF5">
              <w:rPr>
                <w:rFonts w:ascii="Segoe UI" w:eastAsia="MS Mincho" w:hAnsi="Segoe UI" w:cs="Segoe UI"/>
                <w:color w:val="000000"/>
                <w:sz w:val="10"/>
                <w:szCs w:val="10"/>
              </w:rPr>
              <w:t xml:space="preserve">λοιπά μη επαναλαμβανόμενα </w:t>
            </w:r>
            <w:r w:rsidR="00CB691B" w:rsidRPr="007A1AF5">
              <w:rPr>
                <w:rFonts w:ascii="Segoe UI" w:eastAsia="MS Mincho" w:hAnsi="Segoe UI" w:cs="Segoe UI"/>
                <w:color w:val="000000"/>
                <w:sz w:val="10"/>
                <w:szCs w:val="10"/>
              </w:rPr>
              <w:t xml:space="preserve">έξοδα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Λειτουργικά ή Συνολικά Έσοδα</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Καθαρά λειτουργικά έσοδα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Λειτουργικά ή Συνολικά Έξοδα / Δαπάνες / Κόστη</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F00A38">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Δαπάνες προσωπικού + Γενικά διοικητικά έξοδα + Αποσβέσεις, </w:t>
            </w:r>
            <w:r w:rsidR="00A57383" w:rsidRPr="00A57383">
              <w:rPr>
                <w:rFonts w:ascii="Segoe UI" w:eastAsia="MS Mincho" w:hAnsi="Segoe UI" w:cs="Segoe UI"/>
                <w:color w:val="000000"/>
                <w:sz w:val="10"/>
                <w:szCs w:val="10"/>
              </w:rPr>
              <w:t>εξαιρουμένου του κόστους του Προγράμματος Εθελουσίας Προσωπικού, του κόστους αναδιάρθρωσης, της διακοπής μισθώσεων και λοιπών μη επαναλαμβανόμενων δαπανών, καθώς και της δαπάνης για το ΛΕΠΕΤΕ</w:t>
            </w:r>
            <w:r w:rsidR="0051651E" w:rsidRPr="007A1AF5">
              <w:rPr>
                <w:rFonts w:ascii="Segoe UI" w:eastAsia="MS Mincho" w:hAnsi="Segoe UI" w:cs="Segoe UI"/>
                <w:color w:val="000000"/>
                <w:sz w:val="10"/>
                <w:szCs w:val="10"/>
              </w:rPr>
              <w:t>.</w:t>
            </w:r>
            <w:r w:rsidR="008858E2">
              <w:rPr>
                <w:rFonts w:ascii="Segoe UI" w:eastAsia="MS Mincho" w:hAnsi="Segoe UI" w:cs="Segoe UI"/>
                <w:color w:val="000000"/>
                <w:sz w:val="10"/>
                <w:szCs w:val="10"/>
              </w:rPr>
              <w:t xml:space="preserve"> Τ</w:t>
            </w:r>
            <w:r w:rsidRPr="007A1AF5">
              <w:rPr>
                <w:rFonts w:ascii="Segoe UI" w:eastAsia="MS Mincho" w:hAnsi="Segoe UI" w:cs="Segoe UI"/>
                <w:color w:val="000000"/>
                <w:sz w:val="10"/>
                <w:szCs w:val="10"/>
              </w:rPr>
              <w:t xml:space="preserve">α </w:t>
            </w:r>
            <w:r w:rsidR="00D90299" w:rsidRPr="007A1AF5">
              <w:rPr>
                <w:rFonts w:ascii="Segoe UI" w:eastAsia="MS Mincho" w:hAnsi="Segoe UI" w:cs="Segoe UI"/>
                <w:color w:val="000000"/>
                <w:sz w:val="10"/>
                <w:szCs w:val="10"/>
              </w:rPr>
              <w:t>λειτουργικά έξοδα</w:t>
            </w:r>
            <w:r w:rsidRPr="007A1AF5">
              <w:rPr>
                <w:rFonts w:ascii="Segoe UI" w:eastAsia="MS Mincho" w:hAnsi="Segoe UI" w:cs="Segoe UI"/>
                <w:color w:val="000000"/>
                <w:sz w:val="10"/>
                <w:szCs w:val="10"/>
              </w:rPr>
              <w:t xml:space="preserve"> εξαιρούν </w:t>
            </w:r>
            <w:r w:rsidR="001D36B9" w:rsidRPr="001D36B9">
              <w:rPr>
                <w:rFonts w:ascii="Segoe UI" w:eastAsia="MS Mincho" w:hAnsi="Segoe UI" w:cs="Segoe UI"/>
                <w:color w:val="000000"/>
                <w:sz w:val="10"/>
                <w:szCs w:val="10"/>
              </w:rPr>
              <w:t xml:space="preserve">τη δαπάνη για το </w:t>
            </w:r>
            <w:r w:rsidR="00380DAA" w:rsidRPr="00380DAA">
              <w:rPr>
                <w:rFonts w:ascii="Segoe UI" w:eastAsia="MS Mincho" w:hAnsi="Segoe UI" w:cs="Segoe UI"/>
                <w:color w:val="000000"/>
                <w:sz w:val="10"/>
                <w:szCs w:val="10"/>
              </w:rPr>
              <w:t>ΛΕΠΕΤΕ (€19 εκατ.), το κόστος Εθελουσίας Εξόδου Προσωπικού (€90 εκατ.), κόστη αναδιάρθρωσης (€4 εκατ.) και λοιπές μη επαναλαμβανόμενες δαπάνες (€5 εκατ.) για το Α’ εξάμηνο 2020, καθώς και το κόστος Εθελουσίας Εξόδου Προσωπικού (€94 εκατ.) και κόστη αναδιάρθρωσης (€11 εκατ.) για το Α’ εξάμηνο 2019</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Λειτουργικά Κέρδη / (Ζημίες)</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Καθαρά λειτουργικά έσοδα μείον λειτουργικά έξοδα και προβλέψεις απομείωσης για ΑΠΖ</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Λοιπές προβλέψεις </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Προβλέψεις απομείωσης χρεογράφων + Λοιπές προβλέψεις και προβλέψεις απομείωσης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Μη Εξυπηρετούμενα Ανοίγματα (</w:t>
            </w:r>
            <w:r w:rsidRPr="007A1AF5">
              <w:rPr>
                <w:rFonts w:ascii="Segoe UI" w:eastAsia="MS Mincho" w:hAnsi="Segoe UI" w:cs="Segoe UI"/>
                <w:color w:val="000000"/>
                <w:sz w:val="10"/>
                <w:szCs w:val="10"/>
                <w:lang w:val="en-US"/>
              </w:rPr>
              <w:t>Non</w:t>
            </w:r>
            <w:r w:rsidRPr="007A1AF5">
              <w:rPr>
                <w:rFonts w:ascii="Segoe UI" w:eastAsia="MS Mincho" w:hAnsi="Segoe UI" w:cs="Segoe UI"/>
                <w:color w:val="000000"/>
                <w:sz w:val="10"/>
                <w:szCs w:val="10"/>
              </w:rPr>
              <w:t>-</w:t>
            </w:r>
            <w:r w:rsidRPr="007A1AF5">
              <w:rPr>
                <w:rFonts w:ascii="Segoe UI" w:eastAsia="MS Mincho" w:hAnsi="Segoe UI" w:cs="Segoe UI"/>
                <w:color w:val="000000"/>
                <w:sz w:val="10"/>
                <w:szCs w:val="10"/>
                <w:lang w:val="en-US"/>
              </w:rPr>
              <w:t>Performing</w:t>
            </w:r>
            <w:r w:rsidR="0084527B" w:rsidRPr="007A1AF5">
              <w:rPr>
                <w:rFonts w:ascii="Segoe UI" w:eastAsia="MS Mincho" w:hAnsi="Segoe UI" w:cs="Segoe UI"/>
                <w:color w:val="000000"/>
                <w:sz w:val="10"/>
                <w:szCs w:val="10"/>
              </w:rPr>
              <w:t xml:space="preserve"> </w:t>
            </w:r>
            <w:r w:rsidRPr="007A1AF5">
              <w:rPr>
                <w:rFonts w:ascii="Segoe UI" w:eastAsia="MS Mincho" w:hAnsi="Segoe UI" w:cs="Segoe UI"/>
                <w:color w:val="000000"/>
                <w:sz w:val="10"/>
                <w:szCs w:val="10"/>
                <w:lang w:val="en-US"/>
              </w:rPr>
              <w:t>Exposures</w:t>
            </w:r>
            <w:r w:rsidRPr="007A1AF5">
              <w:rPr>
                <w:rFonts w:ascii="Segoe UI" w:eastAsia="MS Mincho" w:hAnsi="Segoe UI" w:cs="Segoe UI"/>
                <w:color w:val="000000"/>
                <w:sz w:val="10"/>
                <w:szCs w:val="10"/>
              </w:rPr>
              <w:t xml:space="preserve"> – </w:t>
            </w:r>
            <w:r w:rsidRPr="007A1AF5">
              <w:rPr>
                <w:rFonts w:ascii="Segoe UI" w:eastAsia="MS Mincho" w:hAnsi="Segoe UI" w:cs="Segoe UI"/>
                <w:color w:val="000000"/>
                <w:sz w:val="10"/>
                <w:szCs w:val="10"/>
                <w:lang w:val="en-US"/>
              </w:rPr>
              <w:t>NPEs</w:t>
            </w:r>
            <w:r w:rsidRPr="007A1AF5">
              <w:rPr>
                <w:rFonts w:ascii="Segoe UI" w:eastAsia="MS Mincho" w:hAnsi="Segoe UI" w:cs="Segoe UI"/>
                <w:color w:val="000000"/>
                <w:sz w:val="10"/>
                <w:szCs w:val="10"/>
              </w:rPr>
              <w:t>)</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ΜΕΑ </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Σύμφωνα με τους ορισμούς της Ευρωπαϊκής Αρχής Τραπεζών (EBA, ITS Τechnical Standards) ως μη εξυπηρετούμενα ορίζονται τα ανοίγματα που πληρούν μία εκ ή και τις δύο κάτωθι προϋποθέσεις: (Ι) σημαντικά ανοίγματα με καθυστέρηση μεγαλύτερη των 90 ημερών και (</w:t>
            </w:r>
            <w:r w:rsidRPr="007A1AF5">
              <w:rPr>
                <w:rFonts w:ascii="Segoe UI" w:eastAsia="MS Mincho" w:hAnsi="Segoe UI" w:cs="Segoe UI"/>
                <w:color w:val="000000"/>
                <w:sz w:val="10"/>
                <w:szCs w:val="10"/>
                <w:lang w:val="en-US"/>
              </w:rPr>
              <w:t>ii</w:t>
            </w:r>
            <w:r w:rsidRPr="007A1AF5">
              <w:rPr>
                <w:rFonts w:ascii="Segoe UI" w:eastAsia="MS Mincho" w:hAnsi="Segoe UI" w:cs="Segoe UI"/>
                <w:color w:val="000000"/>
                <w:sz w:val="10"/>
                <w:szCs w:val="10"/>
              </w:rPr>
              <w:t>) Ανοίγματα αβέβαιης πλήρους είσπραξης χωρίς τη ρευστοποίηση εξασφάλισης, ανεξαρτήτως από την ύπαρξη ποσού σε καθυστέρηση ή ημερών καθυστέρησης</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Μη Εξυπηρετούμενα Δάνεια</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Δάνεια και απαιτήσεις κατά πελατών σε καθυστέρηση μεγαλύτερη των 90 ημερών</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sz w:val="10"/>
                <w:szCs w:val="10"/>
              </w:rPr>
            </w:pPr>
            <w:r w:rsidRPr="007A1AF5">
              <w:rPr>
                <w:rFonts w:ascii="Segoe UI" w:eastAsia="MS Mincho" w:hAnsi="Segoe UI" w:cs="Segoe UI"/>
                <w:sz w:val="10"/>
                <w:szCs w:val="10"/>
              </w:rPr>
              <w:t>Οργανική Αύξηση / (Μείωση) Μη Εξυπηρετούμενων Ανοιγμάτων</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sz w:val="10"/>
                <w:szCs w:val="10"/>
                <w:lang w:val="en-GB"/>
              </w:rPr>
            </w:pPr>
            <w:r w:rsidRPr="007A1AF5">
              <w:rPr>
                <w:rFonts w:ascii="Segoe UI" w:eastAsia="MS Mincho" w:hAnsi="Segoe UI" w:cs="Segoe UI"/>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BA3AAA" w:rsidP="00BA3AAA">
            <w:pPr>
              <w:rPr>
                <w:rFonts w:ascii="Segoe UI" w:eastAsia="MS Mincho" w:hAnsi="Segoe UI" w:cs="Segoe UI"/>
                <w:sz w:val="10"/>
                <w:szCs w:val="10"/>
              </w:rPr>
            </w:pPr>
            <w:r>
              <w:rPr>
                <w:rFonts w:ascii="Segoe UI" w:eastAsia="MS Mincho" w:hAnsi="Segoe UI" w:cs="Segoe UI"/>
                <w:sz w:val="10"/>
                <w:szCs w:val="10"/>
              </w:rPr>
              <w:t xml:space="preserve">Υπόλοιπο </w:t>
            </w:r>
            <w:r w:rsidR="00CB691B" w:rsidRPr="007A1AF5">
              <w:rPr>
                <w:rFonts w:ascii="Segoe UI" w:eastAsia="MS Mincho" w:hAnsi="Segoe UI" w:cs="Segoe UI"/>
                <w:sz w:val="10"/>
                <w:szCs w:val="10"/>
              </w:rPr>
              <w:t>Μη Εξυπηρετούμενων Ανοιγμάτων</w:t>
            </w:r>
            <w:r w:rsidR="00970BD9">
              <w:rPr>
                <w:rFonts w:ascii="Segoe UI" w:eastAsia="MS Mincho" w:hAnsi="Segoe UI" w:cs="Segoe UI"/>
                <w:sz w:val="10"/>
                <w:szCs w:val="10"/>
              </w:rPr>
              <w:t xml:space="preserve"> στο τέλος έτους / περιόδου</w:t>
            </w:r>
            <w:r w:rsidR="00CB691B" w:rsidRPr="007A1AF5">
              <w:rPr>
                <w:rFonts w:ascii="Segoe UI" w:eastAsia="MS Mincho" w:hAnsi="Segoe UI" w:cs="Segoe UI"/>
                <w:sz w:val="10"/>
                <w:szCs w:val="10"/>
              </w:rPr>
              <w:t xml:space="preserve">, προ πωλήσεων και διαγραφών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Οργανικά Έσοδα</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Καθαρά έσοδα από τόκους + καθαρά έσοδα από προμήθειες </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Οργανικά Κέρδη</w:t>
            </w:r>
            <w:r w:rsidR="00485162" w:rsidRPr="007A1AF5">
              <w:rPr>
                <w:rFonts w:ascii="Segoe UI" w:eastAsia="MS Mincho" w:hAnsi="Segoe UI" w:cs="Segoe UI"/>
                <w:color w:val="000000"/>
                <w:sz w:val="10"/>
                <w:szCs w:val="10"/>
              </w:rPr>
              <w:t xml:space="preserve"> ή Κερδοφορία</w:t>
            </w:r>
            <w:r w:rsidRPr="007A1AF5">
              <w:rPr>
                <w:rFonts w:ascii="Segoe UI" w:eastAsia="MS Mincho" w:hAnsi="Segoe UI" w:cs="Segoe UI"/>
                <w:color w:val="000000"/>
                <w:sz w:val="10"/>
                <w:szCs w:val="10"/>
              </w:rPr>
              <w:t xml:space="preserve"> / (Ζημίες)</w:t>
            </w:r>
            <w:r w:rsidR="00485162" w:rsidRPr="007A1AF5">
              <w:rPr>
                <w:rFonts w:ascii="Segoe UI" w:eastAsia="MS Mincho" w:hAnsi="Segoe UI" w:cs="Segoe UI"/>
                <w:color w:val="000000"/>
                <w:sz w:val="10"/>
                <w:szCs w:val="10"/>
              </w:rPr>
              <w:t xml:space="preserve"> / Αποτέλεσμα</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hideMark/>
          </w:tcPr>
          <w:p w:rsidR="00CB691B" w:rsidRPr="007A1AF5" w:rsidRDefault="00CB691B" w:rsidP="007B47DC">
            <w:pPr>
              <w:rPr>
                <w:rFonts w:ascii="Segoe UI" w:eastAsia="MS Mincho" w:hAnsi="Segoe UI" w:cs="Segoe UI"/>
                <w:color w:val="000000"/>
                <w:sz w:val="10"/>
                <w:szCs w:val="10"/>
              </w:rPr>
            </w:pPr>
            <w:r w:rsidRPr="007A1AF5">
              <w:rPr>
                <w:rFonts w:ascii="Segoe UI" w:eastAsia="MS Mincho" w:hAnsi="Segoe UI" w:cs="Segoe UI"/>
                <w:color w:val="000000"/>
                <w:sz w:val="10"/>
                <w:szCs w:val="10"/>
              </w:rPr>
              <w:t>Οργανικά έσοδα μείον λειτουργικά έξοδα και προβλέψεις απομείωσης για ΑΠΖ</w:t>
            </w:r>
            <w:r w:rsidR="003963E5" w:rsidRPr="007A1AF5">
              <w:rPr>
                <w:rFonts w:ascii="Segoe UI" w:eastAsia="MS Mincho" w:hAnsi="Segoe UI" w:cs="Segoe UI"/>
                <w:color w:val="000000"/>
                <w:sz w:val="10"/>
                <w:szCs w:val="10"/>
              </w:rPr>
              <w:t xml:space="preserve">, </w:t>
            </w:r>
            <w:r w:rsidR="00A57383" w:rsidRPr="00A57383">
              <w:rPr>
                <w:rFonts w:ascii="Segoe UI" w:eastAsia="MS Mincho" w:hAnsi="Segoe UI" w:cs="Segoe UI"/>
                <w:color w:val="000000"/>
                <w:sz w:val="10"/>
                <w:szCs w:val="10"/>
              </w:rPr>
              <w:t>εξαιρουμένου του κόστους του Προγράμματος Εθελουσίας Προσωπικού, του κόστους αναδιάρθρωσης, της διακοπής μισθώσεων και λοιπών μη επαναλαμβανόμενων δαπανών, καθώς και της δαπάνης για το ΛΕΠΕΤΕ</w:t>
            </w:r>
            <w:r w:rsidR="00675561" w:rsidRPr="007A1AF5">
              <w:rPr>
                <w:rFonts w:ascii="Segoe UI" w:eastAsia="MS Mincho" w:hAnsi="Segoe UI" w:cs="Segoe UI"/>
                <w:color w:val="000000"/>
                <w:sz w:val="10"/>
                <w:szCs w:val="10"/>
              </w:rPr>
              <w:t xml:space="preserve">. </w:t>
            </w:r>
            <w:r w:rsidR="00661628">
              <w:rPr>
                <w:rFonts w:ascii="Segoe UI" w:eastAsia="MS Mincho" w:hAnsi="Segoe UI" w:cs="Segoe UI"/>
                <w:color w:val="000000"/>
                <w:sz w:val="10"/>
                <w:szCs w:val="10"/>
              </w:rPr>
              <w:t>Τ</w:t>
            </w:r>
            <w:r w:rsidR="00675561" w:rsidRPr="007A1AF5">
              <w:rPr>
                <w:rFonts w:ascii="Segoe UI" w:eastAsia="MS Mincho" w:hAnsi="Segoe UI" w:cs="Segoe UI"/>
                <w:color w:val="000000"/>
                <w:sz w:val="10"/>
                <w:szCs w:val="10"/>
              </w:rPr>
              <w:t xml:space="preserve">α οργανικά κέρδη εξαιρούν </w:t>
            </w:r>
            <w:r w:rsidR="001D36B9" w:rsidRPr="001D36B9">
              <w:rPr>
                <w:rFonts w:ascii="Segoe UI" w:eastAsia="MS Mincho" w:hAnsi="Segoe UI" w:cs="Segoe UI"/>
                <w:color w:val="000000"/>
                <w:sz w:val="10"/>
                <w:szCs w:val="10"/>
              </w:rPr>
              <w:t xml:space="preserve">τη δαπάνη για το </w:t>
            </w:r>
            <w:r w:rsidR="00380DAA" w:rsidRPr="00380DAA">
              <w:rPr>
                <w:rFonts w:ascii="Segoe UI" w:eastAsia="MS Mincho" w:hAnsi="Segoe UI" w:cs="Segoe UI"/>
                <w:color w:val="000000"/>
                <w:sz w:val="10"/>
                <w:szCs w:val="10"/>
              </w:rPr>
              <w:t>ΛΕΠΕΤΕ (€19 εκατ.), το κόστος Εθελουσίας Εξόδου Προσωπικού (€90 εκατ.), κόστη αναδιάρθρωσης (€4 εκατ.) και λοιπές μη επαναλαμβανόμενες δαπάνες (€5 εκατ.) για το Α’ εξάμηνο 2020, καθώς και το κόστος Εθελουσίας Εξόδου Προσωπικού (€94 εκατ.) και κόστη αναδιάρθρωσης (€11 εκατ.) για το Α’ εξάμηνο 2019</w:t>
            </w:r>
            <w:r w:rsidR="007B47DC">
              <w:rPr>
                <w:rFonts w:ascii="Segoe UI" w:eastAsia="MS Mincho" w:hAnsi="Segoe UI" w:cs="Segoe UI"/>
                <w:color w:val="000000"/>
                <w:sz w:val="10"/>
                <w:szCs w:val="10"/>
              </w:rPr>
              <w:t xml:space="preserve">. Τα οργανικά κέρδη εξαιρούν επίσης </w:t>
            </w:r>
            <w:r w:rsidR="007B47DC" w:rsidRPr="007B47DC">
              <w:rPr>
                <w:rFonts w:ascii="Segoe UI" w:eastAsia="MS Mincho" w:hAnsi="Segoe UI" w:cs="Segoe UI"/>
                <w:color w:val="000000"/>
                <w:sz w:val="10"/>
                <w:szCs w:val="10"/>
              </w:rPr>
              <w:t>τις προβλέψεις απομείωσης ύψους €426 εκατ. σχετιζόμενες με την πανδημία του κορωνοϊού το Α’ εξάμηνο 2020 (€10 εκατ. το Β’ τρίμηνο 2020)</w:t>
            </w:r>
            <w:r w:rsidR="007B47DC">
              <w:rPr>
                <w:rFonts w:ascii="Segoe UI" w:eastAsia="MS Mincho" w:hAnsi="Segoe UI" w:cs="Segoe UI"/>
                <w:color w:val="000000"/>
                <w:sz w:val="10"/>
                <w:szCs w:val="10"/>
              </w:rPr>
              <w:t>.</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Οργανικά Κέρδη / (Ζημίες) προ Προβλέψεων</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290284">
            <w:pPr>
              <w:rPr>
                <w:rFonts w:ascii="Segoe UI" w:eastAsia="MS Mincho" w:hAnsi="Segoe UI" w:cs="Segoe UI"/>
                <w:color w:val="000000"/>
                <w:sz w:val="10"/>
                <w:szCs w:val="10"/>
              </w:rPr>
            </w:pPr>
            <w:r w:rsidRPr="007A1AF5">
              <w:rPr>
                <w:rFonts w:ascii="Segoe UI" w:eastAsia="MS Mincho" w:hAnsi="Segoe UI" w:cs="Segoe UI"/>
                <w:color w:val="000000"/>
                <w:sz w:val="10"/>
                <w:szCs w:val="10"/>
              </w:rPr>
              <w:t>Οργανικά</w:t>
            </w:r>
            <w:r w:rsidR="00290284">
              <w:rPr>
                <w:rFonts w:ascii="Segoe UI" w:eastAsia="MS Mincho" w:hAnsi="Segoe UI" w:cs="Segoe UI"/>
                <w:color w:val="000000"/>
                <w:sz w:val="10"/>
                <w:szCs w:val="10"/>
              </w:rPr>
              <w:t xml:space="preserve"> έσοδα μείον λειτουργικά έξοδα</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Προβλέψεις για επισφαλή δάνεια / απαιτήσεις </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Προβλέψεις απομείωσης για Αναμενόμενες Πιστωτικές Ζημιές (ΑΠΖ)</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Συνολικός Δείκτης Κεφαλαιακής Επάρκειας </w:t>
            </w:r>
          </w:p>
        </w:tc>
        <w:tc>
          <w:tcPr>
            <w:tcW w:w="1134"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auto"/>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Συνολικά εποπτικά κεφάλαια,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rPr>
              <w:t xml:space="preserve">Τοκοφόρα Στοιχεία </w:t>
            </w:r>
            <w:r w:rsidRPr="007A1AF5">
              <w:rPr>
                <w:rFonts w:ascii="Segoe UI" w:eastAsia="MS Mincho" w:hAnsi="Segoe UI" w:cs="Segoe UI"/>
                <w:color w:val="000000"/>
                <w:sz w:val="10"/>
                <w:szCs w:val="10"/>
                <w:lang w:val="en-GB"/>
              </w:rPr>
              <w:t>Ενεργητικού</w:t>
            </w:r>
          </w:p>
        </w:tc>
        <w:tc>
          <w:tcPr>
            <w:tcW w:w="1134"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4" w:space="0" w:color="D9D9D9"/>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Τα τοκοφόρα στοιχεία Ενεργητικού περιλαμβάνουν τα εν δυνάμει τοκοφόρα στοιχεία του ενεργητικού και αφορούν το ταμείο και διαθέσιμα σε Κεντρικές Τράπεζες, τις απαιτήσεις κατά χρηματοπιστωτικών ιδρυμάτων, τα χρηματοοικονομικά περιουσιακά στοιχεία στην εύλογη αξία (εξαιρουμένων των μετοχών και μεριδίων αμοιβαίων κεφαλαίων), δάνεια και απαιτήσεις κατά πελατών και χαρτοφυλάκιο επενδύσεων (εξαιρουμένων των μετοχών και μεριδίων αμοιβαίων κεφαλαίων)</w:t>
            </w:r>
          </w:p>
        </w:tc>
      </w:tr>
      <w:tr w:rsidR="00CB691B" w:rsidRPr="00CB691B" w:rsidTr="00CB691B">
        <w:trPr>
          <w:trHeight w:val="113"/>
        </w:trPr>
        <w:tc>
          <w:tcPr>
            <w:tcW w:w="1972"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 xml:space="preserve">Σταθμισμένα Στοιχεία Ενεργητικού  </w:t>
            </w:r>
          </w:p>
        </w:tc>
        <w:tc>
          <w:tcPr>
            <w:tcW w:w="1134"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lang w:val="en-GB"/>
              </w:rPr>
            </w:pPr>
            <w:r w:rsidRPr="007A1AF5">
              <w:rPr>
                <w:rFonts w:ascii="Segoe UI" w:eastAsia="MS Mincho" w:hAnsi="Segoe UI" w:cs="Segoe UI"/>
                <w:color w:val="000000"/>
                <w:sz w:val="10"/>
                <w:szCs w:val="10"/>
                <w:lang w:val="en-GB"/>
              </w:rPr>
              <w:t>--</w:t>
            </w:r>
          </w:p>
        </w:tc>
        <w:tc>
          <w:tcPr>
            <w:tcW w:w="7087" w:type="dxa"/>
            <w:tcBorders>
              <w:top w:val="single" w:sz="4" w:space="0" w:color="D9D9D9"/>
              <w:left w:val="nil"/>
              <w:bottom w:val="single" w:sz="4" w:space="0" w:color="D9D9D9"/>
              <w:right w:val="nil"/>
            </w:tcBorders>
            <w:shd w:val="clear" w:color="auto" w:fill="auto"/>
            <w:noWrap/>
            <w:vAlign w:val="center"/>
            <w:hideMark/>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Στοιχεία Ενεργητικού και στοιχεία εκτός Ισολογισμού, προσδιορισμένα βάσει σταθμισμένου κινδύνου, σύμφωνα με τον κανονισμό (</w:t>
            </w:r>
            <w:r w:rsidRPr="007A1AF5">
              <w:rPr>
                <w:rFonts w:ascii="Segoe UI" w:eastAsia="MS Mincho" w:hAnsi="Segoe UI" w:cs="Segoe UI"/>
                <w:color w:val="000000"/>
                <w:sz w:val="10"/>
                <w:szCs w:val="10"/>
                <w:lang w:val="en-GB"/>
              </w:rPr>
              <w:t>EU</w:t>
            </w:r>
            <w:r w:rsidRPr="007A1AF5">
              <w:rPr>
                <w:rFonts w:ascii="Segoe UI" w:eastAsia="MS Mincho" w:hAnsi="Segoe UI" w:cs="Segoe UI"/>
                <w:color w:val="000000"/>
                <w:sz w:val="10"/>
                <w:szCs w:val="10"/>
              </w:rPr>
              <w:t>) 575/2013</w:t>
            </w:r>
          </w:p>
        </w:tc>
      </w:tr>
      <w:tr w:rsidR="00CB691B" w:rsidRPr="00CB691B" w:rsidTr="001A5454">
        <w:trPr>
          <w:trHeight w:val="113"/>
        </w:trPr>
        <w:tc>
          <w:tcPr>
            <w:tcW w:w="1972" w:type="dxa"/>
            <w:tcBorders>
              <w:top w:val="single" w:sz="4" w:space="0" w:color="D9D9D9"/>
              <w:left w:val="nil"/>
              <w:bottom w:val="single" w:sz="12" w:space="0" w:color="007180"/>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 xml:space="preserve">Σωρευμένες προβλέψεις </w:t>
            </w:r>
          </w:p>
        </w:tc>
        <w:tc>
          <w:tcPr>
            <w:tcW w:w="1134" w:type="dxa"/>
            <w:tcBorders>
              <w:top w:val="single" w:sz="4" w:space="0" w:color="D9D9D9"/>
              <w:left w:val="nil"/>
              <w:bottom w:val="single" w:sz="12" w:space="0" w:color="007180"/>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w:t>
            </w:r>
          </w:p>
        </w:tc>
        <w:tc>
          <w:tcPr>
            <w:tcW w:w="7087" w:type="dxa"/>
            <w:tcBorders>
              <w:top w:val="single" w:sz="4" w:space="0" w:color="D9D9D9"/>
              <w:left w:val="nil"/>
              <w:bottom w:val="single" w:sz="12" w:space="0" w:color="007180"/>
              <w:right w:val="nil"/>
            </w:tcBorders>
            <w:shd w:val="clear" w:color="auto" w:fill="F2F2F2" w:themeFill="background1" w:themeFillShade="F2"/>
            <w:noWrap/>
            <w:vAlign w:val="center"/>
          </w:tcPr>
          <w:p w:rsidR="00CB691B" w:rsidRPr="007A1AF5" w:rsidRDefault="00CB691B" w:rsidP="00CB691B">
            <w:pPr>
              <w:rPr>
                <w:rFonts w:ascii="Segoe UI" w:eastAsia="MS Mincho" w:hAnsi="Segoe UI" w:cs="Segoe UI"/>
                <w:color w:val="000000"/>
                <w:sz w:val="10"/>
                <w:szCs w:val="10"/>
              </w:rPr>
            </w:pPr>
            <w:r w:rsidRPr="007A1AF5">
              <w:rPr>
                <w:rFonts w:ascii="Segoe UI" w:eastAsia="MS Mincho" w:hAnsi="Segoe UI" w:cs="Segoe UI"/>
                <w:color w:val="000000"/>
                <w:sz w:val="10"/>
                <w:szCs w:val="10"/>
              </w:rPr>
              <w:t>Πρόβλεψη ΑΠΖ δανείων και απαιτήσεων κατά πελατών</w:t>
            </w:r>
          </w:p>
        </w:tc>
      </w:tr>
    </w:tbl>
    <w:p w:rsidR="008146D0" w:rsidRPr="00F04303" w:rsidRDefault="008146D0" w:rsidP="00E55AED">
      <w:pPr>
        <w:rPr>
          <w:rFonts w:ascii="Segoe UI" w:hAnsi="Segoe UI" w:cs="Segoe UI"/>
          <w:sz w:val="4"/>
          <w:szCs w:val="20"/>
          <w:lang w:eastAsia="el-GR"/>
        </w:rPr>
        <w:sectPr w:rsidR="008146D0" w:rsidRPr="00F04303" w:rsidSect="008D7AFE">
          <w:headerReference w:type="even" r:id="rId15"/>
          <w:headerReference w:type="default" r:id="rId16"/>
          <w:footerReference w:type="even" r:id="rId17"/>
          <w:footerReference w:type="default" r:id="rId18"/>
          <w:headerReference w:type="first" r:id="rId19"/>
          <w:footerReference w:type="first" r:id="rId20"/>
          <w:type w:val="continuous"/>
          <w:pgSz w:w="11900" w:h="16840"/>
          <w:pgMar w:top="993" w:right="851" w:bottom="1134" w:left="851" w:header="283" w:footer="0" w:gutter="0"/>
          <w:pgBorders w:offsetFrom="page">
            <w:bottom w:val="single" w:sz="12" w:space="24" w:color="FFC000"/>
          </w:pgBorders>
          <w:cols w:space="292"/>
          <w:docGrid w:linePitch="360"/>
        </w:sectPr>
      </w:pPr>
    </w:p>
    <w:p w:rsidR="00E55AED" w:rsidRPr="003F566B" w:rsidRDefault="003F566B" w:rsidP="00E55AED">
      <w:pPr>
        <w:spacing w:after="160"/>
        <w:jc w:val="both"/>
        <w:rPr>
          <w:rFonts w:ascii="Segoe UI" w:hAnsi="Segoe UI" w:cs="Segoe UI"/>
          <w:b/>
          <w:sz w:val="18"/>
        </w:rPr>
      </w:pPr>
      <w:r w:rsidRPr="003F566B">
        <w:rPr>
          <w:rFonts w:ascii="Segoe UI" w:hAnsi="Segoe UI" w:cs="Segoe UI"/>
          <w:b/>
          <w:sz w:val="18"/>
        </w:rPr>
        <w:lastRenderedPageBreak/>
        <w:t>ΑΠΟΠΟΙΗΣΗΣ ΕΥΘΥΝΗΣ</w:t>
      </w:r>
    </w:p>
    <w:p w:rsidR="003F566B" w:rsidRPr="00AC6374" w:rsidRDefault="003F566B" w:rsidP="003F566B">
      <w:pPr>
        <w:spacing w:after="160" w:line="276" w:lineRule="auto"/>
        <w:jc w:val="both"/>
        <w:rPr>
          <w:rFonts w:ascii="Segoe UI" w:eastAsia="MS Mincho" w:hAnsi="Segoe UI" w:cs="Segoe UI"/>
          <w:sz w:val="13"/>
          <w:szCs w:val="13"/>
          <w:highlight w:val="yellow"/>
        </w:rPr>
      </w:pPr>
      <w:r w:rsidRPr="00AC6374">
        <w:rPr>
          <w:rFonts w:ascii="Segoe UI" w:eastAsia="MS Mincho" w:hAnsi="Segoe UI" w:cs="Segoe UI"/>
          <w:sz w:val="13"/>
          <w:szCs w:val="13"/>
        </w:rPr>
        <w:t xml:space="preserve">Οι πληροφορίες, οι δηλώσεις και οι γνώμες που παρατίθενται στο παρών Δελτίο Τύπου Αποτελεσμάτων </w:t>
      </w:r>
      <w:r w:rsidR="00CD6E7B">
        <w:rPr>
          <w:rFonts w:ascii="Segoe UI" w:eastAsia="MS Mincho" w:hAnsi="Segoe UI" w:cs="Segoe UI"/>
          <w:sz w:val="13"/>
          <w:szCs w:val="13"/>
        </w:rPr>
        <w:t>Β</w:t>
      </w:r>
      <w:r w:rsidR="00C601D1" w:rsidRPr="00C601D1">
        <w:rPr>
          <w:rFonts w:ascii="Segoe UI" w:eastAsia="MS Mincho" w:hAnsi="Segoe UI" w:cs="Segoe UI"/>
          <w:sz w:val="13"/>
          <w:szCs w:val="13"/>
        </w:rPr>
        <w:t xml:space="preserve">’ τριμήνου 2020 </w:t>
      </w:r>
      <w:r w:rsidRPr="00AC6374">
        <w:rPr>
          <w:rFonts w:ascii="Segoe UI" w:eastAsia="MS Mincho" w:hAnsi="Segoe UI" w:cs="Segoe UI"/>
          <w:sz w:val="13"/>
          <w:szCs w:val="13"/>
        </w:rPr>
        <w:t>και η συνοδευτική συζήτηση (το «Δελτίο Τύπου») έχουν παρασχεθεί από την Εθνική Τράπεζα της Ελλάδας Α.Ε. (η «Τράπεζα») (μαζί με τις ενοποιούμενες θυγατρικές της (</w:t>
      </w:r>
      <w:r w:rsidRPr="00AC6374">
        <w:rPr>
          <w:rFonts w:ascii="Segoe UI" w:eastAsia="MS Mincho" w:hAnsi="Segoe UI" w:cs="Segoe UI"/>
          <w:sz w:val="13"/>
          <w:szCs w:val="13"/>
          <w:lang w:val="en-US"/>
        </w:rPr>
        <w:t>o</w:t>
      </w:r>
      <w:r w:rsidRPr="00AC6374">
        <w:rPr>
          <w:rFonts w:ascii="Segoe UI" w:eastAsia="MS Mincho" w:hAnsi="Segoe UI" w:cs="Segoe UI"/>
          <w:sz w:val="13"/>
          <w:szCs w:val="13"/>
        </w:rPr>
        <w:t xml:space="preserve"> «Όμιλος»). Εξυπηρετούν αποκλειστικά ενημερωτικούς σκοπούς και δεν θα πρέπει να θεωρούνται ως συμβουλή ή σύσταση προς τους επενδυτές ή τους δυνητικούς επενδυτές σε σχέση με την κατοχή, την αγορά ή την πώληση κινητών αξιών ή άλλων χρηματοπιστωτικών προϊόντων ή μέσων, και δεν λαμβάνουν υπόψη συγκεκριμένους επενδυτικούς στόχους, οικονομική κατάσταση ή ανάγκες. Δεν συνιστούν έρευνα στον τομέα των επενδύσεων, επιβεβαίωση συναλλαγής ή για προσφορά ή πρόσκληση για αγορά/πώληση οποιωνδήποτε χρηματοπιστωτικών μέσων. </w:t>
      </w:r>
    </w:p>
    <w:p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Ακρίβεια Πληροφοριών και Περιορισμός Ευθύνης</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Μολονότι έχει ληφθεί εύλογη επιμέλεια για να διασφαλιστεί ότι το περιεχόμενό του Δελτίου Τύπου είναι αληθές και ακριβές, δεν παρέχονται δηλώσεις ή εγγυήσεις, ρητές ή σιωπηρές, όσον αφορά την ακρίβεια ή την πληρότητα των πληροφοριών που περιλαμβάνονται στο Δελτίο Τύπου. Στον μέγιστο βαθμό που επιτρέπεται από το νόμο, σε καμία περίπτωση η Τράπεζα, ή οποιαδήποτε από τις θυγατρικές της, οι μέτοχοι, οι συνδεδεμένες εταιρείες, οι εκπρόσωποι, οι διευθυντές, τα στελέχη, οι υπάλληλοι, οι σύμβουλοι ή οι αντιπρόσωποι δεν ευθύνονται για οποιαδήποτε άμεση, έμμεση ή επακόλουθη ζημία ή διαφυγόν κέρδος που τυχόν θα προκύψει από τη χρήση του Δελτίου Τύπου, το περιεχόμενό του (συμπεριλαμβανομένων των εσωτερικών οικονομικών μοντέλων), τις παραλείψεις της, την εξάρτηση από τις πληροφορίες που περιέχονται σε αυτό, ή τις απόψεις που διατυπώνονται σε σχέση με αυτό ή άλλως που προκύπτουν σε σχέση με αυτό. Οι πληροφορίες που εμπεριέχονται στο Δελτίο Τύπου δεν έχουν επαληθευτεί από ανεξάρτητο τρίτο μέρος.</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 xml:space="preserve">Οι παραλήπτες του Δελτίου Τύπου δεν θα πρέπει να ερμηνεύσουν το περιεχόμενό του, ή οποιαδήποτε προηγούμενη ή μεταγενέστερη επικοινωνία από ή με την Τράπεζα ή τους εκπροσώπους της, ως χρηματοοικονομική, επενδυτική, νομική, φορολογική, επιχειρηματική ή άλλη επαγγελματική συμβουλή. Επιπρόσθετα, το Δελτίο Τύπου δεν θεωρείται ότι είναι εξαντλητικό ή περιέχει όλες τις πληροφορίες που ενδεχομένως απαιτούνται για την πλήρη ανάλυση της Τράπεζας. Οι παραλήπτες του Δελτίου Τύπου θα πρέπει να απευθύνονται στους δικούς τους συμβούλους καθώς και να πραγματοποιούν έκαστος τις δικές τους αξιολογήσεις σε σχέση με την Τράπεζα και την καταλληλότητα και την επάρκεια των πληροφοριών. </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Το Δελτίο Τύπου περιλαμβάνει αναφορές σε συγκεκριμένα χρηματοοικονομικά μεγέθη, τα οποία δεν ορίζονται από τα ΔΠΧΑ. Τα εν λόγω μεγέθη παρουσιάζονται στην ενότητα «Ορισμός των χρηματοοικονομικών στοιχείων και των δεικτών που χρησιμοποιήθηκαν» (“Definition of financial data, ratios used and alternative performance measures”) και ενδέχεται να μην είναι συγκρίσιμα με εκείνα έτερων πιστωτικών ιδρυμάτων. Η αναφορά στα εν λόγω μεγέθη, τα οποία δεν ορίζονται από τα ΔΠΧΑ, θα πρέπει να λαμβάνει υπόψη και τα χρηματοοικονομικά μεγέθη κατά τα ΔΠΧΑ, χωρίς να θεωρείται ωστόσο ότι υποκαθιστούν καθ’ οποιονδήποτε τρόπο τα αποτελέσματα που παρουσιάζονται σύμφωνα με τα ΔΠΧΑ.</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 xml:space="preserve">Λόγω στρογγυλοποίησης, τα σύνολα των αριθμών που παρουσιάζονται στο σύνολο του Δελτίου Τύπου ενδέχεται να μην αθροίζονται στο ακέραιο και τα ποσοστά ενδέχεται να μην αντικατοπτρίζουν με ακρίβεια τις απόλυτες τιμές. </w:t>
      </w:r>
    </w:p>
    <w:p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Δηλώσεις σχετικά με το μέλλον (Forward Looking Statements)</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Το Δελτίο Τύπου περιέχει δηλώσεις σχετικά με το μέλλον (forward-looking statements) που αφορούν την πρόθεση της Διοίκησης, τις πεποιθήσεις ή τις σημερινές προσδοκίες σχετικά, μεταξύ άλλων, με τις δραστηριότητες και τις λειτουργίες της Τράπεζας, τις συνθήκες της αγοράς, τα αποτελέσματα της λειτουργίας και τη χρηματοοικονομική κατάσταση, την κεφαλαιακή επάρκεια, τις πρακτικές διαχείρισης κινδύνων, τη ρευστότητα, τις προοπτικές, την ανάπτυξη και τις στρατηγικές («δηλώσεις σχετικά με το μέλλον»). Οι δηλώσεις σχετικά με το μέλλον αφορούν μελλοντικές περιστάσεις και αποτελέσματα και άλλες δηλώσεις που δεν αποτελούν ιστορικά γεγονότα και ορισμένες φορές προσδιορίζονται από τους όρους «ενδεχομένως», «θα», «πιστεύει», «αναμένει», «προβλέπει», «σκοπεύει», «προβάλει», «σχεδιάζει», «εκτιμά», «στοχεύει», «διαβλέπει», «προσδοκά», «στοχοθετεί», «θα επιθυμούσε», «θα μπορούσε» ή παρόμοιες εκφράσεις ή τα αρνητικά αυτών.</w:t>
      </w:r>
    </w:p>
    <w:p w:rsidR="003B64BD" w:rsidRPr="00AC6374" w:rsidRDefault="003B64BD" w:rsidP="003B64BD">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Οι δηλώσεις σχετικά με το μέλλον αντικατοπτρίζουν τις γνώσεις και τις πληροφορίες που είναι διαθέσιμες κατά την ημερομηνία του Δελτίου Τύπου και υπόκεινται σε εγγενείς αβεβαιότητες και σε ποικίλες παραδοχές, είτε αυτές αναφέρονται ρητά στο Δελτίο Τύπου είτε όχι. Μολονότι οι δηλώσεις σχετικά με το μέλλον που περιλαμβάνονται στο Δελτίο Τύπου βασίζονται σε, κατά την πεποίθηση της Διοίκησης της Τράπεζας, λογικές παραδοχές, δεδομένου ότι οι παραδοχές αυτές υπόκεινται εγγενώς σε σημαντικές αβεβαιότητες και αλληλεξαρτήσεις που είναι δύσκολο ή αδύνατο να προβλεφθούν και κείνται εκτός του ελέγχου της Τράπεζας, δεν μπορεί να παρασχεθεί διαβεβαίωση ότι η Τράπεζα θα επιτύχει ή θα εκπληρώσει αυτές τις προσδοκίες, πεποιθήσεις ή προβλέψεις. Ειδικότερα, η εξάπλωση του ιού Cοvid</w:t>
      </w:r>
      <w:r w:rsidR="00D27437" w:rsidRPr="00A44922">
        <w:rPr>
          <w:rFonts w:ascii="Segoe UI" w:eastAsia="MS Mincho" w:hAnsi="Segoe UI" w:cs="Segoe UI"/>
          <w:sz w:val="13"/>
          <w:szCs w:val="13"/>
        </w:rPr>
        <w:t>-</w:t>
      </w:r>
      <w:r w:rsidRPr="00AC6374">
        <w:rPr>
          <w:rFonts w:ascii="Segoe UI" w:eastAsia="MS Mincho" w:hAnsi="Segoe UI" w:cs="Segoe UI"/>
          <w:sz w:val="13"/>
          <w:szCs w:val="13"/>
        </w:rPr>
        <w:t>19, και το πιο σημαντικό, η ταχεία εξάπλωση της πανδημίας σε παγκόσμιο επίπεδο, αναμένεται τώρα να επηρεάσει αρνητικά την οικονομική δραστηριότητα σε παγκόσμιο επίπεδο. Η εξέλιξη της νόσου και ο οικονομικός της αντίκτυπος παραμένουν εξαιρετικά αβέβαια. Ως εκ τούτου, η εξάπλωση αυτή αποτελεί έναν άλλο παράγοντα που θα μπορούσε να προκαλέσει σημαντικές διαφορές μεταξύ των πραγματικών αποτελεσμάτων και εκείνων που περιλαμβάνονται στις δηλώσεις σχετικά με το μέλλον. Οι δηλώσεις σχετικά με το μέλλον παρέχονται μόνο για επεξηγηματικούς σκοπούς και δεν προορίζονται και δεν πρέπει να θεωρούνται ως εγγύηση, διαβεβαίωση, πρόβλεψη ή οριστική δήλωση πραγματικών γεγονότων ή πιθανοτήτων.</w:t>
      </w:r>
    </w:p>
    <w:p w:rsidR="003F566B" w:rsidRPr="00AC6374" w:rsidRDefault="003B64BD" w:rsidP="003B64BD">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Τα πραγματικά αποτελέσματα της Τράπεζας ενδέχεται να διαφέρουν σημαντικά από τα αναφερόμενα στις δηλώσεις σχετικά με το μέλλον. Ορισμένοι σημαντικοί παράγοντες που θα μπορούσαν να διαφοροποιήσουν τα πραγματικά αποτελέσματα από τα αναφερόμενα στις δηλώσεις σχετικά με το μέλλον θα μπορούσαν να περιλαμβάνουν, μεταξύ άλλων, αλλαγές στις εγχώριες και ξένες επιχειρήσεις, στην αγορά, σε χρηματοοικονομικές, πολιτικές και νομικές συνθήκες, συμπεριλαμβανομένων των ρυθμιστικών αλλαγών του κλάδου, δυσμενείς αποφάσεις από εγχώριες ή διεθνείς ρυθμιστικές και εποπτικές αρχές, τον αντίκτυπο της μείωσης του μεγέθους της αγοράς, την ικανότητα διατήρησης των αξιολογήσεων πιστοληπτικής ικανότητας, τους κεφαλαιακούς πόρους και τις κεφαλαιακές δαπάνες, τις δυσμενείς δικαστικές εκβάσεις, την επίδραση του Covid19 και την επίδραση τούτων στη χρηματοοικονομική κατάσταση του Ομίλου.</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Δεν μπορεί να υπάρξει διαβεβαίωση ότι οιεσδήποτε δηλώσεις σχετικά με το μέλλον θα πραγματοποιηθούν, και η Τράπεζα ρητά αποποιείται οποιαδήποτε υποχρέωση ή δέσμευση για την επικαιροποίηση ή αναθεώρηση πληροφοριών σε οποιαδήποτε δήλωση σχετικά με το μέλλον ώστε να αντικατοπτρίζει τυχόν αλλαγές στις προσδοκίες της Τράπεζας σε σχέση με αυτές ή τυχόν αλλαγές στα γεγονότα, τις συνθήκες ή τις περιστάσεις στις οποίες βασίζεται οποιαδήποτε δήλωση σχετικά με το μέλλον. Ως εκ τούτου, εφιστάται η προσοχή του αναγνώστη να μη βασίζεται υπέρ το δέον στις δηλώσεις σχετικά με το μέλλον.</w:t>
      </w:r>
    </w:p>
    <w:p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Μη επικαιροποίηση</w:t>
      </w:r>
    </w:p>
    <w:p w:rsidR="003F566B" w:rsidRPr="00AC6374" w:rsidRDefault="003F566B" w:rsidP="003F566B">
      <w:pPr>
        <w:spacing w:after="160" w:line="276" w:lineRule="auto"/>
        <w:jc w:val="both"/>
        <w:rPr>
          <w:rFonts w:ascii="Segoe UI" w:eastAsia="MS Mincho" w:hAnsi="Segoe UI" w:cs="Segoe UI"/>
          <w:sz w:val="13"/>
          <w:szCs w:val="13"/>
        </w:rPr>
      </w:pPr>
      <w:r w:rsidRPr="00AC6374">
        <w:rPr>
          <w:rFonts w:ascii="Segoe UI" w:eastAsia="MS Mincho" w:hAnsi="Segoe UI" w:cs="Segoe UI"/>
          <w:sz w:val="13"/>
          <w:szCs w:val="13"/>
        </w:rPr>
        <w:t>Εκτός εάν ορίζεται διαφορετικά, όλες οι πληροφορίες στο Δελτίο Τύπου φέρουν ημερομηνία αναφοράς την ημερομηνία του Δελτίου Τύπου. Ούτε η παράδοση του Δελτίου Τύπου, ούτε οποιαδήποτε άλλη επικοινωνία με τους παραλήπτες του, υπό οποιαδήποτε συνθήκη, θα πρέπει να οδηγεί στο συμπέρασμα ότι δεν έχει υπάρξει καμία αλλαγή στα θέματα της Τράπεζας από την ημερομηνία αυτή. Εκτός εάν αναφέρεται διαφορετικά στο παρόν, η Τράπεζα δεν σκοπεύει, ούτε θα αναλάβει υποχρέωση, να επικαιροποιήσει το Δελτίο Τύπου ή οποιαδήποτε από τις πληροφορίες που περιλαμβάνονται σε αυτό.</w:t>
      </w:r>
    </w:p>
    <w:p w:rsidR="000765E8" w:rsidRPr="00AC6374" w:rsidRDefault="003F566B" w:rsidP="003F566B">
      <w:pPr>
        <w:spacing w:after="160" w:line="276" w:lineRule="auto"/>
        <w:jc w:val="both"/>
        <w:rPr>
          <w:rFonts w:ascii="Segoe UI" w:hAnsi="Segoe UI" w:cs="Segoe UI"/>
          <w:sz w:val="13"/>
          <w:szCs w:val="13"/>
        </w:rPr>
      </w:pPr>
      <w:r w:rsidRPr="00AC6374">
        <w:rPr>
          <w:rFonts w:ascii="Segoe UI" w:eastAsia="MS Mincho" w:hAnsi="Segoe UI" w:cs="Segoe UI"/>
          <w:sz w:val="13"/>
          <w:szCs w:val="13"/>
        </w:rPr>
        <w:t>Το Δελτίο Τύπου υπόκειται στο ελληνικό δίκαιο, και κάθε διαφορά που ανακύπτει σε σχέση με το Δελτίο Τύπου υπόκειται στην αποκλειστική δικαιοδοσία των Δικαστηρίων της Αθήνας.</w:t>
      </w:r>
      <w:r w:rsidR="00104FC2" w:rsidRPr="00AC6374">
        <w:rPr>
          <w:rFonts w:ascii="Segoe UI" w:eastAsia="MS Mincho" w:hAnsi="Segoe UI" w:cs="Segoe UI"/>
          <w:sz w:val="13"/>
          <w:szCs w:val="13"/>
        </w:rPr>
        <w:t xml:space="preserve"> </w:t>
      </w:r>
    </w:p>
    <w:sectPr w:rsidR="000765E8" w:rsidRPr="00AC6374" w:rsidSect="00D56B7A">
      <w:pgSz w:w="11900" w:h="16840"/>
      <w:pgMar w:top="1248" w:right="851" w:bottom="1134" w:left="851" w:header="283" w:footer="283" w:gutter="0"/>
      <w:pgBorders w:offsetFrom="page">
        <w:bottom w:val="single" w:sz="12" w:space="24" w:color="FFC000"/>
      </w:pgBorders>
      <w:cols w:space="29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1F6" w:rsidRDefault="00D541F6" w:rsidP="005D44F6">
      <w:r>
        <w:separator/>
      </w:r>
    </w:p>
  </w:endnote>
  <w:endnote w:type="continuationSeparator" w:id="0">
    <w:p w:rsidR="00D541F6" w:rsidRDefault="00D541F6" w:rsidP="005D4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1A" w:rsidRDefault="003B13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632402"/>
      <w:docPartObj>
        <w:docPartGallery w:val="Page Numbers (Bottom of Page)"/>
        <w:docPartUnique/>
      </w:docPartObj>
    </w:sdtPr>
    <w:sdtEndPr>
      <w:rPr>
        <w:noProof/>
        <w:sz w:val="16"/>
        <w:szCs w:val="16"/>
      </w:rPr>
    </w:sdtEndPr>
    <w:sdtContent>
      <w:p w:rsidR="003B131A" w:rsidRPr="008A22B0" w:rsidRDefault="00C00739">
        <w:pPr>
          <w:pStyle w:val="a4"/>
          <w:jc w:val="right"/>
          <w:rPr>
            <w:sz w:val="16"/>
            <w:szCs w:val="16"/>
          </w:rPr>
        </w:pPr>
        <w:r w:rsidRPr="008A22B0">
          <w:rPr>
            <w:sz w:val="16"/>
            <w:szCs w:val="16"/>
          </w:rPr>
          <w:fldChar w:fldCharType="begin"/>
        </w:r>
        <w:r w:rsidR="003B131A" w:rsidRPr="008A22B0">
          <w:rPr>
            <w:sz w:val="16"/>
            <w:szCs w:val="16"/>
          </w:rPr>
          <w:instrText xml:space="preserve"> PAGE   \* MERGEFORMAT </w:instrText>
        </w:r>
        <w:r w:rsidRPr="008A22B0">
          <w:rPr>
            <w:sz w:val="16"/>
            <w:szCs w:val="16"/>
          </w:rPr>
          <w:fldChar w:fldCharType="separate"/>
        </w:r>
        <w:r w:rsidR="00C962F1">
          <w:rPr>
            <w:noProof/>
            <w:sz w:val="16"/>
            <w:szCs w:val="16"/>
          </w:rPr>
          <w:t>1</w:t>
        </w:r>
        <w:r w:rsidRPr="008A22B0">
          <w:rPr>
            <w:noProof/>
            <w:sz w:val="16"/>
            <w:szCs w:val="16"/>
          </w:rPr>
          <w:fldChar w:fldCharType="end"/>
        </w:r>
      </w:p>
    </w:sdtContent>
  </w:sdt>
  <w:p w:rsidR="003B131A" w:rsidRDefault="003B131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1A" w:rsidRDefault="003B13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1F6" w:rsidRDefault="00D541F6" w:rsidP="005D44F6">
      <w:r>
        <w:separator/>
      </w:r>
    </w:p>
  </w:footnote>
  <w:footnote w:type="continuationSeparator" w:id="0">
    <w:p w:rsidR="00D541F6" w:rsidRDefault="00D541F6" w:rsidP="005D44F6">
      <w:r>
        <w:continuationSeparator/>
      </w:r>
    </w:p>
  </w:footnote>
  <w:footnote w:id="1">
    <w:p w:rsidR="003B131A" w:rsidRPr="003E70BE" w:rsidRDefault="003B131A" w:rsidP="00283FBA">
      <w:pPr>
        <w:pStyle w:val="a9"/>
        <w:rPr>
          <w:lang w:val="el-GR"/>
        </w:rPr>
      </w:pPr>
      <w:r w:rsidRPr="00EE40A0">
        <w:rPr>
          <w:rStyle w:val="a8"/>
          <w:color w:val="7F7F7F" w:themeColor="text1" w:themeTint="80"/>
          <w:sz w:val="12"/>
          <w:szCs w:val="12"/>
        </w:rPr>
        <w:footnoteRef/>
      </w:r>
      <w:r w:rsidRPr="00FE5599">
        <w:rPr>
          <w:rFonts w:ascii="Segoe UI" w:hAnsi="Segoe UI" w:cs="Segoe UI"/>
          <w:color w:val="7F7F7F" w:themeColor="text1" w:themeTint="80"/>
          <w:sz w:val="12"/>
          <w:szCs w:val="12"/>
          <w:lang w:val="el-GR"/>
        </w:rPr>
        <w:t>Εξαιρώντας τις προβλέψεις απομείωσης σχετιζόμενες με την πανδημία του κορωνοϊού ύψους €416 εκατ. το Α’ τρίμηνο 2020</w:t>
      </w:r>
      <w:r w:rsidRPr="003E70BE">
        <w:rPr>
          <w:rFonts w:ascii="Segoe UI" w:hAnsi="Segoe UI" w:cs="Segoe UI"/>
          <w:color w:val="7F7F7F" w:themeColor="text1" w:themeTint="80"/>
          <w:sz w:val="12"/>
          <w:szCs w:val="12"/>
          <w:lang w:val="el-GR"/>
        </w:rPr>
        <w:t xml:space="preserve"> </w:t>
      </w:r>
      <w:r>
        <w:rPr>
          <w:rFonts w:ascii="Segoe UI" w:hAnsi="Segoe UI" w:cs="Segoe UI"/>
          <w:color w:val="7F7F7F" w:themeColor="text1" w:themeTint="80"/>
          <w:sz w:val="12"/>
          <w:szCs w:val="12"/>
          <w:lang w:val="el-GR"/>
        </w:rPr>
        <w:t>και €10 εκατ. το Β’ τρίμηνο 2020</w:t>
      </w:r>
    </w:p>
  </w:footnote>
  <w:footnote w:id="2">
    <w:p w:rsidR="003B131A" w:rsidRPr="009733C4" w:rsidRDefault="003B131A" w:rsidP="00EE40A0">
      <w:pPr>
        <w:pStyle w:val="a9"/>
        <w:rPr>
          <w:lang w:val="el-GR"/>
        </w:rPr>
      </w:pPr>
      <w:r w:rsidRPr="00EE40A0">
        <w:rPr>
          <w:rStyle w:val="a8"/>
          <w:color w:val="7F7F7F" w:themeColor="text1" w:themeTint="80"/>
          <w:sz w:val="12"/>
          <w:szCs w:val="12"/>
        </w:rPr>
        <w:footnoteRef/>
      </w:r>
      <w:r w:rsidRPr="009733C4">
        <w:rPr>
          <w:rFonts w:ascii="Segoe UI" w:hAnsi="Segoe UI" w:cs="Segoe UI"/>
          <w:color w:val="7F7F7F" w:themeColor="text1" w:themeTint="80"/>
          <w:sz w:val="12"/>
          <w:szCs w:val="12"/>
          <w:lang w:val="el-GR"/>
        </w:rPr>
        <w:t>Οι διεθνείς (συνεχιζόμενες) δραστηριότητες περιλαμβάνουν τις δραστηριότητες του Ομίλου στη Βόρεια Μακεδονία (</w:t>
      </w:r>
      <w:r w:rsidRPr="009733C4">
        <w:rPr>
          <w:rFonts w:ascii="Segoe UI" w:hAnsi="Segoe UI" w:cs="Segoe UI"/>
          <w:color w:val="7F7F7F" w:themeColor="text1" w:themeTint="80"/>
          <w:sz w:val="12"/>
          <w:szCs w:val="12"/>
          <w:lang w:val="en-US"/>
        </w:rPr>
        <w:t>Stopanska</w:t>
      </w:r>
      <w:r w:rsidRPr="009733C4">
        <w:rPr>
          <w:rFonts w:ascii="Segoe UI" w:hAnsi="Segoe UI" w:cs="Segoe UI"/>
          <w:color w:val="7F7F7F" w:themeColor="text1" w:themeTint="80"/>
          <w:sz w:val="12"/>
          <w:szCs w:val="12"/>
          <w:lang w:val="el-GR"/>
        </w:rPr>
        <w:t>)</w:t>
      </w:r>
      <w:r>
        <w:rPr>
          <w:rFonts w:ascii="Segoe UI" w:hAnsi="Segoe UI" w:cs="Segoe UI"/>
          <w:color w:val="7F7F7F" w:themeColor="text1" w:themeTint="80"/>
          <w:sz w:val="12"/>
          <w:szCs w:val="12"/>
          <w:lang w:val="el-GR"/>
        </w:rPr>
        <w:t xml:space="preserve">, </w:t>
      </w:r>
      <w:r w:rsidRPr="0047559C">
        <w:rPr>
          <w:rFonts w:ascii="Segoe UI" w:hAnsi="Segoe UI" w:cs="Segoe UI"/>
          <w:color w:val="7F7F7F" w:themeColor="text1" w:themeTint="80"/>
          <w:sz w:val="12"/>
          <w:szCs w:val="12"/>
          <w:lang w:val="el-GR"/>
        </w:rPr>
        <w:t>Μάλτα (NBG Malta) και Αίγυπτο (ETE Αιγύπτου)</w:t>
      </w:r>
    </w:p>
  </w:footnote>
  <w:footnote w:id="3">
    <w:p w:rsidR="003B131A" w:rsidRPr="009733C4" w:rsidRDefault="003B131A" w:rsidP="00702F61">
      <w:pPr>
        <w:pStyle w:val="a9"/>
        <w:rPr>
          <w:lang w:val="el-GR"/>
        </w:rPr>
      </w:pPr>
      <w:r w:rsidRPr="00EE40A0">
        <w:rPr>
          <w:rStyle w:val="a8"/>
          <w:color w:val="7F7F7F" w:themeColor="text1" w:themeTint="80"/>
          <w:sz w:val="12"/>
          <w:szCs w:val="12"/>
        </w:rPr>
        <w:footnoteRef/>
      </w:r>
      <w:r w:rsidRPr="009733C4">
        <w:rPr>
          <w:rFonts w:ascii="Segoe UI" w:hAnsi="Segoe UI" w:cs="Segoe UI"/>
          <w:color w:val="7F7F7F" w:themeColor="text1" w:themeTint="80"/>
          <w:sz w:val="12"/>
          <w:szCs w:val="12"/>
          <w:lang w:val="el-GR"/>
        </w:rPr>
        <w:t>Οι διεθνείς (συνεχιζόμενες) δραστηριότητες περιλαμβάνουν τις δραστηριότητες του Ομίλου στη Βόρεια Μακεδονία (</w:t>
      </w:r>
      <w:r w:rsidRPr="009733C4">
        <w:rPr>
          <w:rFonts w:ascii="Segoe UI" w:hAnsi="Segoe UI" w:cs="Segoe UI"/>
          <w:color w:val="7F7F7F" w:themeColor="text1" w:themeTint="80"/>
          <w:sz w:val="12"/>
          <w:szCs w:val="12"/>
          <w:lang w:val="en-US"/>
        </w:rPr>
        <w:t>Stopanska</w:t>
      </w:r>
      <w:r>
        <w:rPr>
          <w:rFonts w:ascii="Segoe UI" w:hAnsi="Segoe UI" w:cs="Segoe UI"/>
          <w:color w:val="7F7F7F" w:themeColor="text1" w:themeTint="80"/>
          <w:sz w:val="12"/>
          <w:szCs w:val="12"/>
          <w:lang w:val="el-GR"/>
        </w:rPr>
        <w:t xml:space="preserve">), </w:t>
      </w:r>
      <w:r w:rsidRPr="009733C4">
        <w:rPr>
          <w:rFonts w:ascii="Segoe UI" w:hAnsi="Segoe UI" w:cs="Segoe UI"/>
          <w:color w:val="7F7F7F" w:themeColor="text1" w:themeTint="80"/>
          <w:sz w:val="12"/>
          <w:szCs w:val="12"/>
          <w:lang w:val="el-GR"/>
        </w:rPr>
        <w:t>Μάλτα (</w:t>
      </w:r>
      <w:r w:rsidRPr="009733C4">
        <w:rPr>
          <w:rFonts w:ascii="Segoe UI" w:hAnsi="Segoe UI" w:cs="Segoe UI"/>
          <w:color w:val="7F7F7F" w:themeColor="text1" w:themeTint="80"/>
          <w:sz w:val="12"/>
          <w:szCs w:val="12"/>
          <w:lang w:val="en-US"/>
        </w:rPr>
        <w:t>NBG</w:t>
      </w:r>
      <w:r>
        <w:rPr>
          <w:rFonts w:ascii="Segoe UI" w:hAnsi="Segoe UI" w:cs="Segoe UI"/>
          <w:color w:val="7F7F7F" w:themeColor="text1" w:themeTint="80"/>
          <w:sz w:val="12"/>
          <w:szCs w:val="12"/>
          <w:lang w:val="el-GR"/>
        </w:rPr>
        <w:t xml:space="preserve"> </w:t>
      </w:r>
      <w:r w:rsidRPr="009733C4">
        <w:rPr>
          <w:rFonts w:ascii="Segoe UI" w:hAnsi="Segoe UI" w:cs="Segoe UI"/>
          <w:color w:val="7F7F7F" w:themeColor="text1" w:themeTint="80"/>
          <w:sz w:val="12"/>
          <w:szCs w:val="12"/>
          <w:lang w:val="en-US"/>
        </w:rPr>
        <w:t>Malta</w:t>
      </w:r>
      <w:r w:rsidRPr="009733C4">
        <w:rPr>
          <w:rFonts w:ascii="Segoe UI" w:hAnsi="Segoe UI" w:cs="Segoe UI"/>
          <w:color w:val="7F7F7F" w:themeColor="text1" w:themeTint="80"/>
          <w:sz w:val="12"/>
          <w:szCs w:val="12"/>
          <w:lang w:val="el-GR"/>
        </w:rPr>
        <w:t>)</w:t>
      </w:r>
      <w:r w:rsidRPr="009F27D9">
        <w:rPr>
          <w:lang w:val="el-GR"/>
        </w:rPr>
        <w:t xml:space="preserve"> </w:t>
      </w:r>
      <w:r w:rsidRPr="0047559C">
        <w:rPr>
          <w:rFonts w:ascii="Segoe UI" w:hAnsi="Segoe UI" w:cs="Segoe UI"/>
          <w:color w:val="7F7F7F" w:themeColor="text1" w:themeTint="80"/>
          <w:sz w:val="12"/>
          <w:szCs w:val="12"/>
          <w:lang w:val="el-GR"/>
        </w:rPr>
        <w:t>και Αίγυπτο (ETE Αιγύπτου)</w:t>
      </w:r>
    </w:p>
  </w:footnote>
  <w:footnote w:id="4">
    <w:p w:rsidR="003B131A" w:rsidRPr="009733C4" w:rsidRDefault="003B131A" w:rsidP="00397202">
      <w:pPr>
        <w:pStyle w:val="a9"/>
        <w:rPr>
          <w:lang w:val="el-GR"/>
        </w:rPr>
      </w:pPr>
      <w:r w:rsidRPr="00EE40A0">
        <w:rPr>
          <w:rStyle w:val="a8"/>
          <w:color w:val="7F7F7F" w:themeColor="text1" w:themeTint="80"/>
          <w:sz w:val="12"/>
          <w:szCs w:val="12"/>
        </w:rPr>
        <w:footnoteRef/>
      </w:r>
      <w:r w:rsidRPr="009733C4">
        <w:rPr>
          <w:rFonts w:ascii="Segoe UI" w:hAnsi="Segoe UI" w:cs="Segoe UI"/>
          <w:color w:val="7F7F7F" w:themeColor="text1" w:themeTint="80"/>
          <w:sz w:val="12"/>
          <w:szCs w:val="12"/>
          <w:lang w:val="el-GR"/>
        </w:rPr>
        <w:t xml:space="preserve">Οι </w:t>
      </w:r>
      <w:r w:rsidRPr="00CC1D74">
        <w:rPr>
          <w:rFonts w:ascii="Segoe UI" w:hAnsi="Segoe UI" w:cs="Segoe UI"/>
          <w:color w:val="7F7F7F" w:themeColor="text1" w:themeTint="80"/>
          <w:sz w:val="12"/>
          <w:szCs w:val="12"/>
          <w:lang w:val="el-GR"/>
        </w:rPr>
        <w:t xml:space="preserve">δείκτες κεφαλαιακής επάρκειας </w:t>
      </w:r>
      <w:r>
        <w:rPr>
          <w:rFonts w:ascii="Segoe UI" w:hAnsi="Segoe UI" w:cs="Segoe UI"/>
          <w:color w:val="7F7F7F" w:themeColor="text1" w:themeTint="80"/>
          <w:sz w:val="12"/>
          <w:szCs w:val="12"/>
          <w:lang w:val="el-GR"/>
        </w:rPr>
        <w:t>περ</w:t>
      </w:r>
      <w:r w:rsidRPr="00CC1D74">
        <w:rPr>
          <w:rFonts w:ascii="Segoe UI" w:hAnsi="Segoe UI" w:cs="Segoe UI"/>
          <w:color w:val="7F7F7F" w:themeColor="text1" w:themeTint="80"/>
          <w:sz w:val="12"/>
          <w:szCs w:val="12"/>
          <w:lang w:val="el-GR"/>
        </w:rPr>
        <w:t xml:space="preserve">ιλαμβάνουν το </w:t>
      </w:r>
      <w:r>
        <w:rPr>
          <w:rFonts w:ascii="Segoe UI" w:hAnsi="Segoe UI" w:cs="Segoe UI"/>
          <w:color w:val="7F7F7F" w:themeColor="text1" w:themeTint="80"/>
          <w:sz w:val="12"/>
          <w:szCs w:val="12"/>
          <w:lang w:val="el-GR"/>
        </w:rPr>
        <w:t xml:space="preserve">κέρδος μετά </w:t>
      </w:r>
      <w:r w:rsidR="008B285E" w:rsidRPr="008B285E">
        <w:rPr>
          <w:rFonts w:ascii="Segoe UI" w:hAnsi="Segoe UI" w:cs="Segoe UI"/>
          <w:color w:val="7F7F7F" w:themeColor="text1" w:themeTint="80"/>
          <w:sz w:val="12"/>
          <w:szCs w:val="12"/>
          <w:lang w:val="el-GR"/>
        </w:rPr>
        <w:t xml:space="preserve">από φόρους </w:t>
      </w:r>
      <w:r>
        <w:rPr>
          <w:rFonts w:ascii="Segoe UI" w:hAnsi="Segoe UI" w:cs="Segoe UI"/>
          <w:color w:val="7F7F7F" w:themeColor="text1" w:themeTint="80"/>
          <w:sz w:val="12"/>
          <w:szCs w:val="12"/>
          <w:lang w:val="el-GR"/>
        </w:rPr>
        <w:t>του Α’ εξαμήνου 2020</w:t>
      </w:r>
      <w:r w:rsidRPr="00CC1D74">
        <w:rPr>
          <w:rFonts w:ascii="Segoe UI" w:hAnsi="Segoe UI" w:cs="Segoe UI"/>
          <w:color w:val="7F7F7F" w:themeColor="text1" w:themeTint="80"/>
          <w:sz w:val="12"/>
          <w:szCs w:val="12"/>
          <w:lang w:val="el-GR"/>
        </w:rPr>
        <w:t>. Σε δημοσιευμένη βάση, ο δείκτης CET1 και ο Συνολικός Δείκτης Κεφαλαιακής Επάρκειας ανέρχονται σε 1</w:t>
      </w:r>
      <w:r>
        <w:rPr>
          <w:rFonts w:ascii="Segoe UI" w:hAnsi="Segoe UI" w:cs="Segoe UI"/>
          <w:color w:val="7F7F7F" w:themeColor="text1" w:themeTint="80"/>
          <w:sz w:val="12"/>
          <w:szCs w:val="12"/>
          <w:lang w:val="el-GR"/>
        </w:rPr>
        <w:t>4,8</w:t>
      </w:r>
      <w:r w:rsidRPr="00CC1D74">
        <w:rPr>
          <w:rFonts w:ascii="Segoe UI" w:hAnsi="Segoe UI" w:cs="Segoe UI"/>
          <w:color w:val="7F7F7F" w:themeColor="text1" w:themeTint="80"/>
          <w:sz w:val="12"/>
          <w:szCs w:val="12"/>
          <w:lang w:val="el-GR"/>
        </w:rPr>
        <w:t>% και 1</w:t>
      </w:r>
      <w:r>
        <w:rPr>
          <w:rFonts w:ascii="Segoe UI" w:hAnsi="Segoe UI" w:cs="Segoe UI"/>
          <w:color w:val="7F7F7F" w:themeColor="text1" w:themeTint="80"/>
          <w:sz w:val="12"/>
          <w:szCs w:val="12"/>
          <w:lang w:val="el-GR"/>
        </w:rPr>
        <w:t>5,8</w:t>
      </w:r>
      <w:r w:rsidRPr="00CC1D74">
        <w:rPr>
          <w:rFonts w:ascii="Segoe UI" w:hAnsi="Segoe UI" w:cs="Segoe UI"/>
          <w:color w:val="7F7F7F" w:themeColor="text1" w:themeTint="80"/>
          <w:sz w:val="12"/>
          <w:szCs w:val="12"/>
          <w:lang w:val="el-GR"/>
        </w:rPr>
        <w:t>%, αντίστοιχα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1A" w:rsidRDefault="003B131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316"/>
      <w:gridCol w:w="4868"/>
    </w:tblGrid>
    <w:tr w:rsidR="003B131A" w:rsidRPr="00044763" w:rsidTr="00B5579A">
      <w:trPr>
        <w:trHeight w:val="370"/>
      </w:trPr>
      <w:tc>
        <w:tcPr>
          <w:tcW w:w="2610" w:type="pct"/>
          <w:tcBorders>
            <w:bottom w:val="single" w:sz="18" w:space="0" w:color="00B2C6"/>
          </w:tcBorders>
          <w:shd w:val="clear" w:color="auto" w:fill="auto"/>
          <w:vAlign w:val="bottom"/>
        </w:tcPr>
        <w:p w:rsidR="003B131A" w:rsidRPr="00061D9F" w:rsidRDefault="003B131A" w:rsidP="00F81F11">
          <w:pPr>
            <w:pStyle w:val="a3"/>
            <w:rPr>
              <w:b/>
              <w:bCs/>
              <w:color w:val="007382"/>
              <w:sz w:val="20"/>
              <w:szCs w:val="20"/>
              <w:lang w:val="en-US"/>
            </w:rPr>
          </w:pPr>
          <w:r>
            <w:rPr>
              <w:b/>
              <w:bCs/>
              <w:color w:val="007382"/>
              <w:sz w:val="20"/>
              <w:szCs w:val="20"/>
            </w:rPr>
            <w:t>Όμιλος ΕΤΕ</w:t>
          </w:r>
        </w:p>
      </w:tc>
      <w:tc>
        <w:tcPr>
          <w:tcW w:w="2390" w:type="pct"/>
          <w:tcBorders>
            <w:bottom w:val="single" w:sz="18" w:space="0" w:color="00B2C6"/>
          </w:tcBorders>
          <w:shd w:val="clear" w:color="auto" w:fill="auto"/>
          <w:vAlign w:val="bottom"/>
        </w:tcPr>
        <w:p w:rsidR="003B131A" w:rsidRPr="005A4681" w:rsidRDefault="003B131A" w:rsidP="003A4FD2">
          <w:pPr>
            <w:pStyle w:val="a3"/>
            <w:jc w:val="right"/>
            <w:rPr>
              <w:color w:val="007382"/>
              <w:sz w:val="18"/>
              <w:szCs w:val="18"/>
              <w:lang w:val="en-US"/>
            </w:rPr>
          </w:pPr>
          <w:r>
            <w:rPr>
              <w:color w:val="808080" w:themeColor="background1" w:themeShade="80"/>
              <w:sz w:val="18"/>
              <w:szCs w:val="18"/>
            </w:rPr>
            <w:t xml:space="preserve">Αποτελέσματα </w:t>
          </w:r>
          <w:r>
            <w:rPr>
              <w:color w:val="808080" w:themeColor="background1" w:themeShade="80"/>
              <w:sz w:val="18"/>
              <w:szCs w:val="18"/>
              <w:lang w:val="en-US"/>
            </w:rPr>
            <w:t>B</w:t>
          </w:r>
          <w:r>
            <w:rPr>
              <w:color w:val="808080" w:themeColor="background1" w:themeShade="80"/>
              <w:sz w:val="18"/>
              <w:szCs w:val="18"/>
            </w:rPr>
            <w:t>’ τριμήνου 2020</w:t>
          </w:r>
        </w:p>
      </w:tc>
    </w:tr>
  </w:tbl>
  <w:p w:rsidR="003B131A" w:rsidRPr="00044763" w:rsidRDefault="003B131A" w:rsidP="00D1701C">
    <w:pPr>
      <w:pStyle w:val="a3"/>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1A" w:rsidRDefault="003B13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15_"/>
      </v:shape>
    </w:pict>
  </w:numPicBullet>
  <w:abstractNum w:abstractNumId="0">
    <w:nsid w:val="005313C5"/>
    <w:multiLevelType w:val="hybridMultilevel"/>
    <w:tmpl w:val="7E40CD20"/>
    <w:lvl w:ilvl="0" w:tplc="BF7C7776">
      <w:start w:val="1"/>
      <w:numFmt w:val="decimal"/>
      <w:lvlText w:val="%1."/>
      <w:lvlJc w:val="left"/>
      <w:pPr>
        <w:ind w:left="644" w:hanging="360"/>
      </w:pPr>
      <w:rPr>
        <w:rFonts w:hint="default"/>
        <w:vertAlign w:val="superscrip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07A90119"/>
    <w:multiLevelType w:val="hybridMultilevel"/>
    <w:tmpl w:val="82AA1DF6"/>
    <w:lvl w:ilvl="0" w:tplc="AF084EA6">
      <w:start w:val="1"/>
      <w:numFmt w:val="bullet"/>
      <w:lvlText w:val="•"/>
      <w:lvlJc w:val="left"/>
      <w:pPr>
        <w:tabs>
          <w:tab w:val="num" w:pos="720"/>
        </w:tabs>
        <w:ind w:left="720" w:hanging="360"/>
      </w:pPr>
      <w:rPr>
        <w:rFonts w:ascii="Arial" w:hAnsi="Arial" w:hint="default"/>
      </w:rPr>
    </w:lvl>
    <w:lvl w:ilvl="1" w:tplc="A8ECFF68">
      <w:start w:val="1"/>
      <w:numFmt w:val="bullet"/>
      <w:lvlText w:val="•"/>
      <w:lvlJc w:val="left"/>
      <w:pPr>
        <w:tabs>
          <w:tab w:val="num" w:pos="1440"/>
        </w:tabs>
        <w:ind w:left="1440" w:hanging="360"/>
      </w:pPr>
      <w:rPr>
        <w:rFonts w:ascii="Arial" w:hAnsi="Arial" w:hint="default"/>
      </w:rPr>
    </w:lvl>
    <w:lvl w:ilvl="2" w:tplc="E6CCC7BE" w:tentative="1">
      <w:start w:val="1"/>
      <w:numFmt w:val="bullet"/>
      <w:lvlText w:val="•"/>
      <w:lvlJc w:val="left"/>
      <w:pPr>
        <w:tabs>
          <w:tab w:val="num" w:pos="2160"/>
        </w:tabs>
        <w:ind w:left="2160" w:hanging="360"/>
      </w:pPr>
      <w:rPr>
        <w:rFonts w:ascii="Arial" w:hAnsi="Arial" w:hint="default"/>
      </w:rPr>
    </w:lvl>
    <w:lvl w:ilvl="3" w:tplc="5A8E91E0" w:tentative="1">
      <w:start w:val="1"/>
      <w:numFmt w:val="bullet"/>
      <w:lvlText w:val="•"/>
      <w:lvlJc w:val="left"/>
      <w:pPr>
        <w:tabs>
          <w:tab w:val="num" w:pos="2880"/>
        </w:tabs>
        <w:ind w:left="2880" w:hanging="360"/>
      </w:pPr>
      <w:rPr>
        <w:rFonts w:ascii="Arial" w:hAnsi="Arial" w:hint="default"/>
      </w:rPr>
    </w:lvl>
    <w:lvl w:ilvl="4" w:tplc="BCE29D90" w:tentative="1">
      <w:start w:val="1"/>
      <w:numFmt w:val="bullet"/>
      <w:lvlText w:val="•"/>
      <w:lvlJc w:val="left"/>
      <w:pPr>
        <w:tabs>
          <w:tab w:val="num" w:pos="3600"/>
        </w:tabs>
        <w:ind w:left="3600" w:hanging="360"/>
      </w:pPr>
      <w:rPr>
        <w:rFonts w:ascii="Arial" w:hAnsi="Arial" w:hint="default"/>
      </w:rPr>
    </w:lvl>
    <w:lvl w:ilvl="5" w:tplc="1CE61C36" w:tentative="1">
      <w:start w:val="1"/>
      <w:numFmt w:val="bullet"/>
      <w:lvlText w:val="•"/>
      <w:lvlJc w:val="left"/>
      <w:pPr>
        <w:tabs>
          <w:tab w:val="num" w:pos="4320"/>
        </w:tabs>
        <w:ind w:left="4320" w:hanging="360"/>
      </w:pPr>
      <w:rPr>
        <w:rFonts w:ascii="Arial" w:hAnsi="Arial" w:hint="default"/>
      </w:rPr>
    </w:lvl>
    <w:lvl w:ilvl="6" w:tplc="98B00A6C" w:tentative="1">
      <w:start w:val="1"/>
      <w:numFmt w:val="bullet"/>
      <w:lvlText w:val="•"/>
      <w:lvlJc w:val="left"/>
      <w:pPr>
        <w:tabs>
          <w:tab w:val="num" w:pos="5040"/>
        </w:tabs>
        <w:ind w:left="5040" w:hanging="360"/>
      </w:pPr>
      <w:rPr>
        <w:rFonts w:ascii="Arial" w:hAnsi="Arial" w:hint="default"/>
      </w:rPr>
    </w:lvl>
    <w:lvl w:ilvl="7" w:tplc="138AF13E" w:tentative="1">
      <w:start w:val="1"/>
      <w:numFmt w:val="bullet"/>
      <w:lvlText w:val="•"/>
      <w:lvlJc w:val="left"/>
      <w:pPr>
        <w:tabs>
          <w:tab w:val="num" w:pos="5760"/>
        </w:tabs>
        <w:ind w:left="5760" w:hanging="360"/>
      </w:pPr>
      <w:rPr>
        <w:rFonts w:ascii="Arial" w:hAnsi="Arial" w:hint="default"/>
      </w:rPr>
    </w:lvl>
    <w:lvl w:ilvl="8" w:tplc="6DC2103A" w:tentative="1">
      <w:start w:val="1"/>
      <w:numFmt w:val="bullet"/>
      <w:lvlText w:val="•"/>
      <w:lvlJc w:val="left"/>
      <w:pPr>
        <w:tabs>
          <w:tab w:val="num" w:pos="6480"/>
        </w:tabs>
        <w:ind w:left="6480" w:hanging="360"/>
      </w:pPr>
      <w:rPr>
        <w:rFonts w:ascii="Arial" w:hAnsi="Arial" w:hint="default"/>
      </w:rPr>
    </w:lvl>
  </w:abstractNum>
  <w:abstractNum w:abstractNumId="2">
    <w:nsid w:val="07B30835"/>
    <w:multiLevelType w:val="hybridMultilevel"/>
    <w:tmpl w:val="F8768AFE"/>
    <w:lvl w:ilvl="0" w:tplc="AB60207C">
      <w:start w:val="1"/>
      <w:numFmt w:val="bullet"/>
      <w:lvlText w:val="•"/>
      <w:lvlJc w:val="left"/>
      <w:pPr>
        <w:tabs>
          <w:tab w:val="num" w:pos="720"/>
        </w:tabs>
        <w:ind w:left="720" w:hanging="360"/>
      </w:pPr>
      <w:rPr>
        <w:rFonts w:ascii="Arial" w:hAnsi="Arial" w:hint="default"/>
      </w:rPr>
    </w:lvl>
    <w:lvl w:ilvl="1" w:tplc="C186E6C6" w:tentative="1">
      <w:start w:val="1"/>
      <w:numFmt w:val="bullet"/>
      <w:lvlText w:val="•"/>
      <w:lvlJc w:val="left"/>
      <w:pPr>
        <w:tabs>
          <w:tab w:val="num" w:pos="1440"/>
        </w:tabs>
        <w:ind w:left="1440" w:hanging="360"/>
      </w:pPr>
      <w:rPr>
        <w:rFonts w:ascii="Arial" w:hAnsi="Arial" w:hint="default"/>
      </w:rPr>
    </w:lvl>
    <w:lvl w:ilvl="2" w:tplc="B5367868" w:tentative="1">
      <w:start w:val="1"/>
      <w:numFmt w:val="bullet"/>
      <w:lvlText w:val="•"/>
      <w:lvlJc w:val="left"/>
      <w:pPr>
        <w:tabs>
          <w:tab w:val="num" w:pos="2160"/>
        </w:tabs>
        <w:ind w:left="2160" w:hanging="360"/>
      </w:pPr>
      <w:rPr>
        <w:rFonts w:ascii="Arial" w:hAnsi="Arial" w:hint="default"/>
      </w:rPr>
    </w:lvl>
    <w:lvl w:ilvl="3" w:tplc="B434DB3A">
      <w:start w:val="1"/>
      <w:numFmt w:val="bullet"/>
      <w:lvlText w:val="•"/>
      <w:lvlJc w:val="left"/>
      <w:pPr>
        <w:tabs>
          <w:tab w:val="num" w:pos="2880"/>
        </w:tabs>
        <w:ind w:left="2880" w:hanging="360"/>
      </w:pPr>
      <w:rPr>
        <w:rFonts w:ascii="Arial" w:hAnsi="Arial" w:hint="default"/>
      </w:rPr>
    </w:lvl>
    <w:lvl w:ilvl="4" w:tplc="F27636D2" w:tentative="1">
      <w:start w:val="1"/>
      <w:numFmt w:val="bullet"/>
      <w:lvlText w:val="•"/>
      <w:lvlJc w:val="left"/>
      <w:pPr>
        <w:tabs>
          <w:tab w:val="num" w:pos="3600"/>
        </w:tabs>
        <w:ind w:left="3600" w:hanging="360"/>
      </w:pPr>
      <w:rPr>
        <w:rFonts w:ascii="Arial" w:hAnsi="Arial" w:hint="default"/>
      </w:rPr>
    </w:lvl>
    <w:lvl w:ilvl="5" w:tplc="89284D48" w:tentative="1">
      <w:start w:val="1"/>
      <w:numFmt w:val="bullet"/>
      <w:lvlText w:val="•"/>
      <w:lvlJc w:val="left"/>
      <w:pPr>
        <w:tabs>
          <w:tab w:val="num" w:pos="4320"/>
        </w:tabs>
        <w:ind w:left="4320" w:hanging="360"/>
      </w:pPr>
      <w:rPr>
        <w:rFonts w:ascii="Arial" w:hAnsi="Arial" w:hint="default"/>
      </w:rPr>
    </w:lvl>
    <w:lvl w:ilvl="6" w:tplc="4156D3D6" w:tentative="1">
      <w:start w:val="1"/>
      <w:numFmt w:val="bullet"/>
      <w:lvlText w:val="•"/>
      <w:lvlJc w:val="left"/>
      <w:pPr>
        <w:tabs>
          <w:tab w:val="num" w:pos="5040"/>
        </w:tabs>
        <w:ind w:left="5040" w:hanging="360"/>
      </w:pPr>
      <w:rPr>
        <w:rFonts w:ascii="Arial" w:hAnsi="Arial" w:hint="default"/>
      </w:rPr>
    </w:lvl>
    <w:lvl w:ilvl="7" w:tplc="6EB2FD8A" w:tentative="1">
      <w:start w:val="1"/>
      <w:numFmt w:val="bullet"/>
      <w:lvlText w:val="•"/>
      <w:lvlJc w:val="left"/>
      <w:pPr>
        <w:tabs>
          <w:tab w:val="num" w:pos="5760"/>
        </w:tabs>
        <w:ind w:left="5760" w:hanging="360"/>
      </w:pPr>
      <w:rPr>
        <w:rFonts w:ascii="Arial" w:hAnsi="Arial" w:hint="default"/>
      </w:rPr>
    </w:lvl>
    <w:lvl w:ilvl="8" w:tplc="368057BE" w:tentative="1">
      <w:start w:val="1"/>
      <w:numFmt w:val="bullet"/>
      <w:lvlText w:val="•"/>
      <w:lvlJc w:val="left"/>
      <w:pPr>
        <w:tabs>
          <w:tab w:val="num" w:pos="6480"/>
        </w:tabs>
        <w:ind w:left="6480" w:hanging="360"/>
      </w:pPr>
      <w:rPr>
        <w:rFonts w:ascii="Arial" w:hAnsi="Arial" w:hint="default"/>
      </w:rPr>
    </w:lvl>
  </w:abstractNum>
  <w:abstractNum w:abstractNumId="3">
    <w:nsid w:val="0E0C2168"/>
    <w:multiLevelType w:val="hybridMultilevel"/>
    <w:tmpl w:val="BBD42F5E"/>
    <w:lvl w:ilvl="0" w:tplc="A492FE0E">
      <w:start w:val="1"/>
      <w:numFmt w:val="bullet"/>
      <w:lvlText w:val="•"/>
      <w:lvlJc w:val="left"/>
      <w:pPr>
        <w:tabs>
          <w:tab w:val="num" w:pos="720"/>
        </w:tabs>
        <w:ind w:left="720" w:hanging="360"/>
      </w:pPr>
      <w:rPr>
        <w:rFonts w:ascii="Arial" w:hAnsi="Arial" w:hint="default"/>
      </w:rPr>
    </w:lvl>
    <w:lvl w:ilvl="1" w:tplc="245AE5C8" w:tentative="1">
      <w:start w:val="1"/>
      <w:numFmt w:val="bullet"/>
      <w:lvlText w:val="•"/>
      <w:lvlJc w:val="left"/>
      <w:pPr>
        <w:tabs>
          <w:tab w:val="num" w:pos="1440"/>
        </w:tabs>
        <w:ind w:left="1440" w:hanging="360"/>
      </w:pPr>
      <w:rPr>
        <w:rFonts w:ascii="Arial" w:hAnsi="Arial" w:hint="default"/>
      </w:rPr>
    </w:lvl>
    <w:lvl w:ilvl="2" w:tplc="E06C0BFE" w:tentative="1">
      <w:start w:val="1"/>
      <w:numFmt w:val="bullet"/>
      <w:lvlText w:val="•"/>
      <w:lvlJc w:val="left"/>
      <w:pPr>
        <w:tabs>
          <w:tab w:val="num" w:pos="2160"/>
        </w:tabs>
        <w:ind w:left="2160" w:hanging="360"/>
      </w:pPr>
      <w:rPr>
        <w:rFonts w:ascii="Arial" w:hAnsi="Arial" w:hint="default"/>
      </w:rPr>
    </w:lvl>
    <w:lvl w:ilvl="3" w:tplc="7D886F9A">
      <w:start w:val="1"/>
      <w:numFmt w:val="bullet"/>
      <w:lvlText w:val="•"/>
      <w:lvlJc w:val="left"/>
      <w:pPr>
        <w:tabs>
          <w:tab w:val="num" w:pos="2880"/>
        </w:tabs>
        <w:ind w:left="2880" w:hanging="360"/>
      </w:pPr>
      <w:rPr>
        <w:rFonts w:ascii="Arial" w:hAnsi="Arial" w:hint="default"/>
      </w:rPr>
    </w:lvl>
    <w:lvl w:ilvl="4" w:tplc="F5FC4DC8" w:tentative="1">
      <w:start w:val="1"/>
      <w:numFmt w:val="bullet"/>
      <w:lvlText w:val="•"/>
      <w:lvlJc w:val="left"/>
      <w:pPr>
        <w:tabs>
          <w:tab w:val="num" w:pos="3600"/>
        </w:tabs>
        <w:ind w:left="3600" w:hanging="360"/>
      </w:pPr>
      <w:rPr>
        <w:rFonts w:ascii="Arial" w:hAnsi="Arial" w:hint="default"/>
      </w:rPr>
    </w:lvl>
    <w:lvl w:ilvl="5" w:tplc="8892CB60" w:tentative="1">
      <w:start w:val="1"/>
      <w:numFmt w:val="bullet"/>
      <w:lvlText w:val="•"/>
      <w:lvlJc w:val="left"/>
      <w:pPr>
        <w:tabs>
          <w:tab w:val="num" w:pos="4320"/>
        </w:tabs>
        <w:ind w:left="4320" w:hanging="360"/>
      </w:pPr>
      <w:rPr>
        <w:rFonts w:ascii="Arial" w:hAnsi="Arial" w:hint="default"/>
      </w:rPr>
    </w:lvl>
    <w:lvl w:ilvl="6" w:tplc="C09A8678" w:tentative="1">
      <w:start w:val="1"/>
      <w:numFmt w:val="bullet"/>
      <w:lvlText w:val="•"/>
      <w:lvlJc w:val="left"/>
      <w:pPr>
        <w:tabs>
          <w:tab w:val="num" w:pos="5040"/>
        </w:tabs>
        <w:ind w:left="5040" w:hanging="360"/>
      </w:pPr>
      <w:rPr>
        <w:rFonts w:ascii="Arial" w:hAnsi="Arial" w:hint="default"/>
      </w:rPr>
    </w:lvl>
    <w:lvl w:ilvl="7" w:tplc="2F10FBB4" w:tentative="1">
      <w:start w:val="1"/>
      <w:numFmt w:val="bullet"/>
      <w:lvlText w:val="•"/>
      <w:lvlJc w:val="left"/>
      <w:pPr>
        <w:tabs>
          <w:tab w:val="num" w:pos="5760"/>
        </w:tabs>
        <w:ind w:left="5760" w:hanging="360"/>
      </w:pPr>
      <w:rPr>
        <w:rFonts w:ascii="Arial" w:hAnsi="Arial" w:hint="default"/>
      </w:rPr>
    </w:lvl>
    <w:lvl w:ilvl="8" w:tplc="AB207D3E" w:tentative="1">
      <w:start w:val="1"/>
      <w:numFmt w:val="bullet"/>
      <w:lvlText w:val="•"/>
      <w:lvlJc w:val="left"/>
      <w:pPr>
        <w:tabs>
          <w:tab w:val="num" w:pos="6480"/>
        </w:tabs>
        <w:ind w:left="6480" w:hanging="360"/>
      </w:pPr>
      <w:rPr>
        <w:rFonts w:ascii="Arial" w:hAnsi="Arial" w:hint="default"/>
      </w:rPr>
    </w:lvl>
  </w:abstractNum>
  <w:abstractNum w:abstractNumId="4">
    <w:nsid w:val="1031506F"/>
    <w:multiLevelType w:val="hybridMultilevel"/>
    <w:tmpl w:val="1610C458"/>
    <w:lvl w:ilvl="0" w:tplc="F412FC76">
      <w:start w:val="1"/>
      <w:numFmt w:val="bullet"/>
      <w:lvlText w:val="•"/>
      <w:lvlJc w:val="left"/>
      <w:pPr>
        <w:tabs>
          <w:tab w:val="num" w:pos="720"/>
        </w:tabs>
        <w:ind w:left="720" w:hanging="360"/>
      </w:pPr>
      <w:rPr>
        <w:rFonts w:ascii="Arial" w:hAnsi="Arial" w:hint="default"/>
      </w:rPr>
    </w:lvl>
    <w:lvl w:ilvl="1" w:tplc="BE2AE3D8" w:tentative="1">
      <w:start w:val="1"/>
      <w:numFmt w:val="bullet"/>
      <w:lvlText w:val="•"/>
      <w:lvlJc w:val="left"/>
      <w:pPr>
        <w:tabs>
          <w:tab w:val="num" w:pos="1440"/>
        </w:tabs>
        <w:ind w:left="1440" w:hanging="360"/>
      </w:pPr>
      <w:rPr>
        <w:rFonts w:ascii="Arial" w:hAnsi="Arial" w:hint="default"/>
      </w:rPr>
    </w:lvl>
    <w:lvl w:ilvl="2" w:tplc="5634937A" w:tentative="1">
      <w:start w:val="1"/>
      <w:numFmt w:val="bullet"/>
      <w:lvlText w:val="•"/>
      <w:lvlJc w:val="left"/>
      <w:pPr>
        <w:tabs>
          <w:tab w:val="num" w:pos="2160"/>
        </w:tabs>
        <w:ind w:left="2160" w:hanging="360"/>
      </w:pPr>
      <w:rPr>
        <w:rFonts w:ascii="Arial" w:hAnsi="Arial" w:hint="default"/>
      </w:rPr>
    </w:lvl>
    <w:lvl w:ilvl="3" w:tplc="512C9CF0">
      <w:start w:val="1"/>
      <w:numFmt w:val="bullet"/>
      <w:lvlText w:val="•"/>
      <w:lvlJc w:val="left"/>
      <w:pPr>
        <w:tabs>
          <w:tab w:val="num" w:pos="2880"/>
        </w:tabs>
        <w:ind w:left="2880" w:hanging="360"/>
      </w:pPr>
      <w:rPr>
        <w:rFonts w:ascii="Arial" w:hAnsi="Arial" w:hint="default"/>
      </w:rPr>
    </w:lvl>
    <w:lvl w:ilvl="4" w:tplc="2E62B71C" w:tentative="1">
      <w:start w:val="1"/>
      <w:numFmt w:val="bullet"/>
      <w:lvlText w:val="•"/>
      <w:lvlJc w:val="left"/>
      <w:pPr>
        <w:tabs>
          <w:tab w:val="num" w:pos="3600"/>
        </w:tabs>
        <w:ind w:left="3600" w:hanging="360"/>
      </w:pPr>
      <w:rPr>
        <w:rFonts w:ascii="Arial" w:hAnsi="Arial" w:hint="default"/>
      </w:rPr>
    </w:lvl>
    <w:lvl w:ilvl="5" w:tplc="22F8FE58" w:tentative="1">
      <w:start w:val="1"/>
      <w:numFmt w:val="bullet"/>
      <w:lvlText w:val="•"/>
      <w:lvlJc w:val="left"/>
      <w:pPr>
        <w:tabs>
          <w:tab w:val="num" w:pos="4320"/>
        </w:tabs>
        <w:ind w:left="4320" w:hanging="360"/>
      </w:pPr>
      <w:rPr>
        <w:rFonts w:ascii="Arial" w:hAnsi="Arial" w:hint="default"/>
      </w:rPr>
    </w:lvl>
    <w:lvl w:ilvl="6" w:tplc="05701C24" w:tentative="1">
      <w:start w:val="1"/>
      <w:numFmt w:val="bullet"/>
      <w:lvlText w:val="•"/>
      <w:lvlJc w:val="left"/>
      <w:pPr>
        <w:tabs>
          <w:tab w:val="num" w:pos="5040"/>
        </w:tabs>
        <w:ind w:left="5040" w:hanging="360"/>
      </w:pPr>
      <w:rPr>
        <w:rFonts w:ascii="Arial" w:hAnsi="Arial" w:hint="default"/>
      </w:rPr>
    </w:lvl>
    <w:lvl w:ilvl="7" w:tplc="1C52D5B8" w:tentative="1">
      <w:start w:val="1"/>
      <w:numFmt w:val="bullet"/>
      <w:lvlText w:val="•"/>
      <w:lvlJc w:val="left"/>
      <w:pPr>
        <w:tabs>
          <w:tab w:val="num" w:pos="5760"/>
        </w:tabs>
        <w:ind w:left="5760" w:hanging="360"/>
      </w:pPr>
      <w:rPr>
        <w:rFonts w:ascii="Arial" w:hAnsi="Arial" w:hint="default"/>
      </w:rPr>
    </w:lvl>
    <w:lvl w:ilvl="8" w:tplc="9C3A017E" w:tentative="1">
      <w:start w:val="1"/>
      <w:numFmt w:val="bullet"/>
      <w:lvlText w:val="•"/>
      <w:lvlJc w:val="left"/>
      <w:pPr>
        <w:tabs>
          <w:tab w:val="num" w:pos="6480"/>
        </w:tabs>
        <w:ind w:left="6480" w:hanging="360"/>
      </w:pPr>
      <w:rPr>
        <w:rFonts w:ascii="Arial" w:hAnsi="Arial" w:hint="default"/>
      </w:rPr>
    </w:lvl>
  </w:abstractNum>
  <w:abstractNum w:abstractNumId="5">
    <w:nsid w:val="136E1ADB"/>
    <w:multiLevelType w:val="hybridMultilevel"/>
    <w:tmpl w:val="47AC1F08"/>
    <w:lvl w:ilvl="0" w:tplc="BE08C698">
      <w:start w:val="1"/>
      <w:numFmt w:val="decimal"/>
      <w:lvlText w:val="%1."/>
      <w:lvlJc w:val="left"/>
      <w:pPr>
        <w:ind w:left="720" w:hanging="360"/>
      </w:pPr>
      <w:rPr>
        <w:rFonts w:hint="default"/>
        <w:vertAlign w:val="superscrip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33C3D"/>
    <w:multiLevelType w:val="hybridMultilevel"/>
    <w:tmpl w:val="3B6052CC"/>
    <w:lvl w:ilvl="0" w:tplc="D32CD860">
      <w:start w:val="1"/>
      <w:numFmt w:val="bullet"/>
      <w:lvlText w:val="•"/>
      <w:lvlJc w:val="left"/>
      <w:pPr>
        <w:tabs>
          <w:tab w:val="num" w:pos="720"/>
        </w:tabs>
        <w:ind w:left="720" w:hanging="360"/>
      </w:pPr>
      <w:rPr>
        <w:rFonts w:ascii="Arial" w:hAnsi="Arial" w:hint="default"/>
      </w:rPr>
    </w:lvl>
    <w:lvl w:ilvl="1" w:tplc="78C82E92" w:tentative="1">
      <w:start w:val="1"/>
      <w:numFmt w:val="bullet"/>
      <w:lvlText w:val="•"/>
      <w:lvlJc w:val="left"/>
      <w:pPr>
        <w:tabs>
          <w:tab w:val="num" w:pos="1440"/>
        </w:tabs>
        <w:ind w:left="1440" w:hanging="360"/>
      </w:pPr>
      <w:rPr>
        <w:rFonts w:ascii="Arial" w:hAnsi="Arial" w:hint="default"/>
      </w:rPr>
    </w:lvl>
    <w:lvl w:ilvl="2" w:tplc="E8326DAE" w:tentative="1">
      <w:start w:val="1"/>
      <w:numFmt w:val="bullet"/>
      <w:lvlText w:val="•"/>
      <w:lvlJc w:val="left"/>
      <w:pPr>
        <w:tabs>
          <w:tab w:val="num" w:pos="2160"/>
        </w:tabs>
        <w:ind w:left="2160" w:hanging="360"/>
      </w:pPr>
      <w:rPr>
        <w:rFonts w:ascii="Arial" w:hAnsi="Arial" w:hint="default"/>
      </w:rPr>
    </w:lvl>
    <w:lvl w:ilvl="3" w:tplc="33FE070A">
      <w:start w:val="1"/>
      <w:numFmt w:val="bullet"/>
      <w:lvlText w:val="•"/>
      <w:lvlJc w:val="left"/>
      <w:pPr>
        <w:tabs>
          <w:tab w:val="num" w:pos="2880"/>
        </w:tabs>
        <w:ind w:left="2880" w:hanging="360"/>
      </w:pPr>
      <w:rPr>
        <w:rFonts w:ascii="Arial" w:hAnsi="Arial" w:hint="default"/>
      </w:rPr>
    </w:lvl>
    <w:lvl w:ilvl="4" w:tplc="7CECF156" w:tentative="1">
      <w:start w:val="1"/>
      <w:numFmt w:val="bullet"/>
      <w:lvlText w:val="•"/>
      <w:lvlJc w:val="left"/>
      <w:pPr>
        <w:tabs>
          <w:tab w:val="num" w:pos="3600"/>
        </w:tabs>
        <w:ind w:left="3600" w:hanging="360"/>
      </w:pPr>
      <w:rPr>
        <w:rFonts w:ascii="Arial" w:hAnsi="Arial" w:hint="default"/>
      </w:rPr>
    </w:lvl>
    <w:lvl w:ilvl="5" w:tplc="034A68E2" w:tentative="1">
      <w:start w:val="1"/>
      <w:numFmt w:val="bullet"/>
      <w:lvlText w:val="•"/>
      <w:lvlJc w:val="left"/>
      <w:pPr>
        <w:tabs>
          <w:tab w:val="num" w:pos="4320"/>
        </w:tabs>
        <w:ind w:left="4320" w:hanging="360"/>
      </w:pPr>
      <w:rPr>
        <w:rFonts w:ascii="Arial" w:hAnsi="Arial" w:hint="default"/>
      </w:rPr>
    </w:lvl>
    <w:lvl w:ilvl="6" w:tplc="09369E52" w:tentative="1">
      <w:start w:val="1"/>
      <w:numFmt w:val="bullet"/>
      <w:lvlText w:val="•"/>
      <w:lvlJc w:val="left"/>
      <w:pPr>
        <w:tabs>
          <w:tab w:val="num" w:pos="5040"/>
        </w:tabs>
        <w:ind w:left="5040" w:hanging="360"/>
      </w:pPr>
      <w:rPr>
        <w:rFonts w:ascii="Arial" w:hAnsi="Arial" w:hint="default"/>
      </w:rPr>
    </w:lvl>
    <w:lvl w:ilvl="7" w:tplc="4A983066" w:tentative="1">
      <w:start w:val="1"/>
      <w:numFmt w:val="bullet"/>
      <w:lvlText w:val="•"/>
      <w:lvlJc w:val="left"/>
      <w:pPr>
        <w:tabs>
          <w:tab w:val="num" w:pos="5760"/>
        </w:tabs>
        <w:ind w:left="5760" w:hanging="360"/>
      </w:pPr>
      <w:rPr>
        <w:rFonts w:ascii="Arial" w:hAnsi="Arial" w:hint="default"/>
      </w:rPr>
    </w:lvl>
    <w:lvl w:ilvl="8" w:tplc="33F218E0" w:tentative="1">
      <w:start w:val="1"/>
      <w:numFmt w:val="bullet"/>
      <w:lvlText w:val="•"/>
      <w:lvlJc w:val="left"/>
      <w:pPr>
        <w:tabs>
          <w:tab w:val="num" w:pos="6480"/>
        </w:tabs>
        <w:ind w:left="6480" w:hanging="360"/>
      </w:pPr>
      <w:rPr>
        <w:rFonts w:ascii="Arial" w:hAnsi="Arial" w:hint="default"/>
      </w:rPr>
    </w:lvl>
  </w:abstractNum>
  <w:abstractNum w:abstractNumId="7">
    <w:nsid w:val="1CF0647D"/>
    <w:multiLevelType w:val="hybridMultilevel"/>
    <w:tmpl w:val="C0D2C3E2"/>
    <w:lvl w:ilvl="0" w:tplc="B16E79F0">
      <w:start w:val="1"/>
      <w:numFmt w:val="bullet"/>
      <w:lvlText w:val="o"/>
      <w:lvlJc w:val="left"/>
      <w:pPr>
        <w:ind w:left="644" w:hanging="360"/>
      </w:pPr>
      <w:rPr>
        <w:rFonts w:ascii="Courier New" w:hAnsi="Courier New" w:cs="Courier New" w:hint="default"/>
        <w:sz w:val="18"/>
        <w:szCs w:val="18"/>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nsid w:val="1DA327F5"/>
    <w:multiLevelType w:val="hybridMultilevel"/>
    <w:tmpl w:val="3B4892EC"/>
    <w:lvl w:ilvl="0" w:tplc="0226CD10">
      <w:start w:val="1"/>
      <w:numFmt w:val="bullet"/>
      <w:lvlText w:val="•"/>
      <w:lvlJc w:val="left"/>
      <w:pPr>
        <w:tabs>
          <w:tab w:val="num" w:pos="720"/>
        </w:tabs>
        <w:ind w:left="720" w:hanging="360"/>
      </w:pPr>
      <w:rPr>
        <w:rFonts w:ascii="Arial" w:hAnsi="Arial" w:hint="default"/>
      </w:rPr>
    </w:lvl>
    <w:lvl w:ilvl="1" w:tplc="7D6880C2">
      <w:start w:val="1"/>
      <w:numFmt w:val="bullet"/>
      <w:lvlText w:val="•"/>
      <w:lvlJc w:val="left"/>
      <w:pPr>
        <w:tabs>
          <w:tab w:val="num" w:pos="1440"/>
        </w:tabs>
        <w:ind w:left="1440" w:hanging="360"/>
      </w:pPr>
      <w:rPr>
        <w:rFonts w:ascii="Arial" w:hAnsi="Arial" w:hint="default"/>
      </w:rPr>
    </w:lvl>
    <w:lvl w:ilvl="2" w:tplc="1652B73A" w:tentative="1">
      <w:start w:val="1"/>
      <w:numFmt w:val="bullet"/>
      <w:lvlText w:val="•"/>
      <w:lvlJc w:val="left"/>
      <w:pPr>
        <w:tabs>
          <w:tab w:val="num" w:pos="2160"/>
        </w:tabs>
        <w:ind w:left="2160" w:hanging="360"/>
      </w:pPr>
      <w:rPr>
        <w:rFonts w:ascii="Arial" w:hAnsi="Arial" w:hint="default"/>
      </w:rPr>
    </w:lvl>
    <w:lvl w:ilvl="3" w:tplc="C75251BC" w:tentative="1">
      <w:start w:val="1"/>
      <w:numFmt w:val="bullet"/>
      <w:lvlText w:val="•"/>
      <w:lvlJc w:val="left"/>
      <w:pPr>
        <w:tabs>
          <w:tab w:val="num" w:pos="2880"/>
        </w:tabs>
        <w:ind w:left="2880" w:hanging="360"/>
      </w:pPr>
      <w:rPr>
        <w:rFonts w:ascii="Arial" w:hAnsi="Arial" w:hint="default"/>
      </w:rPr>
    </w:lvl>
    <w:lvl w:ilvl="4" w:tplc="2EC24E3E" w:tentative="1">
      <w:start w:val="1"/>
      <w:numFmt w:val="bullet"/>
      <w:lvlText w:val="•"/>
      <w:lvlJc w:val="left"/>
      <w:pPr>
        <w:tabs>
          <w:tab w:val="num" w:pos="3600"/>
        </w:tabs>
        <w:ind w:left="3600" w:hanging="360"/>
      </w:pPr>
      <w:rPr>
        <w:rFonts w:ascii="Arial" w:hAnsi="Arial" w:hint="default"/>
      </w:rPr>
    </w:lvl>
    <w:lvl w:ilvl="5" w:tplc="3272A178" w:tentative="1">
      <w:start w:val="1"/>
      <w:numFmt w:val="bullet"/>
      <w:lvlText w:val="•"/>
      <w:lvlJc w:val="left"/>
      <w:pPr>
        <w:tabs>
          <w:tab w:val="num" w:pos="4320"/>
        </w:tabs>
        <w:ind w:left="4320" w:hanging="360"/>
      </w:pPr>
      <w:rPr>
        <w:rFonts w:ascii="Arial" w:hAnsi="Arial" w:hint="default"/>
      </w:rPr>
    </w:lvl>
    <w:lvl w:ilvl="6" w:tplc="2B70F2B6" w:tentative="1">
      <w:start w:val="1"/>
      <w:numFmt w:val="bullet"/>
      <w:lvlText w:val="•"/>
      <w:lvlJc w:val="left"/>
      <w:pPr>
        <w:tabs>
          <w:tab w:val="num" w:pos="5040"/>
        </w:tabs>
        <w:ind w:left="5040" w:hanging="360"/>
      </w:pPr>
      <w:rPr>
        <w:rFonts w:ascii="Arial" w:hAnsi="Arial" w:hint="default"/>
      </w:rPr>
    </w:lvl>
    <w:lvl w:ilvl="7" w:tplc="BB625196" w:tentative="1">
      <w:start w:val="1"/>
      <w:numFmt w:val="bullet"/>
      <w:lvlText w:val="•"/>
      <w:lvlJc w:val="left"/>
      <w:pPr>
        <w:tabs>
          <w:tab w:val="num" w:pos="5760"/>
        </w:tabs>
        <w:ind w:left="5760" w:hanging="360"/>
      </w:pPr>
      <w:rPr>
        <w:rFonts w:ascii="Arial" w:hAnsi="Arial" w:hint="default"/>
      </w:rPr>
    </w:lvl>
    <w:lvl w:ilvl="8" w:tplc="5F1E8CAA" w:tentative="1">
      <w:start w:val="1"/>
      <w:numFmt w:val="bullet"/>
      <w:lvlText w:val="•"/>
      <w:lvlJc w:val="left"/>
      <w:pPr>
        <w:tabs>
          <w:tab w:val="num" w:pos="6480"/>
        </w:tabs>
        <w:ind w:left="6480" w:hanging="360"/>
      </w:pPr>
      <w:rPr>
        <w:rFonts w:ascii="Arial" w:hAnsi="Arial" w:hint="default"/>
      </w:rPr>
    </w:lvl>
  </w:abstractNum>
  <w:abstractNum w:abstractNumId="9">
    <w:nsid w:val="22234059"/>
    <w:multiLevelType w:val="hybridMultilevel"/>
    <w:tmpl w:val="9B2A465C"/>
    <w:lvl w:ilvl="0" w:tplc="A6EAF608">
      <w:start w:val="1"/>
      <w:numFmt w:val="bullet"/>
      <w:lvlText w:val="•"/>
      <w:lvlJc w:val="left"/>
      <w:pPr>
        <w:tabs>
          <w:tab w:val="num" w:pos="720"/>
        </w:tabs>
        <w:ind w:left="720" w:hanging="360"/>
      </w:pPr>
      <w:rPr>
        <w:rFonts w:ascii="Arial" w:hAnsi="Arial" w:hint="default"/>
      </w:rPr>
    </w:lvl>
    <w:lvl w:ilvl="1" w:tplc="4EDCCF80">
      <w:start w:val="1"/>
      <w:numFmt w:val="bullet"/>
      <w:lvlText w:val="•"/>
      <w:lvlJc w:val="left"/>
      <w:pPr>
        <w:tabs>
          <w:tab w:val="num" w:pos="1440"/>
        </w:tabs>
        <w:ind w:left="1440" w:hanging="360"/>
      </w:pPr>
      <w:rPr>
        <w:rFonts w:ascii="Arial" w:hAnsi="Arial" w:hint="default"/>
      </w:rPr>
    </w:lvl>
    <w:lvl w:ilvl="2" w:tplc="D77AECAA" w:tentative="1">
      <w:start w:val="1"/>
      <w:numFmt w:val="bullet"/>
      <w:lvlText w:val="•"/>
      <w:lvlJc w:val="left"/>
      <w:pPr>
        <w:tabs>
          <w:tab w:val="num" w:pos="2160"/>
        </w:tabs>
        <w:ind w:left="2160" w:hanging="360"/>
      </w:pPr>
      <w:rPr>
        <w:rFonts w:ascii="Arial" w:hAnsi="Arial" w:hint="default"/>
      </w:rPr>
    </w:lvl>
    <w:lvl w:ilvl="3" w:tplc="D58858DA" w:tentative="1">
      <w:start w:val="1"/>
      <w:numFmt w:val="bullet"/>
      <w:lvlText w:val="•"/>
      <w:lvlJc w:val="left"/>
      <w:pPr>
        <w:tabs>
          <w:tab w:val="num" w:pos="2880"/>
        </w:tabs>
        <w:ind w:left="2880" w:hanging="360"/>
      </w:pPr>
      <w:rPr>
        <w:rFonts w:ascii="Arial" w:hAnsi="Arial" w:hint="default"/>
      </w:rPr>
    </w:lvl>
    <w:lvl w:ilvl="4" w:tplc="09E01004" w:tentative="1">
      <w:start w:val="1"/>
      <w:numFmt w:val="bullet"/>
      <w:lvlText w:val="•"/>
      <w:lvlJc w:val="left"/>
      <w:pPr>
        <w:tabs>
          <w:tab w:val="num" w:pos="3600"/>
        </w:tabs>
        <w:ind w:left="3600" w:hanging="360"/>
      </w:pPr>
      <w:rPr>
        <w:rFonts w:ascii="Arial" w:hAnsi="Arial" w:hint="default"/>
      </w:rPr>
    </w:lvl>
    <w:lvl w:ilvl="5" w:tplc="B622ADF8" w:tentative="1">
      <w:start w:val="1"/>
      <w:numFmt w:val="bullet"/>
      <w:lvlText w:val="•"/>
      <w:lvlJc w:val="left"/>
      <w:pPr>
        <w:tabs>
          <w:tab w:val="num" w:pos="4320"/>
        </w:tabs>
        <w:ind w:left="4320" w:hanging="360"/>
      </w:pPr>
      <w:rPr>
        <w:rFonts w:ascii="Arial" w:hAnsi="Arial" w:hint="default"/>
      </w:rPr>
    </w:lvl>
    <w:lvl w:ilvl="6" w:tplc="73B2CE36" w:tentative="1">
      <w:start w:val="1"/>
      <w:numFmt w:val="bullet"/>
      <w:lvlText w:val="•"/>
      <w:lvlJc w:val="left"/>
      <w:pPr>
        <w:tabs>
          <w:tab w:val="num" w:pos="5040"/>
        </w:tabs>
        <w:ind w:left="5040" w:hanging="360"/>
      </w:pPr>
      <w:rPr>
        <w:rFonts w:ascii="Arial" w:hAnsi="Arial" w:hint="default"/>
      </w:rPr>
    </w:lvl>
    <w:lvl w:ilvl="7" w:tplc="738085BC" w:tentative="1">
      <w:start w:val="1"/>
      <w:numFmt w:val="bullet"/>
      <w:lvlText w:val="•"/>
      <w:lvlJc w:val="left"/>
      <w:pPr>
        <w:tabs>
          <w:tab w:val="num" w:pos="5760"/>
        </w:tabs>
        <w:ind w:left="5760" w:hanging="360"/>
      </w:pPr>
      <w:rPr>
        <w:rFonts w:ascii="Arial" w:hAnsi="Arial" w:hint="default"/>
      </w:rPr>
    </w:lvl>
    <w:lvl w:ilvl="8" w:tplc="FDE496F4" w:tentative="1">
      <w:start w:val="1"/>
      <w:numFmt w:val="bullet"/>
      <w:lvlText w:val="•"/>
      <w:lvlJc w:val="left"/>
      <w:pPr>
        <w:tabs>
          <w:tab w:val="num" w:pos="6480"/>
        </w:tabs>
        <w:ind w:left="6480" w:hanging="360"/>
      </w:pPr>
      <w:rPr>
        <w:rFonts w:ascii="Arial" w:hAnsi="Arial" w:hint="default"/>
      </w:rPr>
    </w:lvl>
  </w:abstractNum>
  <w:abstractNum w:abstractNumId="10">
    <w:nsid w:val="28016908"/>
    <w:multiLevelType w:val="hybridMultilevel"/>
    <w:tmpl w:val="6B7E3278"/>
    <w:lvl w:ilvl="0" w:tplc="91BAF300">
      <w:start w:val="1"/>
      <w:numFmt w:val="bullet"/>
      <w:lvlText w:val="•"/>
      <w:lvlJc w:val="left"/>
      <w:pPr>
        <w:tabs>
          <w:tab w:val="num" w:pos="720"/>
        </w:tabs>
        <w:ind w:left="720" w:hanging="360"/>
      </w:pPr>
      <w:rPr>
        <w:rFonts w:ascii="Arial" w:hAnsi="Arial" w:hint="default"/>
      </w:rPr>
    </w:lvl>
    <w:lvl w:ilvl="1" w:tplc="0694AFA4">
      <w:start w:val="1"/>
      <w:numFmt w:val="bullet"/>
      <w:lvlText w:val="•"/>
      <w:lvlJc w:val="left"/>
      <w:pPr>
        <w:tabs>
          <w:tab w:val="num" w:pos="1440"/>
        </w:tabs>
        <w:ind w:left="1440" w:hanging="360"/>
      </w:pPr>
      <w:rPr>
        <w:rFonts w:ascii="Arial" w:hAnsi="Arial" w:hint="default"/>
      </w:rPr>
    </w:lvl>
    <w:lvl w:ilvl="2" w:tplc="D7B4C37C" w:tentative="1">
      <w:start w:val="1"/>
      <w:numFmt w:val="bullet"/>
      <w:lvlText w:val="•"/>
      <w:lvlJc w:val="left"/>
      <w:pPr>
        <w:tabs>
          <w:tab w:val="num" w:pos="2160"/>
        </w:tabs>
        <w:ind w:left="2160" w:hanging="360"/>
      </w:pPr>
      <w:rPr>
        <w:rFonts w:ascii="Arial" w:hAnsi="Arial" w:hint="default"/>
      </w:rPr>
    </w:lvl>
    <w:lvl w:ilvl="3" w:tplc="E3F018C6" w:tentative="1">
      <w:start w:val="1"/>
      <w:numFmt w:val="bullet"/>
      <w:lvlText w:val="•"/>
      <w:lvlJc w:val="left"/>
      <w:pPr>
        <w:tabs>
          <w:tab w:val="num" w:pos="2880"/>
        </w:tabs>
        <w:ind w:left="2880" w:hanging="360"/>
      </w:pPr>
      <w:rPr>
        <w:rFonts w:ascii="Arial" w:hAnsi="Arial" w:hint="default"/>
      </w:rPr>
    </w:lvl>
    <w:lvl w:ilvl="4" w:tplc="B7A24350" w:tentative="1">
      <w:start w:val="1"/>
      <w:numFmt w:val="bullet"/>
      <w:lvlText w:val="•"/>
      <w:lvlJc w:val="left"/>
      <w:pPr>
        <w:tabs>
          <w:tab w:val="num" w:pos="3600"/>
        </w:tabs>
        <w:ind w:left="3600" w:hanging="360"/>
      </w:pPr>
      <w:rPr>
        <w:rFonts w:ascii="Arial" w:hAnsi="Arial" w:hint="default"/>
      </w:rPr>
    </w:lvl>
    <w:lvl w:ilvl="5" w:tplc="B9D266F2" w:tentative="1">
      <w:start w:val="1"/>
      <w:numFmt w:val="bullet"/>
      <w:lvlText w:val="•"/>
      <w:lvlJc w:val="left"/>
      <w:pPr>
        <w:tabs>
          <w:tab w:val="num" w:pos="4320"/>
        </w:tabs>
        <w:ind w:left="4320" w:hanging="360"/>
      </w:pPr>
      <w:rPr>
        <w:rFonts w:ascii="Arial" w:hAnsi="Arial" w:hint="default"/>
      </w:rPr>
    </w:lvl>
    <w:lvl w:ilvl="6" w:tplc="EE3282CC" w:tentative="1">
      <w:start w:val="1"/>
      <w:numFmt w:val="bullet"/>
      <w:lvlText w:val="•"/>
      <w:lvlJc w:val="left"/>
      <w:pPr>
        <w:tabs>
          <w:tab w:val="num" w:pos="5040"/>
        </w:tabs>
        <w:ind w:left="5040" w:hanging="360"/>
      </w:pPr>
      <w:rPr>
        <w:rFonts w:ascii="Arial" w:hAnsi="Arial" w:hint="default"/>
      </w:rPr>
    </w:lvl>
    <w:lvl w:ilvl="7" w:tplc="682013E6" w:tentative="1">
      <w:start w:val="1"/>
      <w:numFmt w:val="bullet"/>
      <w:lvlText w:val="•"/>
      <w:lvlJc w:val="left"/>
      <w:pPr>
        <w:tabs>
          <w:tab w:val="num" w:pos="5760"/>
        </w:tabs>
        <w:ind w:left="5760" w:hanging="360"/>
      </w:pPr>
      <w:rPr>
        <w:rFonts w:ascii="Arial" w:hAnsi="Arial" w:hint="default"/>
      </w:rPr>
    </w:lvl>
    <w:lvl w:ilvl="8" w:tplc="D4BCE890" w:tentative="1">
      <w:start w:val="1"/>
      <w:numFmt w:val="bullet"/>
      <w:lvlText w:val="•"/>
      <w:lvlJc w:val="left"/>
      <w:pPr>
        <w:tabs>
          <w:tab w:val="num" w:pos="6480"/>
        </w:tabs>
        <w:ind w:left="6480" w:hanging="360"/>
      </w:pPr>
      <w:rPr>
        <w:rFonts w:ascii="Arial" w:hAnsi="Arial" w:hint="default"/>
      </w:rPr>
    </w:lvl>
  </w:abstractNum>
  <w:abstractNum w:abstractNumId="11">
    <w:nsid w:val="289526F8"/>
    <w:multiLevelType w:val="hybridMultilevel"/>
    <w:tmpl w:val="5128C3E8"/>
    <w:lvl w:ilvl="0" w:tplc="225C6AC4">
      <w:start w:val="1"/>
      <w:numFmt w:val="bullet"/>
      <w:lvlText w:val="•"/>
      <w:lvlJc w:val="left"/>
      <w:pPr>
        <w:tabs>
          <w:tab w:val="num" w:pos="720"/>
        </w:tabs>
        <w:ind w:left="720" w:hanging="360"/>
      </w:pPr>
      <w:rPr>
        <w:rFonts w:ascii="Arial" w:hAnsi="Arial" w:hint="default"/>
      </w:rPr>
    </w:lvl>
    <w:lvl w:ilvl="1" w:tplc="5368485A" w:tentative="1">
      <w:start w:val="1"/>
      <w:numFmt w:val="bullet"/>
      <w:lvlText w:val="•"/>
      <w:lvlJc w:val="left"/>
      <w:pPr>
        <w:tabs>
          <w:tab w:val="num" w:pos="1440"/>
        </w:tabs>
        <w:ind w:left="1440" w:hanging="360"/>
      </w:pPr>
      <w:rPr>
        <w:rFonts w:ascii="Arial" w:hAnsi="Arial" w:hint="default"/>
      </w:rPr>
    </w:lvl>
    <w:lvl w:ilvl="2" w:tplc="1CA2D85C" w:tentative="1">
      <w:start w:val="1"/>
      <w:numFmt w:val="bullet"/>
      <w:lvlText w:val="•"/>
      <w:lvlJc w:val="left"/>
      <w:pPr>
        <w:tabs>
          <w:tab w:val="num" w:pos="2160"/>
        </w:tabs>
        <w:ind w:left="2160" w:hanging="360"/>
      </w:pPr>
      <w:rPr>
        <w:rFonts w:ascii="Arial" w:hAnsi="Arial" w:hint="default"/>
      </w:rPr>
    </w:lvl>
    <w:lvl w:ilvl="3" w:tplc="F10602A8">
      <w:start w:val="1"/>
      <w:numFmt w:val="bullet"/>
      <w:lvlText w:val="•"/>
      <w:lvlJc w:val="left"/>
      <w:pPr>
        <w:tabs>
          <w:tab w:val="num" w:pos="2880"/>
        </w:tabs>
        <w:ind w:left="2880" w:hanging="360"/>
      </w:pPr>
      <w:rPr>
        <w:rFonts w:ascii="Arial" w:hAnsi="Arial" w:hint="default"/>
      </w:rPr>
    </w:lvl>
    <w:lvl w:ilvl="4" w:tplc="50CAF054" w:tentative="1">
      <w:start w:val="1"/>
      <w:numFmt w:val="bullet"/>
      <w:lvlText w:val="•"/>
      <w:lvlJc w:val="left"/>
      <w:pPr>
        <w:tabs>
          <w:tab w:val="num" w:pos="3600"/>
        </w:tabs>
        <w:ind w:left="3600" w:hanging="360"/>
      </w:pPr>
      <w:rPr>
        <w:rFonts w:ascii="Arial" w:hAnsi="Arial" w:hint="default"/>
      </w:rPr>
    </w:lvl>
    <w:lvl w:ilvl="5" w:tplc="87B80DF2" w:tentative="1">
      <w:start w:val="1"/>
      <w:numFmt w:val="bullet"/>
      <w:lvlText w:val="•"/>
      <w:lvlJc w:val="left"/>
      <w:pPr>
        <w:tabs>
          <w:tab w:val="num" w:pos="4320"/>
        </w:tabs>
        <w:ind w:left="4320" w:hanging="360"/>
      </w:pPr>
      <w:rPr>
        <w:rFonts w:ascii="Arial" w:hAnsi="Arial" w:hint="default"/>
      </w:rPr>
    </w:lvl>
    <w:lvl w:ilvl="6" w:tplc="6E6CA710" w:tentative="1">
      <w:start w:val="1"/>
      <w:numFmt w:val="bullet"/>
      <w:lvlText w:val="•"/>
      <w:lvlJc w:val="left"/>
      <w:pPr>
        <w:tabs>
          <w:tab w:val="num" w:pos="5040"/>
        </w:tabs>
        <w:ind w:left="5040" w:hanging="360"/>
      </w:pPr>
      <w:rPr>
        <w:rFonts w:ascii="Arial" w:hAnsi="Arial" w:hint="default"/>
      </w:rPr>
    </w:lvl>
    <w:lvl w:ilvl="7" w:tplc="BF0A6C32" w:tentative="1">
      <w:start w:val="1"/>
      <w:numFmt w:val="bullet"/>
      <w:lvlText w:val="•"/>
      <w:lvlJc w:val="left"/>
      <w:pPr>
        <w:tabs>
          <w:tab w:val="num" w:pos="5760"/>
        </w:tabs>
        <w:ind w:left="5760" w:hanging="360"/>
      </w:pPr>
      <w:rPr>
        <w:rFonts w:ascii="Arial" w:hAnsi="Arial" w:hint="default"/>
      </w:rPr>
    </w:lvl>
    <w:lvl w:ilvl="8" w:tplc="26749330" w:tentative="1">
      <w:start w:val="1"/>
      <w:numFmt w:val="bullet"/>
      <w:lvlText w:val="•"/>
      <w:lvlJc w:val="left"/>
      <w:pPr>
        <w:tabs>
          <w:tab w:val="num" w:pos="6480"/>
        </w:tabs>
        <w:ind w:left="6480" w:hanging="360"/>
      </w:pPr>
      <w:rPr>
        <w:rFonts w:ascii="Arial" w:hAnsi="Arial" w:hint="default"/>
      </w:rPr>
    </w:lvl>
  </w:abstractNum>
  <w:abstractNum w:abstractNumId="12">
    <w:nsid w:val="2B4F3F7E"/>
    <w:multiLevelType w:val="hybridMultilevel"/>
    <w:tmpl w:val="058E5102"/>
    <w:lvl w:ilvl="0" w:tplc="4E2680AE">
      <w:start w:val="1"/>
      <w:numFmt w:val="bullet"/>
      <w:lvlText w:val="•"/>
      <w:lvlJc w:val="left"/>
      <w:pPr>
        <w:tabs>
          <w:tab w:val="num" w:pos="720"/>
        </w:tabs>
        <w:ind w:left="720" w:hanging="360"/>
      </w:pPr>
      <w:rPr>
        <w:rFonts w:ascii="Arial" w:hAnsi="Arial" w:hint="default"/>
      </w:rPr>
    </w:lvl>
    <w:lvl w:ilvl="1" w:tplc="0D247154">
      <w:start w:val="1"/>
      <w:numFmt w:val="bullet"/>
      <w:lvlText w:val="•"/>
      <w:lvlJc w:val="left"/>
      <w:pPr>
        <w:tabs>
          <w:tab w:val="num" w:pos="1440"/>
        </w:tabs>
        <w:ind w:left="1440" w:hanging="360"/>
      </w:pPr>
      <w:rPr>
        <w:rFonts w:ascii="Arial" w:hAnsi="Arial" w:hint="default"/>
      </w:rPr>
    </w:lvl>
    <w:lvl w:ilvl="2" w:tplc="4264618A" w:tentative="1">
      <w:start w:val="1"/>
      <w:numFmt w:val="bullet"/>
      <w:lvlText w:val="•"/>
      <w:lvlJc w:val="left"/>
      <w:pPr>
        <w:tabs>
          <w:tab w:val="num" w:pos="2160"/>
        </w:tabs>
        <w:ind w:left="2160" w:hanging="360"/>
      </w:pPr>
      <w:rPr>
        <w:rFonts w:ascii="Arial" w:hAnsi="Arial" w:hint="default"/>
      </w:rPr>
    </w:lvl>
    <w:lvl w:ilvl="3" w:tplc="88687526" w:tentative="1">
      <w:start w:val="1"/>
      <w:numFmt w:val="bullet"/>
      <w:lvlText w:val="•"/>
      <w:lvlJc w:val="left"/>
      <w:pPr>
        <w:tabs>
          <w:tab w:val="num" w:pos="2880"/>
        </w:tabs>
        <w:ind w:left="2880" w:hanging="360"/>
      </w:pPr>
      <w:rPr>
        <w:rFonts w:ascii="Arial" w:hAnsi="Arial" w:hint="default"/>
      </w:rPr>
    </w:lvl>
    <w:lvl w:ilvl="4" w:tplc="9ACE5F32" w:tentative="1">
      <w:start w:val="1"/>
      <w:numFmt w:val="bullet"/>
      <w:lvlText w:val="•"/>
      <w:lvlJc w:val="left"/>
      <w:pPr>
        <w:tabs>
          <w:tab w:val="num" w:pos="3600"/>
        </w:tabs>
        <w:ind w:left="3600" w:hanging="360"/>
      </w:pPr>
      <w:rPr>
        <w:rFonts w:ascii="Arial" w:hAnsi="Arial" w:hint="default"/>
      </w:rPr>
    </w:lvl>
    <w:lvl w:ilvl="5" w:tplc="596E38F0" w:tentative="1">
      <w:start w:val="1"/>
      <w:numFmt w:val="bullet"/>
      <w:lvlText w:val="•"/>
      <w:lvlJc w:val="left"/>
      <w:pPr>
        <w:tabs>
          <w:tab w:val="num" w:pos="4320"/>
        </w:tabs>
        <w:ind w:left="4320" w:hanging="360"/>
      </w:pPr>
      <w:rPr>
        <w:rFonts w:ascii="Arial" w:hAnsi="Arial" w:hint="default"/>
      </w:rPr>
    </w:lvl>
    <w:lvl w:ilvl="6" w:tplc="E25EAA84" w:tentative="1">
      <w:start w:val="1"/>
      <w:numFmt w:val="bullet"/>
      <w:lvlText w:val="•"/>
      <w:lvlJc w:val="left"/>
      <w:pPr>
        <w:tabs>
          <w:tab w:val="num" w:pos="5040"/>
        </w:tabs>
        <w:ind w:left="5040" w:hanging="360"/>
      </w:pPr>
      <w:rPr>
        <w:rFonts w:ascii="Arial" w:hAnsi="Arial" w:hint="default"/>
      </w:rPr>
    </w:lvl>
    <w:lvl w:ilvl="7" w:tplc="FEE07352" w:tentative="1">
      <w:start w:val="1"/>
      <w:numFmt w:val="bullet"/>
      <w:lvlText w:val="•"/>
      <w:lvlJc w:val="left"/>
      <w:pPr>
        <w:tabs>
          <w:tab w:val="num" w:pos="5760"/>
        </w:tabs>
        <w:ind w:left="5760" w:hanging="360"/>
      </w:pPr>
      <w:rPr>
        <w:rFonts w:ascii="Arial" w:hAnsi="Arial" w:hint="default"/>
      </w:rPr>
    </w:lvl>
    <w:lvl w:ilvl="8" w:tplc="746A9404" w:tentative="1">
      <w:start w:val="1"/>
      <w:numFmt w:val="bullet"/>
      <w:lvlText w:val="•"/>
      <w:lvlJc w:val="left"/>
      <w:pPr>
        <w:tabs>
          <w:tab w:val="num" w:pos="6480"/>
        </w:tabs>
        <w:ind w:left="6480" w:hanging="360"/>
      </w:pPr>
      <w:rPr>
        <w:rFonts w:ascii="Arial" w:hAnsi="Arial" w:hint="default"/>
      </w:rPr>
    </w:lvl>
  </w:abstractNum>
  <w:abstractNum w:abstractNumId="13">
    <w:nsid w:val="2BF64032"/>
    <w:multiLevelType w:val="hybridMultilevel"/>
    <w:tmpl w:val="0F08F7F8"/>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D65F2C"/>
    <w:multiLevelType w:val="hybridMultilevel"/>
    <w:tmpl w:val="ECE80044"/>
    <w:lvl w:ilvl="0" w:tplc="BCEE7A58">
      <w:start w:val="1"/>
      <w:numFmt w:val="bullet"/>
      <w:lvlText w:val=""/>
      <w:lvlPicBulletId w:val="0"/>
      <w:lvlJc w:val="left"/>
      <w:pPr>
        <w:ind w:left="360" w:hanging="360"/>
      </w:pPr>
      <w:rPr>
        <w:rFonts w:ascii="Symbol" w:hAnsi="Symbol" w:hint="default"/>
        <w:color w:val="auto"/>
      </w:rPr>
    </w:lvl>
    <w:lvl w:ilvl="1" w:tplc="B16E79F0">
      <w:start w:val="1"/>
      <w:numFmt w:val="bullet"/>
      <w:lvlText w:val="o"/>
      <w:lvlJc w:val="left"/>
      <w:pPr>
        <w:ind w:left="644" w:hanging="360"/>
      </w:pPr>
      <w:rPr>
        <w:rFonts w:ascii="Courier New" w:hAnsi="Courier New" w:cs="Courier New" w:hint="default"/>
        <w:sz w:val="18"/>
        <w:szCs w:val="18"/>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23D7C8F"/>
    <w:multiLevelType w:val="hybridMultilevel"/>
    <w:tmpl w:val="9DE6E894"/>
    <w:lvl w:ilvl="0" w:tplc="1D02554A">
      <w:start w:val="1"/>
      <w:numFmt w:val="bullet"/>
      <w:lvlText w:val="•"/>
      <w:lvlJc w:val="left"/>
      <w:pPr>
        <w:tabs>
          <w:tab w:val="num" w:pos="720"/>
        </w:tabs>
        <w:ind w:left="720" w:hanging="360"/>
      </w:pPr>
      <w:rPr>
        <w:rFonts w:ascii="Arial" w:hAnsi="Arial" w:hint="default"/>
      </w:rPr>
    </w:lvl>
    <w:lvl w:ilvl="1" w:tplc="65587D5E">
      <w:start w:val="1"/>
      <w:numFmt w:val="bullet"/>
      <w:lvlText w:val="•"/>
      <w:lvlJc w:val="left"/>
      <w:pPr>
        <w:tabs>
          <w:tab w:val="num" w:pos="1440"/>
        </w:tabs>
        <w:ind w:left="1440" w:hanging="360"/>
      </w:pPr>
      <w:rPr>
        <w:rFonts w:ascii="Arial" w:hAnsi="Arial" w:hint="default"/>
      </w:rPr>
    </w:lvl>
    <w:lvl w:ilvl="2" w:tplc="048E3670" w:tentative="1">
      <w:start w:val="1"/>
      <w:numFmt w:val="bullet"/>
      <w:lvlText w:val="•"/>
      <w:lvlJc w:val="left"/>
      <w:pPr>
        <w:tabs>
          <w:tab w:val="num" w:pos="2160"/>
        </w:tabs>
        <w:ind w:left="2160" w:hanging="360"/>
      </w:pPr>
      <w:rPr>
        <w:rFonts w:ascii="Arial" w:hAnsi="Arial" w:hint="default"/>
      </w:rPr>
    </w:lvl>
    <w:lvl w:ilvl="3" w:tplc="B89E19B6" w:tentative="1">
      <w:start w:val="1"/>
      <w:numFmt w:val="bullet"/>
      <w:lvlText w:val="•"/>
      <w:lvlJc w:val="left"/>
      <w:pPr>
        <w:tabs>
          <w:tab w:val="num" w:pos="2880"/>
        </w:tabs>
        <w:ind w:left="2880" w:hanging="360"/>
      </w:pPr>
      <w:rPr>
        <w:rFonts w:ascii="Arial" w:hAnsi="Arial" w:hint="default"/>
      </w:rPr>
    </w:lvl>
    <w:lvl w:ilvl="4" w:tplc="A190880E" w:tentative="1">
      <w:start w:val="1"/>
      <w:numFmt w:val="bullet"/>
      <w:lvlText w:val="•"/>
      <w:lvlJc w:val="left"/>
      <w:pPr>
        <w:tabs>
          <w:tab w:val="num" w:pos="3600"/>
        </w:tabs>
        <w:ind w:left="3600" w:hanging="360"/>
      </w:pPr>
      <w:rPr>
        <w:rFonts w:ascii="Arial" w:hAnsi="Arial" w:hint="default"/>
      </w:rPr>
    </w:lvl>
    <w:lvl w:ilvl="5" w:tplc="FA6C9E24" w:tentative="1">
      <w:start w:val="1"/>
      <w:numFmt w:val="bullet"/>
      <w:lvlText w:val="•"/>
      <w:lvlJc w:val="left"/>
      <w:pPr>
        <w:tabs>
          <w:tab w:val="num" w:pos="4320"/>
        </w:tabs>
        <w:ind w:left="4320" w:hanging="360"/>
      </w:pPr>
      <w:rPr>
        <w:rFonts w:ascii="Arial" w:hAnsi="Arial" w:hint="default"/>
      </w:rPr>
    </w:lvl>
    <w:lvl w:ilvl="6" w:tplc="31DAFC94" w:tentative="1">
      <w:start w:val="1"/>
      <w:numFmt w:val="bullet"/>
      <w:lvlText w:val="•"/>
      <w:lvlJc w:val="left"/>
      <w:pPr>
        <w:tabs>
          <w:tab w:val="num" w:pos="5040"/>
        </w:tabs>
        <w:ind w:left="5040" w:hanging="360"/>
      </w:pPr>
      <w:rPr>
        <w:rFonts w:ascii="Arial" w:hAnsi="Arial" w:hint="default"/>
      </w:rPr>
    </w:lvl>
    <w:lvl w:ilvl="7" w:tplc="81B231A2" w:tentative="1">
      <w:start w:val="1"/>
      <w:numFmt w:val="bullet"/>
      <w:lvlText w:val="•"/>
      <w:lvlJc w:val="left"/>
      <w:pPr>
        <w:tabs>
          <w:tab w:val="num" w:pos="5760"/>
        </w:tabs>
        <w:ind w:left="5760" w:hanging="360"/>
      </w:pPr>
      <w:rPr>
        <w:rFonts w:ascii="Arial" w:hAnsi="Arial" w:hint="default"/>
      </w:rPr>
    </w:lvl>
    <w:lvl w:ilvl="8" w:tplc="66926560" w:tentative="1">
      <w:start w:val="1"/>
      <w:numFmt w:val="bullet"/>
      <w:lvlText w:val="•"/>
      <w:lvlJc w:val="left"/>
      <w:pPr>
        <w:tabs>
          <w:tab w:val="num" w:pos="6480"/>
        </w:tabs>
        <w:ind w:left="6480" w:hanging="360"/>
      </w:pPr>
      <w:rPr>
        <w:rFonts w:ascii="Arial" w:hAnsi="Arial" w:hint="default"/>
      </w:rPr>
    </w:lvl>
  </w:abstractNum>
  <w:abstractNum w:abstractNumId="16">
    <w:nsid w:val="36495E9E"/>
    <w:multiLevelType w:val="hybridMultilevel"/>
    <w:tmpl w:val="3CE0B506"/>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85D7BBD"/>
    <w:multiLevelType w:val="hybridMultilevel"/>
    <w:tmpl w:val="8E84CBEE"/>
    <w:lvl w:ilvl="0" w:tplc="21341AFE">
      <w:start w:val="1"/>
      <w:numFmt w:val="bullet"/>
      <w:lvlText w:val="•"/>
      <w:lvlJc w:val="left"/>
      <w:pPr>
        <w:tabs>
          <w:tab w:val="num" w:pos="720"/>
        </w:tabs>
        <w:ind w:left="720" w:hanging="360"/>
      </w:pPr>
      <w:rPr>
        <w:rFonts w:ascii="Arial" w:hAnsi="Arial" w:hint="default"/>
      </w:rPr>
    </w:lvl>
    <w:lvl w:ilvl="1" w:tplc="D88648A6">
      <w:start w:val="1"/>
      <w:numFmt w:val="bullet"/>
      <w:lvlText w:val="•"/>
      <w:lvlJc w:val="left"/>
      <w:pPr>
        <w:tabs>
          <w:tab w:val="num" w:pos="1440"/>
        </w:tabs>
        <w:ind w:left="1440" w:hanging="360"/>
      </w:pPr>
      <w:rPr>
        <w:rFonts w:ascii="Arial" w:hAnsi="Arial" w:hint="default"/>
      </w:rPr>
    </w:lvl>
    <w:lvl w:ilvl="2" w:tplc="6532C9D0" w:tentative="1">
      <w:start w:val="1"/>
      <w:numFmt w:val="bullet"/>
      <w:lvlText w:val="•"/>
      <w:lvlJc w:val="left"/>
      <w:pPr>
        <w:tabs>
          <w:tab w:val="num" w:pos="2160"/>
        </w:tabs>
        <w:ind w:left="2160" w:hanging="360"/>
      </w:pPr>
      <w:rPr>
        <w:rFonts w:ascii="Arial" w:hAnsi="Arial" w:hint="default"/>
      </w:rPr>
    </w:lvl>
    <w:lvl w:ilvl="3" w:tplc="EF88E52E" w:tentative="1">
      <w:start w:val="1"/>
      <w:numFmt w:val="bullet"/>
      <w:lvlText w:val="•"/>
      <w:lvlJc w:val="left"/>
      <w:pPr>
        <w:tabs>
          <w:tab w:val="num" w:pos="2880"/>
        </w:tabs>
        <w:ind w:left="2880" w:hanging="360"/>
      </w:pPr>
      <w:rPr>
        <w:rFonts w:ascii="Arial" w:hAnsi="Arial" w:hint="default"/>
      </w:rPr>
    </w:lvl>
    <w:lvl w:ilvl="4" w:tplc="DCE6F188" w:tentative="1">
      <w:start w:val="1"/>
      <w:numFmt w:val="bullet"/>
      <w:lvlText w:val="•"/>
      <w:lvlJc w:val="left"/>
      <w:pPr>
        <w:tabs>
          <w:tab w:val="num" w:pos="3600"/>
        </w:tabs>
        <w:ind w:left="3600" w:hanging="360"/>
      </w:pPr>
      <w:rPr>
        <w:rFonts w:ascii="Arial" w:hAnsi="Arial" w:hint="default"/>
      </w:rPr>
    </w:lvl>
    <w:lvl w:ilvl="5" w:tplc="A52E434C" w:tentative="1">
      <w:start w:val="1"/>
      <w:numFmt w:val="bullet"/>
      <w:lvlText w:val="•"/>
      <w:lvlJc w:val="left"/>
      <w:pPr>
        <w:tabs>
          <w:tab w:val="num" w:pos="4320"/>
        </w:tabs>
        <w:ind w:left="4320" w:hanging="360"/>
      </w:pPr>
      <w:rPr>
        <w:rFonts w:ascii="Arial" w:hAnsi="Arial" w:hint="default"/>
      </w:rPr>
    </w:lvl>
    <w:lvl w:ilvl="6" w:tplc="281C0AF6" w:tentative="1">
      <w:start w:val="1"/>
      <w:numFmt w:val="bullet"/>
      <w:lvlText w:val="•"/>
      <w:lvlJc w:val="left"/>
      <w:pPr>
        <w:tabs>
          <w:tab w:val="num" w:pos="5040"/>
        </w:tabs>
        <w:ind w:left="5040" w:hanging="360"/>
      </w:pPr>
      <w:rPr>
        <w:rFonts w:ascii="Arial" w:hAnsi="Arial" w:hint="default"/>
      </w:rPr>
    </w:lvl>
    <w:lvl w:ilvl="7" w:tplc="E3DABD82" w:tentative="1">
      <w:start w:val="1"/>
      <w:numFmt w:val="bullet"/>
      <w:lvlText w:val="•"/>
      <w:lvlJc w:val="left"/>
      <w:pPr>
        <w:tabs>
          <w:tab w:val="num" w:pos="5760"/>
        </w:tabs>
        <w:ind w:left="5760" w:hanging="360"/>
      </w:pPr>
      <w:rPr>
        <w:rFonts w:ascii="Arial" w:hAnsi="Arial" w:hint="default"/>
      </w:rPr>
    </w:lvl>
    <w:lvl w:ilvl="8" w:tplc="CB9E05DE" w:tentative="1">
      <w:start w:val="1"/>
      <w:numFmt w:val="bullet"/>
      <w:lvlText w:val="•"/>
      <w:lvlJc w:val="left"/>
      <w:pPr>
        <w:tabs>
          <w:tab w:val="num" w:pos="6480"/>
        </w:tabs>
        <w:ind w:left="6480" w:hanging="360"/>
      </w:pPr>
      <w:rPr>
        <w:rFonts w:ascii="Arial" w:hAnsi="Arial" w:hint="default"/>
      </w:rPr>
    </w:lvl>
  </w:abstractNum>
  <w:abstractNum w:abstractNumId="18">
    <w:nsid w:val="397A3FA4"/>
    <w:multiLevelType w:val="hybridMultilevel"/>
    <w:tmpl w:val="5D10B220"/>
    <w:lvl w:ilvl="0" w:tplc="1DC4642C">
      <w:start w:val="1"/>
      <w:numFmt w:val="bullet"/>
      <w:lvlText w:val="•"/>
      <w:lvlJc w:val="left"/>
      <w:pPr>
        <w:tabs>
          <w:tab w:val="num" w:pos="720"/>
        </w:tabs>
        <w:ind w:left="720" w:hanging="360"/>
      </w:pPr>
      <w:rPr>
        <w:rFonts w:ascii="Arial" w:hAnsi="Arial" w:hint="default"/>
      </w:rPr>
    </w:lvl>
    <w:lvl w:ilvl="1" w:tplc="56D45D92" w:tentative="1">
      <w:start w:val="1"/>
      <w:numFmt w:val="bullet"/>
      <w:lvlText w:val="•"/>
      <w:lvlJc w:val="left"/>
      <w:pPr>
        <w:tabs>
          <w:tab w:val="num" w:pos="1440"/>
        </w:tabs>
        <w:ind w:left="1440" w:hanging="360"/>
      </w:pPr>
      <w:rPr>
        <w:rFonts w:ascii="Arial" w:hAnsi="Arial" w:hint="default"/>
      </w:rPr>
    </w:lvl>
    <w:lvl w:ilvl="2" w:tplc="47948860" w:tentative="1">
      <w:start w:val="1"/>
      <w:numFmt w:val="bullet"/>
      <w:lvlText w:val="•"/>
      <w:lvlJc w:val="left"/>
      <w:pPr>
        <w:tabs>
          <w:tab w:val="num" w:pos="2160"/>
        </w:tabs>
        <w:ind w:left="2160" w:hanging="360"/>
      </w:pPr>
      <w:rPr>
        <w:rFonts w:ascii="Arial" w:hAnsi="Arial" w:hint="default"/>
      </w:rPr>
    </w:lvl>
    <w:lvl w:ilvl="3" w:tplc="47A84E50">
      <w:start w:val="1"/>
      <w:numFmt w:val="bullet"/>
      <w:lvlText w:val="•"/>
      <w:lvlJc w:val="left"/>
      <w:pPr>
        <w:tabs>
          <w:tab w:val="num" w:pos="2880"/>
        </w:tabs>
        <w:ind w:left="2880" w:hanging="360"/>
      </w:pPr>
      <w:rPr>
        <w:rFonts w:ascii="Arial" w:hAnsi="Arial" w:hint="default"/>
      </w:rPr>
    </w:lvl>
    <w:lvl w:ilvl="4" w:tplc="DA6CF9EC" w:tentative="1">
      <w:start w:val="1"/>
      <w:numFmt w:val="bullet"/>
      <w:lvlText w:val="•"/>
      <w:lvlJc w:val="left"/>
      <w:pPr>
        <w:tabs>
          <w:tab w:val="num" w:pos="3600"/>
        </w:tabs>
        <w:ind w:left="3600" w:hanging="360"/>
      </w:pPr>
      <w:rPr>
        <w:rFonts w:ascii="Arial" w:hAnsi="Arial" w:hint="default"/>
      </w:rPr>
    </w:lvl>
    <w:lvl w:ilvl="5" w:tplc="6DEEA9D6" w:tentative="1">
      <w:start w:val="1"/>
      <w:numFmt w:val="bullet"/>
      <w:lvlText w:val="•"/>
      <w:lvlJc w:val="left"/>
      <w:pPr>
        <w:tabs>
          <w:tab w:val="num" w:pos="4320"/>
        </w:tabs>
        <w:ind w:left="4320" w:hanging="360"/>
      </w:pPr>
      <w:rPr>
        <w:rFonts w:ascii="Arial" w:hAnsi="Arial" w:hint="default"/>
      </w:rPr>
    </w:lvl>
    <w:lvl w:ilvl="6" w:tplc="2B40AD1C" w:tentative="1">
      <w:start w:val="1"/>
      <w:numFmt w:val="bullet"/>
      <w:lvlText w:val="•"/>
      <w:lvlJc w:val="left"/>
      <w:pPr>
        <w:tabs>
          <w:tab w:val="num" w:pos="5040"/>
        </w:tabs>
        <w:ind w:left="5040" w:hanging="360"/>
      </w:pPr>
      <w:rPr>
        <w:rFonts w:ascii="Arial" w:hAnsi="Arial" w:hint="default"/>
      </w:rPr>
    </w:lvl>
    <w:lvl w:ilvl="7" w:tplc="9B8CF764" w:tentative="1">
      <w:start w:val="1"/>
      <w:numFmt w:val="bullet"/>
      <w:lvlText w:val="•"/>
      <w:lvlJc w:val="left"/>
      <w:pPr>
        <w:tabs>
          <w:tab w:val="num" w:pos="5760"/>
        </w:tabs>
        <w:ind w:left="5760" w:hanging="360"/>
      </w:pPr>
      <w:rPr>
        <w:rFonts w:ascii="Arial" w:hAnsi="Arial" w:hint="default"/>
      </w:rPr>
    </w:lvl>
    <w:lvl w:ilvl="8" w:tplc="5AC6AFDA" w:tentative="1">
      <w:start w:val="1"/>
      <w:numFmt w:val="bullet"/>
      <w:lvlText w:val="•"/>
      <w:lvlJc w:val="left"/>
      <w:pPr>
        <w:tabs>
          <w:tab w:val="num" w:pos="6480"/>
        </w:tabs>
        <w:ind w:left="6480" w:hanging="360"/>
      </w:pPr>
      <w:rPr>
        <w:rFonts w:ascii="Arial" w:hAnsi="Arial" w:hint="default"/>
      </w:rPr>
    </w:lvl>
  </w:abstractNum>
  <w:abstractNum w:abstractNumId="19">
    <w:nsid w:val="3DA408D5"/>
    <w:multiLevelType w:val="hybridMultilevel"/>
    <w:tmpl w:val="418033D6"/>
    <w:lvl w:ilvl="0" w:tplc="AD3C6BA6">
      <w:numFmt w:val="bullet"/>
      <w:lvlText w:val=""/>
      <w:lvlJc w:val="left"/>
      <w:pPr>
        <w:ind w:left="1080" w:hanging="72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E186890"/>
    <w:multiLevelType w:val="hybridMultilevel"/>
    <w:tmpl w:val="A10E4270"/>
    <w:lvl w:ilvl="0" w:tplc="2C0A0998">
      <w:start w:val="1"/>
      <w:numFmt w:val="lowerLetter"/>
      <w:lvlText w:val="%1)"/>
      <w:lvlJc w:val="left"/>
      <w:pPr>
        <w:ind w:left="360" w:hanging="360"/>
      </w:pPr>
      <w:rPr>
        <w:rFonts w:hint="default"/>
      </w:rPr>
    </w:lvl>
    <w:lvl w:ilvl="1" w:tplc="77BE2CB2">
      <w:start w:val="1"/>
      <w:numFmt w:val="bullet"/>
      <w:lvlText w:val="o"/>
      <w:lvlJc w:val="left"/>
      <w:pPr>
        <w:ind w:left="1080" w:hanging="360"/>
      </w:pPr>
      <w:rPr>
        <w:rFonts w:ascii="Courier New" w:hAnsi="Courier New" w:cs="Courier New" w:hint="default"/>
      </w:rPr>
    </w:lvl>
    <w:lvl w:ilvl="2" w:tplc="FC3E7F34">
      <w:start w:val="1"/>
      <w:numFmt w:val="bullet"/>
      <w:lvlText w:val=""/>
      <w:lvlJc w:val="left"/>
      <w:pPr>
        <w:ind w:left="1800" w:hanging="360"/>
      </w:pPr>
      <w:rPr>
        <w:rFonts w:ascii="Wingdings" w:hAnsi="Wingdings" w:hint="default"/>
      </w:rPr>
    </w:lvl>
    <w:lvl w:ilvl="3" w:tplc="825A1678">
      <w:start w:val="1"/>
      <w:numFmt w:val="bullet"/>
      <w:lvlText w:val=""/>
      <w:lvlJc w:val="left"/>
      <w:pPr>
        <w:ind w:left="2520" w:hanging="360"/>
      </w:pPr>
      <w:rPr>
        <w:rFonts w:ascii="Symbol" w:hAnsi="Symbol" w:hint="default"/>
      </w:rPr>
    </w:lvl>
    <w:lvl w:ilvl="4" w:tplc="37AC2590">
      <w:start w:val="1"/>
      <w:numFmt w:val="bullet"/>
      <w:lvlText w:val="o"/>
      <w:lvlJc w:val="left"/>
      <w:pPr>
        <w:ind w:left="3240" w:hanging="360"/>
      </w:pPr>
      <w:rPr>
        <w:rFonts w:ascii="Courier New" w:hAnsi="Courier New" w:cs="Courier New" w:hint="default"/>
      </w:rPr>
    </w:lvl>
    <w:lvl w:ilvl="5" w:tplc="8ED4C15C">
      <w:start w:val="1"/>
      <w:numFmt w:val="bullet"/>
      <w:lvlText w:val=""/>
      <w:lvlJc w:val="left"/>
      <w:pPr>
        <w:ind w:left="3960" w:hanging="360"/>
      </w:pPr>
      <w:rPr>
        <w:rFonts w:ascii="Wingdings" w:hAnsi="Wingdings" w:hint="default"/>
      </w:rPr>
    </w:lvl>
    <w:lvl w:ilvl="6" w:tplc="95649FF8">
      <w:start w:val="1"/>
      <w:numFmt w:val="bullet"/>
      <w:lvlText w:val=""/>
      <w:lvlJc w:val="left"/>
      <w:pPr>
        <w:ind w:left="4680" w:hanging="360"/>
      </w:pPr>
      <w:rPr>
        <w:rFonts w:ascii="Symbol" w:hAnsi="Symbol" w:hint="default"/>
      </w:rPr>
    </w:lvl>
    <w:lvl w:ilvl="7" w:tplc="846EDDA0">
      <w:start w:val="1"/>
      <w:numFmt w:val="bullet"/>
      <w:lvlText w:val="o"/>
      <w:lvlJc w:val="left"/>
      <w:pPr>
        <w:ind w:left="5400" w:hanging="360"/>
      </w:pPr>
      <w:rPr>
        <w:rFonts w:ascii="Courier New" w:hAnsi="Courier New" w:cs="Courier New" w:hint="default"/>
      </w:rPr>
    </w:lvl>
    <w:lvl w:ilvl="8" w:tplc="F5E6073A">
      <w:start w:val="1"/>
      <w:numFmt w:val="bullet"/>
      <w:lvlText w:val=""/>
      <w:lvlJc w:val="left"/>
      <w:pPr>
        <w:ind w:left="6120" w:hanging="360"/>
      </w:pPr>
      <w:rPr>
        <w:rFonts w:ascii="Wingdings" w:hAnsi="Wingdings" w:hint="default"/>
      </w:rPr>
    </w:lvl>
  </w:abstractNum>
  <w:abstractNum w:abstractNumId="21">
    <w:nsid w:val="3E186891"/>
    <w:multiLevelType w:val="hybridMultilevel"/>
    <w:tmpl w:val="C26A0A5A"/>
    <w:lvl w:ilvl="0" w:tplc="6C78A2DC">
      <w:start w:val="1"/>
      <w:numFmt w:val="bullet"/>
      <w:lvlText w:val=""/>
      <w:lvlJc w:val="left"/>
      <w:pPr>
        <w:ind w:left="360" w:hanging="360"/>
      </w:pPr>
      <w:rPr>
        <w:rFonts w:ascii="Symbol" w:hAnsi="Symbol" w:hint="default"/>
        <w:color w:val="auto"/>
        <w:sz w:val="18"/>
        <w:szCs w:val="18"/>
      </w:rPr>
    </w:lvl>
    <w:lvl w:ilvl="1" w:tplc="3FA066C2" w:tentative="1">
      <w:start w:val="1"/>
      <w:numFmt w:val="bullet"/>
      <w:lvlText w:val="o"/>
      <w:lvlJc w:val="left"/>
      <w:pPr>
        <w:ind w:left="1080" w:hanging="360"/>
      </w:pPr>
      <w:rPr>
        <w:rFonts w:ascii="Courier New" w:hAnsi="Courier New" w:cs="Courier New" w:hint="default"/>
      </w:rPr>
    </w:lvl>
    <w:lvl w:ilvl="2" w:tplc="A90CCA78" w:tentative="1">
      <w:start w:val="1"/>
      <w:numFmt w:val="bullet"/>
      <w:lvlText w:val=""/>
      <w:lvlJc w:val="left"/>
      <w:pPr>
        <w:ind w:left="1800" w:hanging="360"/>
      </w:pPr>
      <w:rPr>
        <w:rFonts w:ascii="Wingdings" w:hAnsi="Wingdings" w:hint="default"/>
      </w:rPr>
    </w:lvl>
    <w:lvl w:ilvl="3" w:tplc="1C2C2A58" w:tentative="1">
      <w:start w:val="1"/>
      <w:numFmt w:val="bullet"/>
      <w:lvlText w:val=""/>
      <w:lvlJc w:val="left"/>
      <w:pPr>
        <w:ind w:left="2520" w:hanging="360"/>
      </w:pPr>
      <w:rPr>
        <w:rFonts w:ascii="Symbol" w:hAnsi="Symbol" w:hint="default"/>
      </w:rPr>
    </w:lvl>
    <w:lvl w:ilvl="4" w:tplc="EA6E0276" w:tentative="1">
      <w:start w:val="1"/>
      <w:numFmt w:val="bullet"/>
      <w:lvlText w:val="o"/>
      <w:lvlJc w:val="left"/>
      <w:pPr>
        <w:ind w:left="3240" w:hanging="360"/>
      </w:pPr>
      <w:rPr>
        <w:rFonts w:ascii="Courier New" w:hAnsi="Courier New" w:cs="Courier New" w:hint="default"/>
      </w:rPr>
    </w:lvl>
    <w:lvl w:ilvl="5" w:tplc="D81E809A" w:tentative="1">
      <w:start w:val="1"/>
      <w:numFmt w:val="bullet"/>
      <w:lvlText w:val=""/>
      <w:lvlJc w:val="left"/>
      <w:pPr>
        <w:ind w:left="3960" w:hanging="360"/>
      </w:pPr>
      <w:rPr>
        <w:rFonts w:ascii="Wingdings" w:hAnsi="Wingdings" w:hint="default"/>
      </w:rPr>
    </w:lvl>
    <w:lvl w:ilvl="6" w:tplc="1CA0865E" w:tentative="1">
      <w:start w:val="1"/>
      <w:numFmt w:val="bullet"/>
      <w:lvlText w:val=""/>
      <w:lvlJc w:val="left"/>
      <w:pPr>
        <w:ind w:left="4680" w:hanging="360"/>
      </w:pPr>
      <w:rPr>
        <w:rFonts w:ascii="Symbol" w:hAnsi="Symbol" w:hint="default"/>
      </w:rPr>
    </w:lvl>
    <w:lvl w:ilvl="7" w:tplc="65366370" w:tentative="1">
      <w:start w:val="1"/>
      <w:numFmt w:val="bullet"/>
      <w:lvlText w:val="o"/>
      <w:lvlJc w:val="left"/>
      <w:pPr>
        <w:ind w:left="5400" w:hanging="360"/>
      </w:pPr>
      <w:rPr>
        <w:rFonts w:ascii="Courier New" w:hAnsi="Courier New" w:cs="Courier New" w:hint="default"/>
      </w:rPr>
    </w:lvl>
    <w:lvl w:ilvl="8" w:tplc="4222A77C" w:tentative="1">
      <w:start w:val="1"/>
      <w:numFmt w:val="bullet"/>
      <w:lvlText w:val=""/>
      <w:lvlJc w:val="left"/>
      <w:pPr>
        <w:ind w:left="6120" w:hanging="360"/>
      </w:pPr>
      <w:rPr>
        <w:rFonts w:ascii="Wingdings" w:hAnsi="Wingdings" w:hint="default"/>
      </w:rPr>
    </w:lvl>
  </w:abstractNum>
  <w:abstractNum w:abstractNumId="22">
    <w:nsid w:val="3E186893"/>
    <w:multiLevelType w:val="hybridMultilevel"/>
    <w:tmpl w:val="AA306A42"/>
    <w:lvl w:ilvl="0" w:tplc="D3982C74">
      <w:start w:val="1"/>
      <w:numFmt w:val="bullet"/>
      <w:lvlText w:val=""/>
      <w:lvlJc w:val="left"/>
      <w:pPr>
        <w:ind w:left="1077" w:hanging="360"/>
      </w:pPr>
      <w:rPr>
        <w:rFonts w:ascii="Symbol" w:hAnsi="Symbol" w:hint="default"/>
      </w:rPr>
    </w:lvl>
    <w:lvl w:ilvl="1" w:tplc="C5AC0326">
      <w:start w:val="1"/>
      <w:numFmt w:val="bullet"/>
      <w:lvlText w:val="o"/>
      <w:lvlJc w:val="left"/>
      <w:pPr>
        <w:ind w:left="1797" w:hanging="360"/>
      </w:pPr>
      <w:rPr>
        <w:rFonts w:ascii="Courier New" w:hAnsi="Courier New" w:cs="Courier New" w:hint="default"/>
      </w:rPr>
    </w:lvl>
    <w:lvl w:ilvl="2" w:tplc="3634DF88">
      <w:start w:val="1"/>
      <w:numFmt w:val="bullet"/>
      <w:lvlText w:val=""/>
      <w:lvlJc w:val="left"/>
      <w:pPr>
        <w:ind w:left="2517" w:hanging="360"/>
      </w:pPr>
      <w:rPr>
        <w:rFonts w:ascii="Wingdings" w:hAnsi="Wingdings" w:hint="default"/>
      </w:rPr>
    </w:lvl>
    <w:lvl w:ilvl="3" w:tplc="0910186A">
      <w:start w:val="1"/>
      <w:numFmt w:val="bullet"/>
      <w:lvlText w:val=""/>
      <w:lvlJc w:val="left"/>
      <w:pPr>
        <w:ind w:left="3237" w:hanging="360"/>
      </w:pPr>
      <w:rPr>
        <w:rFonts w:ascii="Symbol" w:hAnsi="Symbol" w:hint="default"/>
      </w:rPr>
    </w:lvl>
    <w:lvl w:ilvl="4" w:tplc="098ECB34">
      <w:start w:val="1"/>
      <w:numFmt w:val="bullet"/>
      <w:lvlText w:val="o"/>
      <w:lvlJc w:val="left"/>
      <w:pPr>
        <w:ind w:left="3957" w:hanging="360"/>
      </w:pPr>
      <w:rPr>
        <w:rFonts w:ascii="Courier New" w:hAnsi="Courier New" w:cs="Courier New" w:hint="default"/>
      </w:rPr>
    </w:lvl>
    <w:lvl w:ilvl="5" w:tplc="3452969A">
      <w:start w:val="1"/>
      <w:numFmt w:val="bullet"/>
      <w:lvlText w:val=""/>
      <w:lvlJc w:val="left"/>
      <w:pPr>
        <w:ind w:left="4677" w:hanging="360"/>
      </w:pPr>
      <w:rPr>
        <w:rFonts w:ascii="Wingdings" w:hAnsi="Wingdings" w:hint="default"/>
      </w:rPr>
    </w:lvl>
    <w:lvl w:ilvl="6" w:tplc="16D2B84A">
      <w:start w:val="1"/>
      <w:numFmt w:val="bullet"/>
      <w:lvlText w:val=""/>
      <w:lvlJc w:val="left"/>
      <w:pPr>
        <w:ind w:left="5397" w:hanging="360"/>
      </w:pPr>
      <w:rPr>
        <w:rFonts w:ascii="Symbol" w:hAnsi="Symbol" w:hint="default"/>
      </w:rPr>
    </w:lvl>
    <w:lvl w:ilvl="7" w:tplc="98C658BA">
      <w:start w:val="1"/>
      <w:numFmt w:val="bullet"/>
      <w:lvlText w:val="o"/>
      <w:lvlJc w:val="left"/>
      <w:pPr>
        <w:ind w:left="6117" w:hanging="360"/>
      </w:pPr>
      <w:rPr>
        <w:rFonts w:ascii="Courier New" w:hAnsi="Courier New" w:cs="Courier New" w:hint="default"/>
      </w:rPr>
    </w:lvl>
    <w:lvl w:ilvl="8" w:tplc="2896906C">
      <w:start w:val="1"/>
      <w:numFmt w:val="bullet"/>
      <w:lvlText w:val=""/>
      <w:lvlJc w:val="left"/>
      <w:pPr>
        <w:ind w:left="6837" w:hanging="360"/>
      </w:pPr>
      <w:rPr>
        <w:rFonts w:ascii="Wingdings" w:hAnsi="Wingdings" w:hint="default"/>
      </w:rPr>
    </w:lvl>
  </w:abstractNum>
  <w:abstractNum w:abstractNumId="23">
    <w:nsid w:val="3E18689A"/>
    <w:multiLevelType w:val="multilevel"/>
    <w:tmpl w:val="32F66D5A"/>
    <w:lvl w:ilvl="0">
      <w:start w:val="1"/>
      <w:numFmt w:val="bullet"/>
      <w:pStyle w:val="Bullet1"/>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ᴼ"/>
      <w:lvlJc w:val="left"/>
      <w:pPr>
        <w:tabs>
          <w:tab w:val="num" w:pos="720"/>
        </w:tabs>
        <w:ind w:left="1440" w:hanging="720"/>
      </w:pPr>
      <w:rPr>
        <w:rFonts w:ascii="Tahoma" w:hAnsi="Tahoma" w:cs="Times New Roman"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3F0600B7"/>
    <w:multiLevelType w:val="hybridMultilevel"/>
    <w:tmpl w:val="D4AC5E2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3F6D712A"/>
    <w:multiLevelType w:val="hybridMultilevel"/>
    <w:tmpl w:val="391C3156"/>
    <w:lvl w:ilvl="0" w:tplc="167629E2">
      <w:start w:val="1"/>
      <w:numFmt w:val="bullet"/>
      <w:lvlText w:val="•"/>
      <w:lvlJc w:val="left"/>
      <w:pPr>
        <w:tabs>
          <w:tab w:val="num" w:pos="720"/>
        </w:tabs>
        <w:ind w:left="720" w:hanging="360"/>
      </w:pPr>
      <w:rPr>
        <w:rFonts w:ascii="Arial" w:hAnsi="Arial" w:hint="default"/>
      </w:rPr>
    </w:lvl>
    <w:lvl w:ilvl="1" w:tplc="44F4A4E0">
      <w:start w:val="1"/>
      <w:numFmt w:val="bullet"/>
      <w:lvlText w:val="•"/>
      <w:lvlJc w:val="left"/>
      <w:pPr>
        <w:tabs>
          <w:tab w:val="num" w:pos="1440"/>
        </w:tabs>
        <w:ind w:left="1440" w:hanging="360"/>
      </w:pPr>
      <w:rPr>
        <w:rFonts w:ascii="Arial" w:hAnsi="Arial" w:hint="default"/>
      </w:rPr>
    </w:lvl>
    <w:lvl w:ilvl="2" w:tplc="D1924A38" w:tentative="1">
      <w:start w:val="1"/>
      <w:numFmt w:val="bullet"/>
      <w:lvlText w:val="•"/>
      <w:lvlJc w:val="left"/>
      <w:pPr>
        <w:tabs>
          <w:tab w:val="num" w:pos="2160"/>
        </w:tabs>
        <w:ind w:left="2160" w:hanging="360"/>
      </w:pPr>
      <w:rPr>
        <w:rFonts w:ascii="Arial" w:hAnsi="Arial" w:hint="default"/>
      </w:rPr>
    </w:lvl>
    <w:lvl w:ilvl="3" w:tplc="B7386ACE" w:tentative="1">
      <w:start w:val="1"/>
      <w:numFmt w:val="bullet"/>
      <w:lvlText w:val="•"/>
      <w:lvlJc w:val="left"/>
      <w:pPr>
        <w:tabs>
          <w:tab w:val="num" w:pos="2880"/>
        </w:tabs>
        <w:ind w:left="2880" w:hanging="360"/>
      </w:pPr>
      <w:rPr>
        <w:rFonts w:ascii="Arial" w:hAnsi="Arial" w:hint="default"/>
      </w:rPr>
    </w:lvl>
    <w:lvl w:ilvl="4" w:tplc="C92C2068" w:tentative="1">
      <w:start w:val="1"/>
      <w:numFmt w:val="bullet"/>
      <w:lvlText w:val="•"/>
      <w:lvlJc w:val="left"/>
      <w:pPr>
        <w:tabs>
          <w:tab w:val="num" w:pos="3600"/>
        </w:tabs>
        <w:ind w:left="3600" w:hanging="360"/>
      </w:pPr>
      <w:rPr>
        <w:rFonts w:ascii="Arial" w:hAnsi="Arial" w:hint="default"/>
      </w:rPr>
    </w:lvl>
    <w:lvl w:ilvl="5" w:tplc="C0284486" w:tentative="1">
      <w:start w:val="1"/>
      <w:numFmt w:val="bullet"/>
      <w:lvlText w:val="•"/>
      <w:lvlJc w:val="left"/>
      <w:pPr>
        <w:tabs>
          <w:tab w:val="num" w:pos="4320"/>
        </w:tabs>
        <w:ind w:left="4320" w:hanging="360"/>
      </w:pPr>
      <w:rPr>
        <w:rFonts w:ascii="Arial" w:hAnsi="Arial" w:hint="default"/>
      </w:rPr>
    </w:lvl>
    <w:lvl w:ilvl="6" w:tplc="2F0C4EEA" w:tentative="1">
      <w:start w:val="1"/>
      <w:numFmt w:val="bullet"/>
      <w:lvlText w:val="•"/>
      <w:lvlJc w:val="left"/>
      <w:pPr>
        <w:tabs>
          <w:tab w:val="num" w:pos="5040"/>
        </w:tabs>
        <w:ind w:left="5040" w:hanging="360"/>
      </w:pPr>
      <w:rPr>
        <w:rFonts w:ascii="Arial" w:hAnsi="Arial" w:hint="default"/>
      </w:rPr>
    </w:lvl>
    <w:lvl w:ilvl="7" w:tplc="E98AD01C" w:tentative="1">
      <w:start w:val="1"/>
      <w:numFmt w:val="bullet"/>
      <w:lvlText w:val="•"/>
      <w:lvlJc w:val="left"/>
      <w:pPr>
        <w:tabs>
          <w:tab w:val="num" w:pos="5760"/>
        </w:tabs>
        <w:ind w:left="5760" w:hanging="360"/>
      </w:pPr>
      <w:rPr>
        <w:rFonts w:ascii="Arial" w:hAnsi="Arial" w:hint="default"/>
      </w:rPr>
    </w:lvl>
    <w:lvl w:ilvl="8" w:tplc="56BAA110" w:tentative="1">
      <w:start w:val="1"/>
      <w:numFmt w:val="bullet"/>
      <w:lvlText w:val="•"/>
      <w:lvlJc w:val="left"/>
      <w:pPr>
        <w:tabs>
          <w:tab w:val="num" w:pos="6480"/>
        </w:tabs>
        <w:ind w:left="6480" w:hanging="360"/>
      </w:pPr>
      <w:rPr>
        <w:rFonts w:ascii="Arial" w:hAnsi="Arial" w:hint="default"/>
      </w:rPr>
    </w:lvl>
  </w:abstractNum>
  <w:abstractNum w:abstractNumId="26">
    <w:nsid w:val="41EF4019"/>
    <w:multiLevelType w:val="hybridMultilevel"/>
    <w:tmpl w:val="D93A3E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46C95BDB"/>
    <w:multiLevelType w:val="hybridMultilevel"/>
    <w:tmpl w:val="5B9E15BE"/>
    <w:lvl w:ilvl="0" w:tplc="8DD2181C">
      <w:start w:val="1"/>
      <w:numFmt w:val="bullet"/>
      <w:lvlText w:val="•"/>
      <w:lvlJc w:val="left"/>
      <w:pPr>
        <w:tabs>
          <w:tab w:val="num" w:pos="720"/>
        </w:tabs>
        <w:ind w:left="720" w:hanging="360"/>
      </w:pPr>
      <w:rPr>
        <w:rFonts w:ascii="Arial" w:hAnsi="Arial" w:hint="default"/>
      </w:rPr>
    </w:lvl>
    <w:lvl w:ilvl="1" w:tplc="6016AE76">
      <w:start w:val="1"/>
      <w:numFmt w:val="bullet"/>
      <w:lvlText w:val="•"/>
      <w:lvlJc w:val="left"/>
      <w:pPr>
        <w:tabs>
          <w:tab w:val="num" w:pos="1440"/>
        </w:tabs>
        <w:ind w:left="1440" w:hanging="360"/>
      </w:pPr>
      <w:rPr>
        <w:rFonts w:ascii="Arial" w:hAnsi="Arial" w:hint="default"/>
      </w:rPr>
    </w:lvl>
    <w:lvl w:ilvl="2" w:tplc="78303BE2" w:tentative="1">
      <w:start w:val="1"/>
      <w:numFmt w:val="bullet"/>
      <w:lvlText w:val="•"/>
      <w:lvlJc w:val="left"/>
      <w:pPr>
        <w:tabs>
          <w:tab w:val="num" w:pos="2160"/>
        </w:tabs>
        <w:ind w:left="2160" w:hanging="360"/>
      </w:pPr>
      <w:rPr>
        <w:rFonts w:ascii="Arial" w:hAnsi="Arial" w:hint="default"/>
      </w:rPr>
    </w:lvl>
    <w:lvl w:ilvl="3" w:tplc="B74ED2D0" w:tentative="1">
      <w:start w:val="1"/>
      <w:numFmt w:val="bullet"/>
      <w:lvlText w:val="•"/>
      <w:lvlJc w:val="left"/>
      <w:pPr>
        <w:tabs>
          <w:tab w:val="num" w:pos="2880"/>
        </w:tabs>
        <w:ind w:left="2880" w:hanging="360"/>
      </w:pPr>
      <w:rPr>
        <w:rFonts w:ascii="Arial" w:hAnsi="Arial" w:hint="default"/>
      </w:rPr>
    </w:lvl>
    <w:lvl w:ilvl="4" w:tplc="03DC60A0" w:tentative="1">
      <w:start w:val="1"/>
      <w:numFmt w:val="bullet"/>
      <w:lvlText w:val="•"/>
      <w:lvlJc w:val="left"/>
      <w:pPr>
        <w:tabs>
          <w:tab w:val="num" w:pos="3600"/>
        </w:tabs>
        <w:ind w:left="3600" w:hanging="360"/>
      </w:pPr>
      <w:rPr>
        <w:rFonts w:ascii="Arial" w:hAnsi="Arial" w:hint="default"/>
      </w:rPr>
    </w:lvl>
    <w:lvl w:ilvl="5" w:tplc="484A9E0A" w:tentative="1">
      <w:start w:val="1"/>
      <w:numFmt w:val="bullet"/>
      <w:lvlText w:val="•"/>
      <w:lvlJc w:val="left"/>
      <w:pPr>
        <w:tabs>
          <w:tab w:val="num" w:pos="4320"/>
        </w:tabs>
        <w:ind w:left="4320" w:hanging="360"/>
      </w:pPr>
      <w:rPr>
        <w:rFonts w:ascii="Arial" w:hAnsi="Arial" w:hint="default"/>
      </w:rPr>
    </w:lvl>
    <w:lvl w:ilvl="6" w:tplc="7E724DE2" w:tentative="1">
      <w:start w:val="1"/>
      <w:numFmt w:val="bullet"/>
      <w:lvlText w:val="•"/>
      <w:lvlJc w:val="left"/>
      <w:pPr>
        <w:tabs>
          <w:tab w:val="num" w:pos="5040"/>
        </w:tabs>
        <w:ind w:left="5040" w:hanging="360"/>
      </w:pPr>
      <w:rPr>
        <w:rFonts w:ascii="Arial" w:hAnsi="Arial" w:hint="default"/>
      </w:rPr>
    </w:lvl>
    <w:lvl w:ilvl="7" w:tplc="2E1E865A" w:tentative="1">
      <w:start w:val="1"/>
      <w:numFmt w:val="bullet"/>
      <w:lvlText w:val="•"/>
      <w:lvlJc w:val="left"/>
      <w:pPr>
        <w:tabs>
          <w:tab w:val="num" w:pos="5760"/>
        </w:tabs>
        <w:ind w:left="5760" w:hanging="360"/>
      </w:pPr>
      <w:rPr>
        <w:rFonts w:ascii="Arial" w:hAnsi="Arial" w:hint="default"/>
      </w:rPr>
    </w:lvl>
    <w:lvl w:ilvl="8" w:tplc="C102253A" w:tentative="1">
      <w:start w:val="1"/>
      <w:numFmt w:val="bullet"/>
      <w:lvlText w:val="•"/>
      <w:lvlJc w:val="left"/>
      <w:pPr>
        <w:tabs>
          <w:tab w:val="num" w:pos="6480"/>
        </w:tabs>
        <w:ind w:left="6480" w:hanging="360"/>
      </w:pPr>
      <w:rPr>
        <w:rFonts w:ascii="Arial" w:hAnsi="Arial" w:hint="default"/>
      </w:rPr>
    </w:lvl>
  </w:abstractNum>
  <w:abstractNum w:abstractNumId="28">
    <w:nsid w:val="4DD76DFE"/>
    <w:multiLevelType w:val="hybridMultilevel"/>
    <w:tmpl w:val="B97C5B9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52DB53F7"/>
    <w:multiLevelType w:val="hybridMultilevel"/>
    <w:tmpl w:val="BDECB980"/>
    <w:lvl w:ilvl="0" w:tplc="08090001">
      <w:start w:val="1"/>
      <w:numFmt w:val="bullet"/>
      <w:lvlText w:val=""/>
      <w:lvlJc w:val="left"/>
      <w:pPr>
        <w:ind w:left="4471" w:hanging="360"/>
      </w:pPr>
      <w:rPr>
        <w:rFonts w:ascii="Symbol" w:hAnsi="Symbol" w:hint="default"/>
      </w:rPr>
    </w:lvl>
    <w:lvl w:ilvl="1" w:tplc="08090003" w:tentative="1">
      <w:start w:val="1"/>
      <w:numFmt w:val="bullet"/>
      <w:lvlText w:val="o"/>
      <w:lvlJc w:val="left"/>
      <w:pPr>
        <w:ind w:left="5191" w:hanging="360"/>
      </w:pPr>
      <w:rPr>
        <w:rFonts w:ascii="Courier New" w:hAnsi="Courier New" w:cs="Courier New" w:hint="default"/>
      </w:rPr>
    </w:lvl>
    <w:lvl w:ilvl="2" w:tplc="08090005" w:tentative="1">
      <w:start w:val="1"/>
      <w:numFmt w:val="bullet"/>
      <w:lvlText w:val=""/>
      <w:lvlJc w:val="left"/>
      <w:pPr>
        <w:ind w:left="5911" w:hanging="360"/>
      </w:pPr>
      <w:rPr>
        <w:rFonts w:ascii="Wingdings" w:hAnsi="Wingdings" w:hint="default"/>
      </w:rPr>
    </w:lvl>
    <w:lvl w:ilvl="3" w:tplc="08090001" w:tentative="1">
      <w:start w:val="1"/>
      <w:numFmt w:val="bullet"/>
      <w:lvlText w:val=""/>
      <w:lvlJc w:val="left"/>
      <w:pPr>
        <w:ind w:left="6631" w:hanging="360"/>
      </w:pPr>
      <w:rPr>
        <w:rFonts w:ascii="Symbol" w:hAnsi="Symbol" w:hint="default"/>
      </w:rPr>
    </w:lvl>
    <w:lvl w:ilvl="4" w:tplc="08090003" w:tentative="1">
      <w:start w:val="1"/>
      <w:numFmt w:val="bullet"/>
      <w:lvlText w:val="o"/>
      <w:lvlJc w:val="left"/>
      <w:pPr>
        <w:ind w:left="7351" w:hanging="360"/>
      </w:pPr>
      <w:rPr>
        <w:rFonts w:ascii="Courier New" w:hAnsi="Courier New" w:cs="Courier New" w:hint="default"/>
      </w:rPr>
    </w:lvl>
    <w:lvl w:ilvl="5" w:tplc="08090005" w:tentative="1">
      <w:start w:val="1"/>
      <w:numFmt w:val="bullet"/>
      <w:lvlText w:val=""/>
      <w:lvlJc w:val="left"/>
      <w:pPr>
        <w:ind w:left="8071" w:hanging="360"/>
      </w:pPr>
      <w:rPr>
        <w:rFonts w:ascii="Wingdings" w:hAnsi="Wingdings" w:hint="default"/>
      </w:rPr>
    </w:lvl>
    <w:lvl w:ilvl="6" w:tplc="08090001" w:tentative="1">
      <w:start w:val="1"/>
      <w:numFmt w:val="bullet"/>
      <w:lvlText w:val=""/>
      <w:lvlJc w:val="left"/>
      <w:pPr>
        <w:ind w:left="8791" w:hanging="360"/>
      </w:pPr>
      <w:rPr>
        <w:rFonts w:ascii="Symbol" w:hAnsi="Symbol" w:hint="default"/>
      </w:rPr>
    </w:lvl>
    <w:lvl w:ilvl="7" w:tplc="08090003" w:tentative="1">
      <w:start w:val="1"/>
      <w:numFmt w:val="bullet"/>
      <w:lvlText w:val="o"/>
      <w:lvlJc w:val="left"/>
      <w:pPr>
        <w:ind w:left="9511" w:hanging="360"/>
      </w:pPr>
      <w:rPr>
        <w:rFonts w:ascii="Courier New" w:hAnsi="Courier New" w:cs="Courier New" w:hint="default"/>
      </w:rPr>
    </w:lvl>
    <w:lvl w:ilvl="8" w:tplc="08090005" w:tentative="1">
      <w:start w:val="1"/>
      <w:numFmt w:val="bullet"/>
      <w:lvlText w:val=""/>
      <w:lvlJc w:val="left"/>
      <w:pPr>
        <w:ind w:left="10231" w:hanging="360"/>
      </w:pPr>
      <w:rPr>
        <w:rFonts w:ascii="Wingdings" w:hAnsi="Wingdings" w:hint="default"/>
      </w:rPr>
    </w:lvl>
  </w:abstractNum>
  <w:abstractNum w:abstractNumId="30">
    <w:nsid w:val="56681C37"/>
    <w:multiLevelType w:val="hybridMultilevel"/>
    <w:tmpl w:val="36E68E1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A5E167E"/>
    <w:multiLevelType w:val="hybridMultilevel"/>
    <w:tmpl w:val="FF82ADB0"/>
    <w:lvl w:ilvl="0" w:tplc="9C82ACEA">
      <w:numFmt w:val="bullet"/>
      <w:lvlText w:val=""/>
      <w:lvlJc w:val="left"/>
      <w:pPr>
        <w:ind w:left="1080" w:hanging="720"/>
      </w:pPr>
      <w:rPr>
        <w:rFonts w:ascii="Symbol" w:eastAsia="MS Mincho"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B70106B"/>
    <w:multiLevelType w:val="hybridMultilevel"/>
    <w:tmpl w:val="F282E8D8"/>
    <w:lvl w:ilvl="0" w:tplc="3D44BEC8">
      <w:start w:val="1"/>
      <w:numFmt w:val="bullet"/>
      <w:lvlText w:val="•"/>
      <w:lvlJc w:val="left"/>
      <w:pPr>
        <w:tabs>
          <w:tab w:val="num" w:pos="720"/>
        </w:tabs>
        <w:ind w:left="720" w:hanging="360"/>
      </w:pPr>
      <w:rPr>
        <w:rFonts w:ascii="Arial" w:hAnsi="Arial" w:hint="default"/>
      </w:rPr>
    </w:lvl>
    <w:lvl w:ilvl="1" w:tplc="7ABE57B4" w:tentative="1">
      <w:start w:val="1"/>
      <w:numFmt w:val="bullet"/>
      <w:lvlText w:val="•"/>
      <w:lvlJc w:val="left"/>
      <w:pPr>
        <w:tabs>
          <w:tab w:val="num" w:pos="1440"/>
        </w:tabs>
        <w:ind w:left="1440" w:hanging="360"/>
      </w:pPr>
      <w:rPr>
        <w:rFonts w:ascii="Arial" w:hAnsi="Arial" w:hint="default"/>
      </w:rPr>
    </w:lvl>
    <w:lvl w:ilvl="2" w:tplc="3012ACD8" w:tentative="1">
      <w:start w:val="1"/>
      <w:numFmt w:val="bullet"/>
      <w:lvlText w:val="•"/>
      <w:lvlJc w:val="left"/>
      <w:pPr>
        <w:tabs>
          <w:tab w:val="num" w:pos="2160"/>
        </w:tabs>
        <w:ind w:left="2160" w:hanging="360"/>
      </w:pPr>
      <w:rPr>
        <w:rFonts w:ascii="Arial" w:hAnsi="Arial" w:hint="default"/>
      </w:rPr>
    </w:lvl>
    <w:lvl w:ilvl="3" w:tplc="6CD224B4">
      <w:start w:val="1"/>
      <w:numFmt w:val="bullet"/>
      <w:lvlText w:val="•"/>
      <w:lvlJc w:val="left"/>
      <w:pPr>
        <w:tabs>
          <w:tab w:val="num" w:pos="2880"/>
        </w:tabs>
        <w:ind w:left="2880" w:hanging="360"/>
      </w:pPr>
      <w:rPr>
        <w:rFonts w:ascii="Arial" w:hAnsi="Arial" w:hint="default"/>
      </w:rPr>
    </w:lvl>
    <w:lvl w:ilvl="4" w:tplc="602272B0" w:tentative="1">
      <w:start w:val="1"/>
      <w:numFmt w:val="bullet"/>
      <w:lvlText w:val="•"/>
      <w:lvlJc w:val="left"/>
      <w:pPr>
        <w:tabs>
          <w:tab w:val="num" w:pos="3600"/>
        </w:tabs>
        <w:ind w:left="3600" w:hanging="360"/>
      </w:pPr>
      <w:rPr>
        <w:rFonts w:ascii="Arial" w:hAnsi="Arial" w:hint="default"/>
      </w:rPr>
    </w:lvl>
    <w:lvl w:ilvl="5" w:tplc="493A9BFC" w:tentative="1">
      <w:start w:val="1"/>
      <w:numFmt w:val="bullet"/>
      <w:lvlText w:val="•"/>
      <w:lvlJc w:val="left"/>
      <w:pPr>
        <w:tabs>
          <w:tab w:val="num" w:pos="4320"/>
        </w:tabs>
        <w:ind w:left="4320" w:hanging="360"/>
      </w:pPr>
      <w:rPr>
        <w:rFonts w:ascii="Arial" w:hAnsi="Arial" w:hint="default"/>
      </w:rPr>
    </w:lvl>
    <w:lvl w:ilvl="6" w:tplc="BEA42562" w:tentative="1">
      <w:start w:val="1"/>
      <w:numFmt w:val="bullet"/>
      <w:lvlText w:val="•"/>
      <w:lvlJc w:val="left"/>
      <w:pPr>
        <w:tabs>
          <w:tab w:val="num" w:pos="5040"/>
        </w:tabs>
        <w:ind w:left="5040" w:hanging="360"/>
      </w:pPr>
      <w:rPr>
        <w:rFonts w:ascii="Arial" w:hAnsi="Arial" w:hint="default"/>
      </w:rPr>
    </w:lvl>
    <w:lvl w:ilvl="7" w:tplc="981CEAE6" w:tentative="1">
      <w:start w:val="1"/>
      <w:numFmt w:val="bullet"/>
      <w:lvlText w:val="•"/>
      <w:lvlJc w:val="left"/>
      <w:pPr>
        <w:tabs>
          <w:tab w:val="num" w:pos="5760"/>
        </w:tabs>
        <w:ind w:left="5760" w:hanging="360"/>
      </w:pPr>
      <w:rPr>
        <w:rFonts w:ascii="Arial" w:hAnsi="Arial" w:hint="default"/>
      </w:rPr>
    </w:lvl>
    <w:lvl w:ilvl="8" w:tplc="24BE1180" w:tentative="1">
      <w:start w:val="1"/>
      <w:numFmt w:val="bullet"/>
      <w:lvlText w:val="•"/>
      <w:lvlJc w:val="left"/>
      <w:pPr>
        <w:tabs>
          <w:tab w:val="num" w:pos="6480"/>
        </w:tabs>
        <w:ind w:left="6480" w:hanging="360"/>
      </w:pPr>
      <w:rPr>
        <w:rFonts w:ascii="Arial" w:hAnsi="Arial" w:hint="default"/>
      </w:rPr>
    </w:lvl>
  </w:abstractNum>
  <w:abstractNum w:abstractNumId="33">
    <w:nsid w:val="6893259D"/>
    <w:multiLevelType w:val="hybridMultilevel"/>
    <w:tmpl w:val="C2023E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68B10B1B"/>
    <w:multiLevelType w:val="hybridMultilevel"/>
    <w:tmpl w:val="3610648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6BD0533A"/>
    <w:multiLevelType w:val="hybridMultilevel"/>
    <w:tmpl w:val="4E1617C0"/>
    <w:lvl w:ilvl="0" w:tplc="9078D0DA">
      <w:start w:val="1"/>
      <w:numFmt w:val="bullet"/>
      <w:lvlText w:val="•"/>
      <w:lvlJc w:val="left"/>
      <w:pPr>
        <w:tabs>
          <w:tab w:val="num" w:pos="720"/>
        </w:tabs>
        <w:ind w:left="720" w:hanging="360"/>
      </w:pPr>
      <w:rPr>
        <w:rFonts w:ascii="Arial" w:hAnsi="Arial" w:hint="default"/>
      </w:rPr>
    </w:lvl>
    <w:lvl w:ilvl="1" w:tplc="B3C89266" w:tentative="1">
      <w:start w:val="1"/>
      <w:numFmt w:val="bullet"/>
      <w:lvlText w:val="•"/>
      <w:lvlJc w:val="left"/>
      <w:pPr>
        <w:tabs>
          <w:tab w:val="num" w:pos="1440"/>
        </w:tabs>
        <w:ind w:left="1440" w:hanging="360"/>
      </w:pPr>
      <w:rPr>
        <w:rFonts w:ascii="Arial" w:hAnsi="Arial" w:hint="default"/>
      </w:rPr>
    </w:lvl>
    <w:lvl w:ilvl="2" w:tplc="ED8CA06A" w:tentative="1">
      <w:start w:val="1"/>
      <w:numFmt w:val="bullet"/>
      <w:lvlText w:val="•"/>
      <w:lvlJc w:val="left"/>
      <w:pPr>
        <w:tabs>
          <w:tab w:val="num" w:pos="2160"/>
        </w:tabs>
        <w:ind w:left="2160" w:hanging="360"/>
      </w:pPr>
      <w:rPr>
        <w:rFonts w:ascii="Arial" w:hAnsi="Arial" w:hint="default"/>
      </w:rPr>
    </w:lvl>
    <w:lvl w:ilvl="3" w:tplc="A2562C84">
      <w:start w:val="1"/>
      <w:numFmt w:val="bullet"/>
      <w:lvlText w:val="•"/>
      <w:lvlJc w:val="left"/>
      <w:pPr>
        <w:tabs>
          <w:tab w:val="num" w:pos="2880"/>
        </w:tabs>
        <w:ind w:left="2880" w:hanging="360"/>
      </w:pPr>
      <w:rPr>
        <w:rFonts w:ascii="Arial" w:hAnsi="Arial" w:hint="default"/>
      </w:rPr>
    </w:lvl>
    <w:lvl w:ilvl="4" w:tplc="41907E14" w:tentative="1">
      <w:start w:val="1"/>
      <w:numFmt w:val="bullet"/>
      <w:lvlText w:val="•"/>
      <w:lvlJc w:val="left"/>
      <w:pPr>
        <w:tabs>
          <w:tab w:val="num" w:pos="3600"/>
        </w:tabs>
        <w:ind w:left="3600" w:hanging="360"/>
      </w:pPr>
      <w:rPr>
        <w:rFonts w:ascii="Arial" w:hAnsi="Arial" w:hint="default"/>
      </w:rPr>
    </w:lvl>
    <w:lvl w:ilvl="5" w:tplc="60761974" w:tentative="1">
      <w:start w:val="1"/>
      <w:numFmt w:val="bullet"/>
      <w:lvlText w:val="•"/>
      <w:lvlJc w:val="left"/>
      <w:pPr>
        <w:tabs>
          <w:tab w:val="num" w:pos="4320"/>
        </w:tabs>
        <w:ind w:left="4320" w:hanging="360"/>
      </w:pPr>
      <w:rPr>
        <w:rFonts w:ascii="Arial" w:hAnsi="Arial" w:hint="default"/>
      </w:rPr>
    </w:lvl>
    <w:lvl w:ilvl="6" w:tplc="C6C6564A" w:tentative="1">
      <w:start w:val="1"/>
      <w:numFmt w:val="bullet"/>
      <w:lvlText w:val="•"/>
      <w:lvlJc w:val="left"/>
      <w:pPr>
        <w:tabs>
          <w:tab w:val="num" w:pos="5040"/>
        </w:tabs>
        <w:ind w:left="5040" w:hanging="360"/>
      </w:pPr>
      <w:rPr>
        <w:rFonts w:ascii="Arial" w:hAnsi="Arial" w:hint="default"/>
      </w:rPr>
    </w:lvl>
    <w:lvl w:ilvl="7" w:tplc="C79419E6" w:tentative="1">
      <w:start w:val="1"/>
      <w:numFmt w:val="bullet"/>
      <w:lvlText w:val="•"/>
      <w:lvlJc w:val="left"/>
      <w:pPr>
        <w:tabs>
          <w:tab w:val="num" w:pos="5760"/>
        </w:tabs>
        <w:ind w:left="5760" w:hanging="360"/>
      </w:pPr>
      <w:rPr>
        <w:rFonts w:ascii="Arial" w:hAnsi="Arial" w:hint="default"/>
      </w:rPr>
    </w:lvl>
    <w:lvl w:ilvl="8" w:tplc="0696E442" w:tentative="1">
      <w:start w:val="1"/>
      <w:numFmt w:val="bullet"/>
      <w:lvlText w:val="•"/>
      <w:lvlJc w:val="left"/>
      <w:pPr>
        <w:tabs>
          <w:tab w:val="num" w:pos="6480"/>
        </w:tabs>
        <w:ind w:left="6480" w:hanging="360"/>
      </w:pPr>
      <w:rPr>
        <w:rFonts w:ascii="Arial" w:hAnsi="Arial" w:hint="default"/>
      </w:rPr>
    </w:lvl>
  </w:abstractNum>
  <w:abstractNum w:abstractNumId="36">
    <w:nsid w:val="6C850C04"/>
    <w:multiLevelType w:val="hybridMultilevel"/>
    <w:tmpl w:val="357A0682"/>
    <w:lvl w:ilvl="0" w:tplc="24D44FCA">
      <w:start w:val="1"/>
      <w:numFmt w:val="bullet"/>
      <w:lvlText w:val="•"/>
      <w:lvlJc w:val="left"/>
      <w:pPr>
        <w:tabs>
          <w:tab w:val="num" w:pos="720"/>
        </w:tabs>
        <w:ind w:left="720" w:hanging="360"/>
      </w:pPr>
      <w:rPr>
        <w:rFonts w:ascii="Arial" w:hAnsi="Arial" w:hint="default"/>
      </w:rPr>
    </w:lvl>
    <w:lvl w:ilvl="1" w:tplc="514AE0C2" w:tentative="1">
      <w:start w:val="1"/>
      <w:numFmt w:val="bullet"/>
      <w:lvlText w:val="•"/>
      <w:lvlJc w:val="left"/>
      <w:pPr>
        <w:tabs>
          <w:tab w:val="num" w:pos="1440"/>
        </w:tabs>
        <w:ind w:left="1440" w:hanging="360"/>
      </w:pPr>
      <w:rPr>
        <w:rFonts w:ascii="Arial" w:hAnsi="Arial" w:hint="default"/>
      </w:rPr>
    </w:lvl>
    <w:lvl w:ilvl="2" w:tplc="1FFA4168" w:tentative="1">
      <w:start w:val="1"/>
      <w:numFmt w:val="bullet"/>
      <w:lvlText w:val="•"/>
      <w:lvlJc w:val="left"/>
      <w:pPr>
        <w:tabs>
          <w:tab w:val="num" w:pos="2160"/>
        </w:tabs>
        <w:ind w:left="2160" w:hanging="360"/>
      </w:pPr>
      <w:rPr>
        <w:rFonts w:ascii="Arial" w:hAnsi="Arial" w:hint="default"/>
      </w:rPr>
    </w:lvl>
    <w:lvl w:ilvl="3" w:tplc="7D78E8D4">
      <w:start w:val="1"/>
      <w:numFmt w:val="bullet"/>
      <w:lvlText w:val="•"/>
      <w:lvlJc w:val="left"/>
      <w:pPr>
        <w:tabs>
          <w:tab w:val="num" w:pos="2880"/>
        </w:tabs>
        <w:ind w:left="2880" w:hanging="360"/>
      </w:pPr>
      <w:rPr>
        <w:rFonts w:ascii="Arial" w:hAnsi="Arial" w:hint="default"/>
      </w:rPr>
    </w:lvl>
    <w:lvl w:ilvl="4" w:tplc="B4D84EE6" w:tentative="1">
      <w:start w:val="1"/>
      <w:numFmt w:val="bullet"/>
      <w:lvlText w:val="•"/>
      <w:lvlJc w:val="left"/>
      <w:pPr>
        <w:tabs>
          <w:tab w:val="num" w:pos="3600"/>
        </w:tabs>
        <w:ind w:left="3600" w:hanging="360"/>
      </w:pPr>
      <w:rPr>
        <w:rFonts w:ascii="Arial" w:hAnsi="Arial" w:hint="default"/>
      </w:rPr>
    </w:lvl>
    <w:lvl w:ilvl="5" w:tplc="3BD0FECA" w:tentative="1">
      <w:start w:val="1"/>
      <w:numFmt w:val="bullet"/>
      <w:lvlText w:val="•"/>
      <w:lvlJc w:val="left"/>
      <w:pPr>
        <w:tabs>
          <w:tab w:val="num" w:pos="4320"/>
        </w:tabs>
        <w:ind w:left="4320" w:hanging="360"/>
      </w:pPr>
      <w:rPr>
        <w:rFonts w:ascii="Arial" w:hAnsi="Arial" w:hint="default"/>
      </w:rPr>
    </w:lvl>
    <w:lvl w:ilvl="6" w:tplc="2110BA64" w:tentative="1">
      <w:start w:val="1"/>
      <w:numFmt w:val="bullet"/>
      <w:lvlText w:val="•"/>
      <w:lvlJc w:val="left"/>
      <w:pPr>
        <w:tabs>
          <w:tab w:val="num" w:pos="5040"/>
        </w:tabs>
        <w:ind w:left="5040" w:hanging="360"/>
      </w:pPr>
      <w:rPr>
        <w:rFonts w:ascii="Arial" w:hAnsi="Arial" w:hint="default"/>
      </w:rPr>
    </w:lvl>
    <w:lvl w:ilvl="7" w:tplc="0A187CC4" w:tentative="1">
      <w:start w:val="1"/>
      <w:numFmt w:val="bullet"/>
      <w:lvlText w:val="•"/>
      <w:lvlJc w:val="left"/>
      <w:pPr>
        <w:tabs>
          <w:tab w:val="num" w:pos="5760"/>
        </w:tabs>
        <w:ind w:left="5760" w:hanging="360"/>
      </w:pPr>
      <w:rPr>
        <w:rFonts w:ascii="Arial" w:hAnsi="Arial" w:hint="default"/>
      </w:rPr>
    </w:lvl>
    <w:lvl w:ilvl="8" w:tplc="02A6DA16" w:tentative="1">
      <w:start w:val="1"/>
      <w:numFmt w:val="bullet"/>
      <w:lvlText w:val="•"/>
      <w:lvlJc w:val="left"/>
      <w:pPr>
        <w:tabs>
          <w:tab w:val="num" w:pos="6480"/>
        </w:tabs>
        <w:ind w:left="6480" w:hanging="360"/>
      </w:pPr>
      <w:rPr>
        <w:rFonts w:ascii="Arial" w:hAnsi="Arial" w:hint="default"/>
      </w:rPr>
    </w:lvl>
  </w:abstractNum>
  <w:abstractNum w:abstractNumId="37">
    <w:nsid w:val="6D523FAB"/>
    <w:multiLevelType w:val="hybridMultilevel"/>
    <w:tmpl w:val="A4BA1664"/>
    <w:lvl w:ilvl="0" w:tplc="61D0D286">
      <w:start w:val="1"/>
      <w:numFmt w:val="bullet"/>
      <w:lvlText w:val="•"/>
      <w:lvlJc w:val="left"/>
      <w:pPr>
        <w:tabs>
          <w:tab w:val="num" w:pos="720"/>
        </w:tabs>
        <w:ind w:left="720" w:hanging="360"/>
      </w:pPr>
      <w:rPr>
        <w:rFonts w:ascii="Arial" w:hAnsi="Arial" w:hint="default"/>
      </w:rPr>
    </w:lvl>
    <w:lvl w:ilvl="1" w:tplc="15A6D88A" w:tentative="1">
      <w:start w:val="1"/>
      <w:numFmt w:val="bullet"/>
      <w:lvlText w:val="•"/>
      <w:lvlJc w:val="left"/>
      <w:pPr>
        <w:tabs>
          <w:tab w:val="num" w:pos="1440"/>
        </w:tabs>
        <w:ind w:left="1440" w:hanging="360"/>
      </w:pPr>
      <w:rPr>
        <w:rFonts w:ascii="Arial" w:hAnsi="Arial" w:hint="default"/>
      </w:rPr>
    </w:lvl>
    <w:lvl w:ilvl="2" w:tplc="D50842C8" w:tentative="1">
      <w:start w:val="1"/>
      <w:numFmt w:val="bullet"/>
      <w:lvlText w:val="•"/>
      <w:lvlJc w:val="left"/>
      <w:pPr>
        <w:tabs>
          <w:tab w:val="num" w:pos="2160"/>
        </w:tabs>
        <w:ind w:left="2160" w:hanging="360"/>
      </w:pPr>
      <w:rPr>
        <w:rFonts w:ascii="Arial" w:hAnsi="Arial" w:hint="default"/>
      </w:rPr>
    </w:lvl>
    <w:lvl w:ilvl="3" w:tplc="40489A2A">
      <w:start w:val="1"/>
      <w:numFmt w:val="bullet"/>
      <w:lvlText w:val="•"/>
      <w:lvlJc w:val="left"/>
      <w:pPr>
        <w:tabs>
          <w:tab w:val="num" w:pos="2880"/>
        </w:tabs>
        <w:ind w:left="2880" w:hanging="360"/>
      </w:pPr>
      <w:rPr>
        <w:rFonts w:ascii="Arial" w:hAnsi="Arial" w:hint="default"/>
      </w:rPr>
    </w:lvl>
    <w:lvl w:ilvl="4" w:tplc="E5EC2726" w:tentative="1">
      <w:start w:val="1"/>
      <w:numFmt w:val="bullet"/>
      <w:lvlText w:val="•"/>
      <w:lvlJc w:val="left"/>
      <w:pPr>
        <w:tabs>
          <w:tab w:val="num" w:pos="3600"/>
        </w:tabs>
        <w:ind w:left="3600" w:hanging="360"/>
      </w:pPr>
      <w:rPr>
        <w:rFonts w:ascii="Arial" w:hAnsi="Arial" w:hint="default"/>
      </w:rPr>
    </w:lvl>
    <w:lvl w:ilvl="5" w:tplc="61FEB5EC" w:tentative="1">
      <w:start w:val="1"/>
      <w:numFmt w:val="bullet"/>
      <w:lvlText w:val="•"/>
      <w:lvlJc w:val="left"/>
      <w:pPr>
        <w:tabs>
          <w:tab w:val="num" w:pos="4320"/>
        </w:tabs>
        <w:ind w:left="4320" w:hanging="360"/>
      </w:pPr>
      <w:rPr>
        <w:rFonts w:ascii="Arial" w:hAnsi="Arial" w:hint="default"/>
      </w:rPr>
    </w:lvl>
    <w:lvl w:ilvl="6" w:tplc="C5FE5DD2" w:tentative="1">
      <w:start w:val="1"/>
      <w:numFmt w:val="bullet"/>
      <w:lvlText w:val="•"/>
      <w:lvlJc w:val="left"/>
      <w:pPr>
        <w:tabs>
          <w:tab w:val="num" w:pos="5040"/>
        </w:tabs>
        <w:ind w:left="5040" w:hanging="360"/>
      </w:pPr>
      <w:rPr>
        <w:rFonts w:ascii="Arial" w:hAnsi="Arial" w:hint="default"/>
      </w:rPr>
    </w:lvl>
    <w:lvl w:ilvl="7" w:tplc="D8FCDC32" w:tentative="1">
      <w:start w:val="1"/>
      <w:numFmt w:val="bullet"/>
      <w:lvlText w:val="•"/>
      <w:lvlJc w:val="left"/>
      <w:pPr>
        <w:tabs>
          <w:tab w:val="num" w:pos="5760"/>
        </w:tabs>
        <w:ind w:left="5760" w:hanging="360"/>
      </w:pPr>
      <w:rPr>
        <w:rFonts w:ascii="Arial" w:hAnsi="Arial" w:hint="default"/>
      </w:rPr>
    </w:lvl>
    <w:lvl w:ilvl="8" w:tplc="2CD8C65E" w:tentative="1">
      <w:start w:val="1"/>
      <w:numFmt w:val="bullet"/>
      <w:lvlText w:val="•"/>
      <w:lvlJc w:val="left"/>
      <w:pPr>
        <w:tabs>
          <w:tab w:val="num" w:pos="6480"/>
        </w:tabs>
        <w:ind w:left="6480" w:hanging="360"/>
      </w:pPr>
      <w:rPr>
        <w:rFonts w:ascii="Arial" w:hAnsi="Arial" w:hint="default"/>
      </w:rPr>
    </w:lvl>
  </w:abstractNum>
  <w:abstractNum w:abstractNumId="38">
    <w:nsid w:val="723358F4"/>
    <w:multiLevelType w:val="hybridMultilevel"/>
    <w:tmpl w:val="48566C50"/>
    <w:lvl w:ilvl="0" w:tplc="9CF04188">
      <w:start w:val="1"/>
      <w:numFmt w:val="bullet"/>
      <w:lvlText w:val="o"/>
      <w:lvlJc w:val="left"/>
      <w:pPr>
        <w:ind w:left="644" w:hanging="360"/>
      </w:pPr>
      <w:rPr>
        <w:rFonts w:ascii="Courier New" w:hAnsi="Courier New" w:cs="Courier New" w:hint="default"/>
        <w:sz w:val="18"/>
        <w:szCs w:val="18"/>
      </w:rPr>
    </w:lvl>
    <w:lvl w:ilvl="1" w:tplc="04080003">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9">
    <w:nsid w:val="73374F9E"/>
    <w:multiLevelType w:val="hybridMultilevel"/>
    <w:tmpl w:val="6A2695B2"/>
    <w:lvl w:ilvl="0" w:tplc="63427B66">
      <w:start w:val="1"/>
      <w:numFmt w:val="bullet"/>
      <w:lvlText w:val="•"/>
      <w:lvlJc w:val="left"/>
      <w:pPr>
        <w:tabs>
          <w:tab w:val="num" w:pos="720"/>
        </w:tabs>
        <w:ind w:left="720" w:hanging="360"/>
      </w:pPr>
      <w:rPr>
        <w:rFonts w:ascii="Arial" w:hAnsi="Arial" w:hint="default"/>
      </w:rPr>
    </w:lvl>
    <w:lvl w:ilvl="1" w:tplc="5E823D58" w:tentative="1">
      <w:start w:val="1"/>
      <w:numFmt w:val="bullet"/>
      <w:lvlText w:val="•"/>
      <w:lvlJc w:val="left"/>
      <w:pPr>
        <w:tabs>
          <w:tab w:val="num" w:pos="1440"/>
        </w:tabs>
        <w:ind w:left="1440" w:hanging="360"/>
      </w:pPr>
      <w:rPr>
        <w:rFonts w:ascii="Arial" w:hAnsi="Arial" w:hint="default"/>
      </w:rPr>
    </w:lvl>
    <w:lvl w:ilvl="2" w:tplc="E5FA3CBE" w:tentative="1">
      <w:start w:val="1"/>
      <w:numFmt w:val="bullet"/>
      <w:lvlText w:val="•"/>
      <w:lvlJc w:val="left"/>
      <w:pPr>
        <w:tabs>
          <w:tab w:val="num" w:pos="2160"/>
        </w:tabs>
        <w:ind w:left="2160" w:hanging="360"/>
      </w:pPr>
      <w:rPr>
        <w:rFonts w:ascii="Arial" w:hAnsi="Arial" w:hint="default"/>
      </w:rPr>
    </w:lvl>
    <w:lvl w:ilvl="3" w:tplc="8EE8E7A8">
      <w:start w:val="1"/>
      <w:numFmt w:val="bullet"/>
      <w:lvlText w:val="•"/>
      <w:lvlJc w:val="left"/>
      <w:pPr>
        <w:tabs>
          <w:tab w:val="num" w:pos="2880"/>
        </w:tabs>
        <w:ind w:left="2880" w:hanging="360"/>
      </w:pPr>
      <w:rPr>
        <w:rFonts w:ascii="Arial" w:hAnsi="Arial" w:hint="default"/>
      </w:rPr>
    </w:lvl>
    <w:lvl w:ilvl="4" w:tplc="956E22DE" w:tentative="1">
      <w:start w:val="1"/>
      <w:numFmt w:val="bullet"/>
      <w:lvlText w:val="•"/>
      <w:lvlJc w:val="left"/>
      <w:pPr>
        <w:tabs>
          <w:tab w:val="num" w:pos="3600"/>
        </w:tabs>
        <w:ind w:left="3600" w:hanging="360"/>
      </w:pPr>
      <w:rPr>
        <w:rFonts w:ascii="Arial" w:hAnsi="Arial" w:hint="default"/>
      </w:rPr>
    </w:lvl>
    <w:lvl w:ilvl="5" w:tplc="0570E114" w:tentative="1">
      <w:start w:val="1"/>
      <w:numFmt w:val="bullet"/>
      <w:lvlText w:val="•"/>
      <w:lvlJc w:val="left"/>
      <w:pPr>
        <w:tabs>
          <w:tab w:val="num" w:pos="4320"/>
        </w:tabs>
        <w:ind w:left="4320" w:hanging="360"/>
      </w:pPr>
      <w:rPr>
        <w:rFonts w:ascii="Arial" w:hAnsi="Arial" w:hint="default"/>
      </w:rPr>
    </w:lvl>
    <w:lvl w:ilvl="6" w:tplc="4E207806" w:tentative="1">
      <w:start w:val="1"/>
      <w:numFmt w:val="bullet"/>
      <w:lvlText w:val="•"/>
      <w:lvlJc w:val="left"/>
      <w:pPr>
        <w:tabs>
          <w:tab w:val="num" w:pos="5040"/>
        </w:tabs>
        <w:ind w:left="5040" w:hanging="360"/>
      </w:pPr>
      <w:rPr>
        <w:rFonts w:ascii="Arial" w:hAnsi="Arial" w:hint="default"/>
      </w:rPr>
    </w:lvl>
    <w:lvl w:ilvl="7" w:tplc="16F8A190" w:tentative="1">
      <w:start w:val="1"/>
      <w:numFmt w:val="bullet"/>
      <w:lvlText w:val="•"/>
      <w:lvlJc w:val="left"/>
      <w:pPr>
        <w:tabs>
          <w:tab w:val="num" w:pos="5760"/>
        </w:tabs>
        <w:ind w:left="5760" w:hanging="360"/>
      </w:pPr>
      <w:rPr>
        <w:rFonts w:ascii="Arial" w:hAnsi="Arial" w:hint="default"/>
      </w:rPr>
    </w:lvl>
    <w:lvl w:ilvl="8" w:tplc="7D14D012" w:tentative="1">
      <w:start w:val="1"/>
      <w:numFmt w:val="bullet"/>
      <w:lvlText w:val="•"/>
      <w:lvlJc w:val="left"/>
      <w:pPr>
        <w:tabs>
          <w:tab w:val="num" w:pos="6480"/>
        </w:tabs>
        <w:ind w:left="6480" w:hanging="360"/>
      </w:pPr>
      <w:rPr>
        <w:rFonts w:ascii="Arial" w:hAnsi="Arial" w:hint="default"/>
      </w:rPr>
    </w:lvl>
  </w:abstractNum>
  <w:abstractNum w:abstractNumId="40">
    <w:nsid w:val="76101787"/>
    <w:multiLevelType w:val="hybridMultilevel"/>
    <w:tmpl w:val="BB7295F2"/>
    <w:lvl w:ilvl="0" w:tplc="EC4CA908">
      <w:start w:val="1"/>
      <w:numFmt w:val="bullet"/>
      <w:lvlText w:val="•"/>
      <w:lvlJc w:val="left"/>
      <w:pPr>
        <w:tabs>
          <w:tab w:val="num" w:pos="720"/>
        </w:tabs>
        <w:ind w:left="720" w:hanging="360"/>
      </w:pPr>
      <w:rPr>
        <w:rFonts w:ascii="Arial" w:hAnsi="Arial" w:hint="default"/>
      </w:rPr>
    </w:lvl>
    <w:lvl w:ilvl="1" w:tplc="2C9CE8AA" w:tentative="1">
      <w:start w:val="1"/>
      <w:numFmt w:val="bullet"/>
      <w:lvlText w:val="•"/>
      <w:lvlJc w:val="left"/>
      <w:pPr>
        <w:tabs>
          <w:tab w:val="num" w:pos="1440"/>
        </w:tabs>
        <w:ind w:left="1440" w:hanging="360"/>
      </w:pPr>
      <w:rPr>
        <w:rFonts w:ascii="Arial" w:hAnsi="Arial" w:hint="default"/>
      </w:rPr>
    </w:lvl>
    <w:lvl w:ilvl="2" w:tplc="4C805FD2" w:tentative="1">
      <w:start w:val="1"/>
      <w:numFmt w:val="bullet"/>
      <w:lvlText w:val="•"/>
      <w:lvlJc w:val="left"/>
      <w:pPr>
        <w:tabs>
          <w:tab w:val="num" w:pos="2160"/>
        </w:tabs>
        <w:ind w:left="2160" w:hanging="360"/>
      </w:pPr>
      <w:rPr>
        <w:rFonts w:ascii="Arial" w:hAnsi="Arial" w:hint="default"/>
      </w:rPr>
    </w:lvl>
    <w:lvl w:ilvl="3" w:tplc="943061F6">
      <w:start w:val="1"/>
      <w:numFmt w:val="bullet"/>
      <w:lvlText w:val="•"/>
      <w:lvlJc w:val="left"/>
      <w:pPr>
        <w:tabs>
          <w:tab w:val="num" w:pos="2880"/>
        </w:tabs>
        <w:ind w:left="2880" w:hanging="360"/>
      </w:pPr>
      <w:rPr>
        <w:rFonts w:ascii="Arial" w:hAnsi="Arial" w:hint="default"/>
      </w:rPr>
    </w:lvl>
    <w:lvl w:ilvl="4" w:tplc="8FE4BF88" w:tentative="1">
      <w:start w:val="1"/>
      <w:numFmt w:val="bullet"/>
      <w:lvlText w:val="•"/>
      <w:lvlJc w:val="left"/>
      <w:pPr>
        <w:tabs>
          <w:tab w:val="num" w:pos="3600"/>
        </w:tabs>
        <w:ind w:left="3600" w:hanging="360"/>
      </w:pPr>
      <w:rPr>
        <w:rFonts w:ascii="Arial" w:hAnsi="Arial" w:hint="default"/>
      </w:rPr>
    </w:lvl>
    <w:lvl w:ilvl="5" w:tplc="7BF267BC" w:tentative="1">
      <w:start w:val="1"/>
      <w:numFmt w:val="bullet"/>
      <w:lvlText w:val="•"/>
      <w:lvlJc w:val="left"/>
      <w:pPr>
        <w:tabs>
          <w:tab w:val="num" w:pos="4320"/>
        </w:tabs>
        <w:ind w:left="4320" w:hanging="360"/>
      </w:pPr>
      <w:rPr>
        <w:rFonts w:ascii="Arial" w:hAnsi="Arial" w:hint="default"/>
      </w:rPr>
    </w:lvl>
    <w:lvl w:ilvl="6" w:tplc="09BCF16E" w:tentative="1">
      <w:start w:val="1"/>
      <w:numFmt w:val="bullet"/>
      <w:lvlText w:val="•"/>
      <w:lvlJc w:val="left"/>
      <w:pPr>
        <w:tabs>
          <w:tab w:val="num" w:pos="5040"/>
        </w:tabs>
        <w:ind w:left="5040" w:hanging="360"/>
      </w:pPr>
      <w:rPr>
        <w:rFonts w:ascii="Arial" w:hAnsi="Arial" w:hint="default"/>
      </w:rPr>
    </w:lvl>
    <w:lvl w:ilvl="7" w:tplc="C24A0A6E" w:tentative="1">
      <w:start w:val="1"/>
      <w:numFmt w:val="bullet"/>
      <w:lvlText w:val="•"/>
      <w:lvlJc w:val="left"/>
      <w:pPr>
        <w:tabs>
          <w:tab w:val="num" w:pos="5760"/>
        </w:tabs>
        <w:ind w:left="5760" w:hanging="360"/>
      </w:pPr>
      <w:rPr>
        <w:rFonts w:ascii="Arial" w:hAnsi="Arial" w:hint="default"/>
      </w:rPr>
    </w:lvl>
    <w:lvl w:ilvl="8" w:tplc="9B324F9A" w:tentative="1">
      <w:start w:val="1"/>
      <w:numFmt w:val="bullet"/>
      <w:lvlText w:val="•"/>
      <w:lvlJc w:val="left"/>
      <w:pPr>
        <w:tabs>
          <w:tab w:val="num" w:pos="6480"/>
        </w:tabs>
        <w:ind w:left="6480" w:hanging="360"/>
      </w:pPr>
      <w:rPr>
        <w:rFonts w:ascii="Arial" w:hAnsi="Arial" w:hint="default"/>
      </w:rPr>
    </w:lvl>
  </w:abstractNum>
  <w:abstractNum w:abstractNumId="41">
    <w:nsid w:val="7C9953F0"/>
    <w:multiLevelType w:val="hybridMultilevel"/>
    <w:tmpl w:val="ADA089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4"/>
  </w:num>
  <w:num w:numId="7">
    <w:abstractNumId w:val="38"/>
  </w:num>
  <w:num w:numId="8">
    <w:abstractNumId w:val="7"/>
  </w:num>
  <w:num w:numId="9">
    <w:abstractNumId w:val="4"/>
  </w:num>
  <w:num w:numId="10">
    <w:abstractNumId w:val="2"/>
  </w:num>
  <w:num w:numId="11">
    <w:abstractNumId w:val="36"/>
  </w:num>
  <w:num w:numId="12">
    <w:abstractNumId w:val="3"/>
  </w:num>
  <w:num w:numId="13">
    <w:abstractNumId w:val="6"/>
  </w:num>
  <w:num w:numId="14">
    <w:abstractNumId w:val="18"/>
  </w:num>
  <w:num w:numId="15">
    <w:abstractNumId w:val="35"/>
  </w:num>
  <w:num w:numId="16">
    <w:abstractNumId w:val="30"/>
  </w:num>
  <w:num w:numId="17">
    <w:abstractNumId w:val="9"/>
  </w:num>
  <w:num w:numId="18">
    <w:abstractNumId w:val="27"/>
  </w:num>
  <w:num w:numId="19">
    <w:abstractNumId w:val="15"/>
  </w:num>
  <w:num w:numId="20">
    <w:abstractNumId w:val="25"/>
  </w:num>
  <w:num w:numId="21">
    <w:abstractNumId w:val="1"/>
  </w:num>
  <w:num w:numId="22">
    <w:abstractNumId w:val="8"/>
  </w:num>
  <w:num w:numId="23">
    <w:abstractNumId w:val="37"/>
  </w:num>
  <w:num w:numId="24">
    <w:abstractNumId w:val="39"/>
  </w:num>
  <w:num w:numId="25">
    <w:abstractNumId w:val="12"/>
  </w:num>
  <w:num w:numId="26">
    <w:abstractNumId w:val="32"/>
  </w:num>
  <w:num w:numId="27">
    <w:abstractNumId w:val="11"/>
  </w:num>
  <w:num w:numId="28">
    <w:abstractNumId w:val="40"/>
  </w:num>
  <w:num w:numId="29">
    <w:abstractNumId w:val="17"/>
  </w:num>
  <w:num w:numId="30">
    <w:abstractNumId w:val="16"/>
  </w:num>
  <w:num w:numId="31">
    <w:abstractNumId w:val="13"/>
  </w:num>
  <w:num w:numId="32">
    <w:abstractNumId w:val="19"/>
  </w:num>
  <w:num w:numId="33">
    <w:abstractNumId w:val="10"/>
  </w:num>
  <w:num w:numId="34">
    <w:abstractNumId w:val="41"/>
  </w:num>
  <w:num w:numId="35">
    <w:abstractNumId w:val="24"/>
  </w:num>
  <w:num w:numId="36">
    <w:abstractNumId w:val="34"/>
  </w:num>
  <w:num w:numId="37">
    <w:abstractNumId w:val="26"/>
  </w:num>
  <w:num w:numId="38">
    <w:abstractNumId w:val="28"/>
  </w:num>
  <w:num w:numId="39">
    <w:abstractNumId w:val="33"/>
  </w:num>
  <w:num w:numId="40">
    <w:abstractNumId w:val="0"/>
  </w:num>
  <w:num w:numId="41">
    <w:abstractNumId w:val="5"/>
  </w:num>
  <w:num w:numId="42">
    <w:abstractNumId w:val="3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stylePaneFormatFilter w:val="3F21"/>
  <w:defaultTabStop w:val="720"/>
  <w:doNotHyphenateCaps/>
  <w:drawingGridHorizontalSpacing w:val="113"/>
  <w:drawingGridVerticalSpacing w:val="113"/>
  <w:characterSpacingControl w:val="doNotCompress"/>
  <w:hdrShapeDefaults>
    <o:shapedefaults v:ext="edit" spidmax="3074"/>
  </w:hdrShapeDefaults>
  <w:footnotePr>
    <w:footnote w:id="-1"/>
    <w:footnote w:id="0"/>
  </w:footnotePr>
  <w:endnotePr>
    <w:endnote w:id="-1"/>
    <w:endnote w:id="0"/>
  </w:endnotePr>
  <w:compat/>
  <w:rsids>
    <w:rsidRoot w:val="005D44F6"/>
    <w:rsid w:val="000013EC"/>
    <w:rsid w:val="000017C8"/>
    <w:rsid w:val="0000340D"/>
    <w:rsid w:val="00005D82"/>
    <w:rsid w:val="000069C4"/>
    <w:rsid w:val="00006FC1"/>
    <w:rsid w:val="0000754F"/>
    <w:rsid w:val="00007DF2"/>
    <w:rsid w:val="000105E7"/>
    <w:rsid w:val="00010CD7"/>
    <w:rsid w:val="00011401"/>
    <w:rsid w:val="00012AA7"/>
    <w:rsid w:val="000139A7"/>
    <w:rsid w:val="00013A11"/>
    <w:rsid w:val="00013AB3"/>
    <w:rsid w:val="000146F8"/>
    <w:rsid w:val="00014BDE"/>
    <w:rsid w:val="00015FB6"/>
    <w:rsid w:val="000178A9"/>
    <w:rsid w:val="00017B65"/>
    <w:rsid w:val="000201BD"/>
    <w:rsid w:val="00020239"/>
    <w:rsid w:val="0002099F"/>
    <w:rsid w:val="00020AC9"/>
    <w:rsid w:val="00020B68"/>
    <w:rsid w:val="00021DE8"/>
    <w:rsid w:val="000237DA"/>
    <w:rsid w:val="00023D78"/>
    <w:rsid w:val="00025154"/>
    <w:rsid w:val="000254A9"/>
    <w:rsid w:val="0002621F"/>
    <w:rsid w:val="00026340"/>
    <w:rsid w:val="000266C9"/>
    <w:rsid w:val="00026C57"/>
    <w:rsid w:val="0002778C"/>
    <w:rsid w:val="00030770"/>
    <w:rsid w:val="00030800"/>
    <w:rsid w:val="000308D5"/>
    <w:rsid w:val="00032164"/>
    <w:rsid w:val="00032B02"/>
    <w:rsid w:val="00032D78"/>
    <w:rsid w:val="00033225"/>
    <w:rsid w:val="000339DE"/>
    <w:rsid w:val="000347D0"/>
    <w:rsid w:val="00034929"/>
    <w:rsid w:val="000353F5"/>
    <w:rsid w:val="00036B80"/>
    <w:rsid w:val="00040144"/>
    <w:rsid w:val="00040A06"/>
    <w:rsid w:val="00040E71"/>
    <w:rsid w:val="00041948"/>
    <w:rsid w:val="00043108"/>
    <w:rsid w:val="000446CC"/>
    <w:rsid w:val="00044763"/>
    <w:rsid w:val="00045E96"/>
    <w:rsid w:val="0004729A"/>
    <w:rsid w:val="00050585"/>
    <w:rsid w:val="00050775"/>
    <w:rsid w:val="00052445"/>
    <w:rsid w:val="00053193"/>
    <w:rsid w:val="000540A1"/>
    <w:rsid w:val="000542A6"/>
    <w:rsid w:val="00054FA3"/>
    <w:rsid w:val="00057482"/>
    <w:rsid w:val="0005770F"/>
    <w:rsid w:val="00057A38"/>
    <w:rsid w:val="00057EB0"/>
    <w:rsid w:val="00060B18"/>
    <w:rsid w:val="0006126E"/>
    <w:rsid w:val="00061558"/>
    <w:rsid w:val="00061D9F"/>
    <w:rsid w:val="00061FE2"/>
    <w:rsid w:val="000635FB"/>
    <w:rsid w:val="00063A93"/>
    <w:rsid w:val="000646CD"/>
    <w:rsid w:val="000650FB"/>
    <w:rsid w:val="0006557D"/>
    <w:rsid w:val="00065C94"/>
    <w:rsid w:val="0006615D"/>
    <w:rsid w:val="00066AAA"/>
    <w:rsid w:val="000671D7"/>
    <w:rsid w:val="000702FF"/>
    <w:rsid w:val="0007063A"/>
    <w:rsid w:val="000709B8"/>
    <w:rsid w:val="00071C69"/>
    <w:rsid w:val="00072D2D"/>
    <w:rsid w:val="00073707"/>
    <w:rsid w:val="00074843"/>
    <w:rsid w:val="00074C0A"/>
    <w:rsid w:val="00074C2C"/>
    <w:rsid w:val="000765E8"/>
    <w:rsid w:val="00076A0A"/>
    <w:rsid w:val="000776A1"/>
    <w:rsid w:val="00080528"/>
    <w:rsid w:val="00081ED2"/>
    <w:rsid w:val="00082F2B"/>
    <w:rsid w:val="000858F2"/>
    <w:rsid w:val="0008648D"/>
    <w:rsid w:val="00090994"/>
    <w:rsid w:val="00090F57"/>
    <w:rsid w:val="0009104F"/>
    <w:rsid w:val="0009183E"/>
    <w:rsid w:val="000925E5"/>
    <w:rsid w:val="000930D0"/>
    <w:rsid w:val="0009509C"/>
    <w:rsid w:val="00096A48"/>
    <w:rsid w:val="00096B18"/>
    <w:rsid w:val="00097139"/>
    <w:rsid w:val="000A030A"/>
    <w:rsid w:val="000A05D1"/>
    <w:rsid w:val="000A07AF"/>
    <w:rsid w:val="000A0DA1"/>
    <w:rsid w:val="000A0F8A"/>
    <w:rsid w:val="000A146A"/>
    <w:rsid w:val="000A1D4E"/>
    <w:rsid w:val="000A2880"/>
    <w:rsid w:val="000A2FBE"/>
    <w:rsid w:val="000A5093"/>
    <w:rsid w:val="000A7332"/>
    <w:rsid w:val="000B01A9"/>
    <w:rsid w:val="000B0C18"/>
    <w:rsid w:val="000B1778"/>
    <w:rsid w:val="000B1CEA"/>
    <w:rsid w:val="000B23DD"/>
    <w:rsid w:val="000B24C9"/>
    <w:rsid w:val="000B2982"/>
    <w:rsid w:val="000B2C98"/>
    <w:rsid w:val="000B30E4"/>
    <w:rsid w:val="000B6DAB"/>
    <w:rsid w:val="000B7723"/>
    <w:rsid w:val="000B77F3"/>
    <w:rsid w:val="000B78DA"/>
    <w:rsid w:val="000B79C0"/>
    <w:rsid w:val="000C0191"/>
    <w:rsid w:val="000C0A43"/>
    <w:rsid w:val="000C14F0"/>
    <w:rsid w:val="000C16CA"/>
    <w:rsid w:val="000C1A73"/>
    <w:rsid w:val="000C2CCA"/>
    <w:rsid w:val="000C3AB6"/>
    <w:rsid w:val="000C3F5A"/>
    <w:rsid w:val="000C6C3D"/>
    <w:rsid w:val="000C6F0D"/>
    <w:rsid w:val="000C6F70"/>
    <w:rsid w:val="000C79CB"/>
    <w:rsid w:val="000C7A73"/>
    <w:rsid w:val="000D09DA"/>
    <w:rsid w:val="000D0A49"/>
    <w:rsid w:val="000D2509"/>
    <w:rsid w:val="000D2BB3"/>
    <w:rsid w:val="000D315A"/>
    <w:rsid w:val="000D4E54"/>
    <w:rsid w:val="000D58C3"/>
    <w:rsid w:val="000D598C"/>
    <w:rsid w:val="000D5A13"/>
    <w:rsid w:val="000D7F62"/>
    <w:rsid w:val="000E1D28"/>
    <w:rsid w:val="000E1EA4"/>
    <w:rsid w:val="000E24A7"/>
    <w:rsid w:val="000E32BA"/>
    <w:rsid w:val="000E3722"/>
    <w:rsid w:val="000E4CED"/>
    <w:rsid w:val="000E5377"/>
    <w:rsid w:val="000E5AC7"/>
    <w:rsid w:val="000E5CA5"/>
    <w:rsid w:val="000E77FB"/>
    <w:rsid w:val="000E78A8"/>
    <w:rsid w:val="000F1FBE"/>
    <w:rsid w:val="000F26B0"/>
    <w:rsid w:val="000F2C5D"/>
    <w:rsid w:val="000F39DE"/>
    <w:rsid w:val="000F4782"/>
    <w:rsid w:val="000F4DBC"/>
    <w:rsid w:val="000F5C24"/>
    <w:rsid w:val="000F6118"/>
    <w:rsid w:val="000F6B47"/>
    <w:rsid w:val="000F6D3C"/>
    <w:rsid w:val="000F6EA1"/>
    <w:rsid w:val="000F701B"/>
    <w:rsid w:val="00102505"/>
    <w:rsid w:val="001028DC"/>
    <w:rsid w:val="00103808"/>
    <w:rsid w:val="00104A3C"/>
    <w:rsid w:val="00104F1A"/>
    <w:rsid w:val="00104FC2"/>
    <w:rsid w:val="0010579E"/>
    <w:rsid w:val="00105CBA"/>
    <w:rsid w:val="0011054B"/>
    <w:rsid w:val="0011268E"/>
    <w:rsid w:val="00112BE9"/>
    <w:rsid w:val="00113FB6"/>
    <w:rsid w:val="00114711"/>
    <w:rsid w:val="00114E10"/>
    <w:rsid w:val="0011501A"/>
    <w:rsid w:val="001161A3"/>
    <w:rsid w:val="00116709"/>
    <w:rsid w:val="0011691E"/>
    <w:rsid w:val="00116995"/>
    <w:rsid w:val="00117BC2"/>
    <w:rsid w:val="0012024E"/>
    <w:rsid w:val="00120B55"/>
    <w:rsid w:val="0012114E"/>
    <w:rsid w:val="001223E7"/>
    <w:rsid w:val="001224E9"/>
    <w:rsid w:val="001233CA"/>
    <w:rsid w:val="00124765"/>
    <w:rsid w:val="00124D4A"/>
    <w:rsid w:val="00125A73"/>
    <w:rsid w:val="00125B19"/>
    <w:rsid w:val="00126317"/>
    <w:rsid w:val="001267D7"/>
    <w:rsid w:val="00126FE2"/>
    <w:rsid w:val="0012791A"/>
    <w:rsid w:val="00127A64"/>
    <w:rsid w:val="001325D4"/>
    <w:rsid w:val="00132FA3"/>
    <w:rsid w:val="00133E39"/>
    <w:rsid w:val="0013594E"/>
    <w:rsid w:val="00135AA2"/>
    <w:rsid w:val="001366A3"/>
    <w:rsid w:val="00136817"/>
    <w:rsid w:val="001415A9"/>
    <w:rsid w:val="00142510"/>
    <w:rsid w:val="00143074"/>
    <w:rsid w:val="001441C8"/>
    <w:rsid w:val="00144E25"/>
    <w:rsid w:val="00144F4D"/>
    <w:rsid w:val="0014618E"/>
    <w:rsid w:val="00151196"/>
    <w:rsid w:val="001513C7"/>
    <w:rsid w:val="00151FF7"/>
    <w:rsid w:val="00152099"/>
    <w:rsid w:val="001522C3"/>
    <w:rsid w:val="00152FA6"/>
    <w:rsid w:val="001541D6"/>
    <w:rsid w:val="00155AA1"/>
    <w:rsid w:val="001565D8"/>
    <w:rsid w:val="0015732E"/>
    <w:rsid w:val="00160B0B"/>
    <w:rsid w:val="00160EB8"/>
    <w:rsid w:val="00161617"/>
    <w:rsid w:val="00161923"/>
    <w:rsid w:val="00162888"/>
    <w:rsid w:val="0016305E"/>
    <w:rsid w:val="001633DC"/>
    <w:rsid w:val="0016376C"/>
    <w:rsid w:val="00164B05"/>
    <w:rsid w:val="00164F23"/>
    <w:rsid w:val="00165E55"/>
    <w:rsid w:val="00166656"/>
    <w:rsid w:val="00166BDC"/>
    <w:rsid w:val="00166C15"/>
    <w:rsid w:val="0016729D"/>
    <w:rsid w:val="0017097E"/>
    <w:rsid w:val="00171395"/>
    <w:rsid w:val="00171B93"/>
    <w:rsid w:val="00171C3B"/>
    <w:rsid w:val="00171D68"/>
    <w:rsid w:val="00172D3D"/>
    <w:rsid w:val="0017315C"/>
    <w:rsid w:val="0017432F"/>
    <w:rsid w:val="0017552B"/>
    <w:rsid w:val="00175879"/>
    <w:rsid w:val="00175992"/>
    <w:rsid w:val="00176490"/>
    <w:rsid w:val="001772E9"/>
    <w:rsid w:val="00180A68"/>
    <w:rsid w:val="001834B6"/>
    <w:rsid w:val="00183ABC"/>
    <w:rsid w:val="00184741"/>
    <w:rsid w:val="00185B57"/>
    <w:rsid w:val="00185C35"/>
    <w:rsid w:val="00185D59"/>
    <w:rsid w:val="00186878"/>
    <w:rsid w:val="00186DCF"/>
    <w:rsid w:val="00186F3E"/>
    <w:rsid w:val="00187344"/>
    <w:rsid w:val="001874DF"/>
    <w:rsid w:val="00187734"/>
    <w:rsid w:val="001928A5"/>
    <w:rsid w:val="00192FCD"/>
    <w:rsid w:val="00194167"/>
    <w:rsid w:val="00194C5F"/>
    <w:rsid w:val="001972A2"/>
    <w:rsid w:val="001A275D"/>
    <w:rsid w:val="001A30BC"/>
    <w:rsid w:val="001A3974"/>
    <w:rsid w:val="001A5454"/>
    <w:rsid w:val="001A576A"/>
    <w:rsid w:val="001A5AFA"/>
    <w:rsid w:val="001A5B1C"/>
    <w:rsid w:val="001A60D0"/>
    <w:rsid w:val="001A62A4"/>
    <w:rsid w:val="001A6760"/>
    <w:rsid w:val="001A6BE9"/>
    <w:rsid w:val="001A7475"/>
    <w:rsid w:val="001B0D42"/>
    <w:rsid w:val="001B1B56"/>
    <w:rsid w:val="001B2B45"/>
    <w:rsid w:val="001B31BF"/>
    <w:rsid w:val="001B32C8"/>
    <w:rsid w:val="001B34C1"/>
    <w:rsid w:val="001B4282"/>
    <w:rsid w:val="001B48FD"/>
    <w:rsid w:val="001B5318"/>
    <w:rsid w:val="001B5DD6"/>
    <w:rsid w:val="001B7783"/>
    <w:rsid w:val="001B7A79"/>
    <w:rsid w:val="001C0B76"/>
    <w:rsid w:val="001C1CF5"/>
    <w:rsid w:val="001C206E"/>
    <w:rsid w:val="001C36D0"/>
    <w:rsid w:val="001C37C5"/>
    <w:rsid w:val="001C4829"/>
    <w:rsid w:val="001C5A04"/>
    <w:rsid w:val="001C5C57"/>
    <w:rsid w:val="001C5D6E"/>
    <w:rsid w:val="001D058E"/>
    <w:rsid w:val="001D08E9"/>
    <w:rsid w:val="001D1936"/>
    <w:rsid w:val="001D1CED"/>
    <w:rsid w:val="001D283B"/>
    <w:rsid w:val="001D36B9"/>
    <w:rsid w:val="001D3E98"/>
    <w:rsid w:val="001D4481"/>
    <w:rsid w:val="001D46F4"/>
    <w:rsid w:val="001D552B"/>
    <w:rsid w:val="001D6231"/>
    <w:rsid w:val="001D67B4"/>
    <w:rsid w:val="001E012B"/>
    <w:rsid w:val="001E1DC9"/>
    <w:rsid w:val="001E2640"/>
    <w:rsid w:val="001E2C74"/>
    <w:rsid w:val="001E39CA"/>
    <w:rsid w:val="001E3C09"/>
    <w:rsid w:val="001E3EAC"/>
    <w:rsid w:val="001E40B2"/>
    <w:rsid w:val="001E472E"/>
    <w:rsid w:val="001E4D00"/>
    <w:rsid w:val="001E55B2"/>
    <w:rsid w:val="001E5DE1"/>
    <w:rsid w:val="001E61DB"/>
    <w:rsid w:val="001E6401"/>
    <w:rsid w:val="001F0879"/>
    <w:rsid w:val="001F18BD"/>
    <w:rsid w:val="001F2BF2"/>
    <w:rsid w:val="001F2E8E"/>
    <w:rsid w:val="001F4A2A"/>
    <w:rsid w:val="001F57E9"/>
    <w:rsid w:val="001F589C"/>
    <w:rsid w:val="001F6149"/>
    <w:rsid w:val="001F6736"/>
    <w:rsid w:val="001F75EC"/>
    <w:rsid w:val="001F79BB"/>
    <w:rsid w:val="00200781"/>
    <w:rsid w:val="00201C9E"/>
    <w:rsid w:val="00201DF8"/>
    <w:rsid w:val="00201EC4"/>
    <w:rsid w:val="002027DC"/>
    <w:rsid w:val="0020487F"/>
    <w:rsid w:val="00204946"/>
    <w:rsid w:val="002067B5"/>
    <w:rsid w:val="00207448"/>
    <w:rsid w:val="002079D0"/>
    <w:rsid w:val="00210CAE"/>
    <w:rsid w:val="00211C02"/>
    <w:rsid w:val="002128B1"/>
    <w:rsid w:val="00212B0A"/>
    <w:rsid w:val="00212F3D"/>
    <w:rsid w:val="00213389"/>
    <w:rsid w:val="002133D0"/>
    <w:rsid w:val="002138B5"/>
    <w:rsid w:val="002138BB"/>
    <w:rsid w:val="0021400C"/>
    <w:rsid w:val="00214A51"/>
    <w:rsid w:val="00214B1A"/>
    <w:rsid w:val="00214C08"/>
    <w:rsid w:val="00215C1F"/>
    <w:rsid w:val="00217343"/>
    <w:rsid w:val="0021796A"/>
    <w:rsid w:val="002211CF"/>
    <w:rsid w:val="00222D3D"/>
    <w:rsid w:val="002230CA"/>
    <w:rsid w:val="00223522"/>
    <w:rsid w:val="00223983"/>
    <w:rsid w:val="00223B8E"/>
    <w:rsid w:val="00224797"/>
    <w:rsid w:val="00224C2D"/>
    <w:rsid w:val="00224EBA"/>
    <w:rsid w:val="0022551A"/>
    <w:rsid w:val="00227E97"/>
    <w:rsid w:val="00227EC5"/>
    <w:rsid w:val="00230165"/>
    <w:rsid w:val="002327AE"/>
    <w:rsid w:val="00232E0C"/>
    <w:rsid w:val="00234138"/>
    <w:rsid w:val="002362A4"/>
    <w:rsid w:val="00237362"/>
    <w:rsid w:val="00237972"/>
    <w:rsid w:val="00237C90"/>
    <w:rsid w:val="002444B1"/>
    <w:rsid w:val="0024591F"/>
    <w:rsid w:val="002460BC"/>
    <w:rsid w:val="00247219"/>
    <w:rsid w:val="00247DE8"/>
    <w:rsid w:val="00250073"/>
    <w:rsid w:val="00250718"/>
    <w:rsid w:val="002507BB"/>
    <w:rsid w:val="00250C1D"/>
    <w:rsid w:val="00253EF4"/>
    <w:rsid w:val="00254A66"/>
    <w:rsid w:val="00255651"/>
    <w:rsid w:val="00255B60"/>
    <w:rsid w:val="00256105"/>
    <w:rsid w:val="00257921"/>
    <w:rsid w:val="00260562"/>
    <w:rsid w:val="002607A2"/>
    <w:rsid w:val="00261B6D"/>
    <w:rsid w:val="00263FFA"/>
    <w:rsid w:val="00264EF3"/>
    <w:rsid w:val="002656DD"/>
    <w:rsid w:val="002658C5"/>
    <w:rsid w:val="002672B1"/>
    <w:rsid w:val="00267FA7"/>
    <w:rsid w:val="00270BB9"/>
    <w:rsid w:val="00270DC3"/>
    <w:rsid w:val="00271800"/>
    <w:rsid w:val="00272115"/>
    <w:rsid w:val="00272B14"/>
    <w:rsid w:val="00274103"/>
    <w:rsid w:val="00276146"/>
    <w:rsid w:val="002767D5"/>
    <w:rsid w:val="00276D7B"/>
    <w:rsid w:val="00280B44"/>
    <w:rsid w:val="0028138F"/>
    <w:rsid w:val="0028203B"/>
    <w:rsid w:val="00282B51"/>
    <w:rsid w:val="00283A59"/>
    <w:rsid w:val="00283FBA"/>
    <w:rsid w:val="00284159"/>
    <w:rsid w:val="002847B9"/>
    <w:rsid w:val="002864D6"/>
    <w:rsid w:val="00286F74"/>
    <w:rsid w:val="00290284"/>
    <w:rsid w:val="00290A23"/>
    <w:rsid w:val="0029131C"/>
    <w:rsid w:val="002914ED"/>
    <w:rsid w:val="00292B5A"/>
    <w:rsid w:val="00292F85"/>
    <w:rsid w:val="00293D40"/>
    <w:rsid w:val="0029440A"/>
    <w:rsid w:val="002954B9"/>
    <w:rsid w:val="00295763"/>
    <w:rsid w:val="00295808"/>
    <w:rsid w:val="00295A14"/>
    <w:rsid w:val="00296C5D"/>
    <w:rsid w:val="002A092A"/>
    <w:rsid w:val="002A098F"/>
    <w:rsid w:val="002A1638"/>
    <w:rsid w:val="002A1B45"/>
    <w:rsid w:val="002A28FE"/>
    <w:rsid w:val="002A2E22"/>
    <w:rsid w:val="002A35FA"/>
    <w:rsid w:val="002A370B"/>
    <w:rsid w:val="002A4B81"/>
    <w:rsid w:val="002A4B8B"/>
    <w:rsid w:val="002A5C1A"/>
    <w:rsid w:val="002A696E"/>
    <w:rsid w:val="002A71E0"/>
    <w:rsid w:val="002A7518"/>
    <w:rsid w:val="002B0592"/>
    <w:rsid w:val="002B05B1"/>
    <w:rsid w:val="002B20AE"/>
    <w:rsid w:val="002B22EC"/>
    <w:rsid w:val="002B3EA9"/>
    <w:rsid w:val="002B4F19"/>
    <w:rsid w:val="002B5710"/>
    <w:rsid w:val="002B6641"/>
    <w:rsid w:val="002B70D9"/>
    <w:rsid w:val="002B714E"/>
    <w:rsid w:val="002B769C"/>
    <w:rsid w:val="002C0059"/>
    <w:rsid w:val="002C0A4C"/>
    <w:rsid w:val="002C1E14"/>
    <w:rsid w:val="002C35C2"/>
    <w:rsid w:val="002C3843"/>
    <w:rsid w:val="002C5847"/>
    <w:rsid w:val="002C5C6A"/>
    <w:rsid w:val="002C640E"/>
    <w:rsid w:val="002C641C"/>
    <w:rsid w:val="002C6796"/>
    <w:rsid w:val="002C6A15"/>
    <w:rsid w:val="002C73BA"/>
    <w:rsid w:val="002D01A8"/>
    <w:rsid w:val="002D14B6"/>
    <w:rsid w:val="002D1753"/>
    <w:rsid w:val="002D17E5"/>
    <w:rsid w:val="002D1AAC"/>
    <w:rsid w:val="002D2EE3"/>
    <w:rsid w:val="002D44B8"/>
    <w:rsid w:val="002D45D4"/>
    <w:rsid w:val="002D4687"/>
    <w:rsid w:val="002D4A39"/>
    <w:rsid w:val="002D5DC2"/>
    <w:rsid w:val="002D5EF7"/>
    <w:rsid w:val="002D60D4"/>
    <w:rsid w:val="002D6C62"/>
    <w:rsid w:val="002D6C79"/>
    <w:rsid w:val="002D7334"/>
    <w:rsid w:val="002E000C"/>
    <w:rsid w:val="002E0E37"/>
    <w:rsid w:val="002E0EDB"/>
    <w:rsid w:val="002E1335"/>
    <w:rsid w:val="002E1F4C"/>
    <w:rsid w:val="002E2855"/>
    <w:rsid w:val="002E34E0"/>
    <w:rsid w:val="002E35E6"/>
    <w:rsid w:val="002E5102"/>
    <w:rsid w:val="002E6807"/>
    <w:rsid w:val="002E6EA4"/>
    <w:rsid w:val="002E77E6"/>
    <w:rsid w:val="002F0710"/>
    <w:rsid w:val="002F3006"/>
    <w:rsid w:val="002F338E"/>
    <w:rsid w:val="002F3603"/>
    <w:rsid w:val="002F3CE8"/>
    <w:rsid w:val="002F427A"/>
    <w:rsid w:val="002F42BE"/>
    <w:rsid w:val="002F55F1"/>
    <w:rsid w:val="002F5788"/>
    <w:rsid w:val="002F68B8"/>
    <w:rsid w:val="002F6E74"/>
    <w:rsid w:val="002F7B34"/>
    <w:rsid w:val="002F7F8C"/>
    <w:rsid w:val="00302419"/>
    <w:rsid w:val="00303BAA"/>
    <w:rsid w:val="00303D11"/>
    <w:rsid w:val="0030431D"/>
    <w:rsid w:val="00304385"/>
    <w:rsid w:val="00304471"/>
    <w:rsid w:val="0030451B"/>
    <w:rsid w:val="00306F4A"/>
    <w:rsid w:val="003100E2"/>
    <w:rsid w:val="0031050E"/>
    <w:rsid w:val="00310FA8"/>
    <w:rsid w:val="00311673"/>
    <w:rsid w:val="00311CB2"/>
    <w:rsid w:val="003127E9"/>
    <w:rsid w:val="0031406F"/>
    <w:rsid w:val="00314968"/>
    <w:rsid w:val="00314DE8"/>
    <w:rsid w:val="003152F8"/>
    <w:rsid w:val="00316DED"/>
    <w:rsid w:val="003171A0"/>
    <w:rsid w:val="003208B1"/>
    <w:rsid w:val="00320C0E"/>
    <w:rsid w:val="00322791"/>
    <w:rsid w:val="00322B04"/>
    <w:rsid w:val="00322E78"/>
    <w:rsid w:val="00322F1D"/>
    <w:rsid w:val="003235E4"/>
    <w:rsid w:val="00324B6A"/>
    <w:rsid w:val="0032613E"/>
    <w:rsid w:val="003262BD"/>
    <w:rsid w:val="00326408"/>
    <w:rsid w:val="00326542"/>
    <w:rsid w:val="00326FBC"/>
    <w:rsid w:val="00330D58"/>
    <w:rsid w:val="003314FA"/>
    <w:rsid w:val="003334D2"/>
    <w:rsid w:val="0033371A"/>
    <w:rsid w:val="0033462B"/>
    <w:rsid w:val="00334FAD"/>
    <w:rsid w:val="0033594F"/>
    <w:rsid w:val="00335AA8"/>
    <w:rsid w:val="00335C03"/>
    <w:rsid w:val="0033638C"/>
    <w:rsid w:val="003367F6"/>
    <w:rsid w:val="00336FDB"/>
    <w:rsid w:val="003402EE"/>
    <w:rsid w:val="003409BC"/>
    <w:rsid w:val="00340A5F"/>
    <w:rsid w:val="00341F36"/>
    <w:rsid w:val="00342075"/>
    <w:rsid w:val="003434E0"/>
    <w:rsid w:val="003438D3"/>
    <w:rsid w:val="00343ED0"/>
    <w:rsid w:val="0034469F"/>
    <w:rsid w:val="00344FD0"/>
    <w:rsid w:val="003452BC"/>
    <w:rsid w:val="00346567"/>
    <w:rsid w:val="00346A53"/>
    <w:rsid w:val="0034760D"/>
    <w:rsid w:val="003505CF"/>
    <w:rsid w:val="0035237B"/>
    <w:rsid w:val="00352E05"/>
    <w:rsid w:val="00353234"/>
    <w:rsid w:val="003539BE"/>
    <w:rsid w:val="00354AD2"/>
    <w:rsid w:val="003554B6"/>
    <w:rsid w:val="003556E8"/>
    <w:rsid w:val="0035570A"/>
    <w:rsid w:val="00355888"/>
    <w:rsid w:val="00356232"/>
    <w:rsid w:val="003577BB"/>
    <w:rsid w:val="00360358"/>
    <w:rsid w:val="00360955"/>
    <w:rsid w:val="00361401"/>
    <w:rsid w:val="00361451"/>
    <w:rsid w:val="003619E9"/>
    <w:rsid w:val="00362373"/>
    <w:rsid w:val="00362E04"/>
    <w:rsid w:val="0036300B"/>
    <w:rsid w:val="00364060"/>
    <w:rsid w:val="00365591"/>
    <w:rsid w:val="00365B0F"/>
    <w:rsid w:val="00366276"/>
    <w:rsid w:val="0036646E"/>
    <w:rsid w:val="00366B85"/>
    <w:rsid w:val="003671A7"/>
    <w:rsid w:val="0036728B"/>
    <w:rsid w:val="00367782"/>
    <w:rsid w:val="0037353D"/>
    <w:rsid w:val="00373573"/>
    <w:rsid w:val="003745FB"/>
    <w:rsid w:val="00375BD7"/>
    <w:rsid w:val="003765D8"/>
    <w:rsid w:val="00376A19"/>
    <w:rsid w:val="0037720D"/>
    <w:rsid w:val="003774E0"/>
    <w:rsid w:val="00380DAA"/>
    <w:rsid w:val="0038127F"/>
    <w:rsid w:val="00383948"/>
    <w:rsid w:val="0038515D"/>
    <w:rsid w:val="0038595B"/>
    <w:rsid w:val="00385DBC"/>
    <w:rsid w:val="0038689E"/>
    <w:rsid w:val="00386E93"/>
    <w:rsid w:val="0038739E"/>
    <w:rsid w:val="00387656"/>
    <w:rsid w:val="00390415"/>
    <w:rsid w:val="003914A0"/>
    <w:rsid w:val="00392C39"/>
    <w:rsid w:val="0039352A"/>
    <w:rsid w:val="0039352C"/>
    <w:rsid w:val="003936A4"/>
    <w:rsid w:val="003945EE"/>
    <w:rsid w:val="00395C0D"/>
    <w:rsid w:val="003962F0"/>
    <w:rsid w:val="003963E5"/>
    <w:rsid w:val="003966D6"/>
    <w:rsid w:val="00396782"/>
    <w:rsid w:val="00397202"/>
    <w:rsid w:val="00397D18"/>
    <w:rsid w:val="003A023C"/>
    <w:rsid w:val="003A11C8"/>
    <w:rsid w:val="003A1C35"/>
    <w:rsid w:val="003A2CA9"/>
    <w:rsid w:val="003A3ADB"/>
    <w:rsid w:val="003A4474"/>
    <w:rsid w:val="003A453C"/>
    <w:rsid w:val="003A492D"/>
    <w:rsid w:val="003A4DE4"/>
    <w:rsid w:val="003A4EE9"/>
    <w:rsid w:val="003A4FD2"/>
    <w:rsid w:val="003A689C"/>
    <w:rsid w:val="003B1249"/>
    <w:rsid w:val="003B1279"/>
    <w:rsid w:val="003B131A"/>
    <w:rsid w:val="003B13E9"/>
    <w:rsid w:val="003B1578"/>
    <w:rsid w:val="003B1AD0"/>
    <w:rsid w:val="003B1C6A"/>
    <w:rsid w:val="003B2B95"/>
    <w:rsid w:val="003B2DDC"/>
    <w:rsid w:val="003B3041"/>
    <w:rsid w:val="003B5B18"/>
    <w:rsid w:val="003B5D30"/>
    <w:rsid w:val="003B5E36"/>
    <w:rsid w:val="003B61B9"/>
    <w:rsid w:val="003B64BD"/>
    <w:rsid w:val="003B6E61"/>
    <w:rsid w:val="003B7D9D"/>
    <w:rsid w:val="003C0237"/>
    <w:rsid w:val="003C0928"/>
    <w:rsid w:val="003C1158"/>
    <w:rsid w:val="003C2057"/>
    <w:rsid w:val="003C2805"/>
    <w:rsid w:val="003C41DD"/>
    <w:rsid w:val="003C52B0"/>
    <w:rsid w:val="003C73BA"/>
    <w:rsid w:val="003C7926"/>
    <w:rsid w:val="003D03D1"/>
    <w:rsid w:val="003D0C47"/>
    <w:rsid w:val="003D11FE"/>
    <w:rsid w:val="003D1D35"/>
    <w:rsid w:val="003D1E55"/>
    <w:rsid w:val="003D256E"/>
    <w:rsid w:val="003D2F79"/>
    <w:rsid w:val="003D3104"/>
    <w:rsid w:val="003D46F2"/>
    <w:rsid w:val="003D63AB"/>
    <w:rsid w:val="003D7930"/>
    <w:rsid w:val="003E0F74"/>
    <w:rsid w:val="003E157B"/>
    <w:rsid w:val="003E16F0"/>
    <w:rsid w:val="003E1ECF"/>
    <w:rsid w:val="003E228B"/>
    <w:rsid w:val="003E3A4D"/>
    <w:rsid w:val="003E3C03"/>
    <w:rsid w:val="003E4A53"/>
    <w:rsid w:val="003E514D"/>
    <w:rsid w:val="003E5D6D"/>
    <w:rsid w:val="003E5EE2"/>
    <w:rsid w:val="003E6072"/>
    <w:rsid w:val="003E6906"/>
    <w:rsid w:val="003E7065"/>
    <w:rsid w:val="003E70BE"/>
    <w:rsid w:val="003F03A3"/>
    <w:rsid w:val="003F0CD7"/>
    <w:rsid w:val="003F0FD6"/>
    <w:rsid w:val="003F1055"/>
    <w:rsid w:val="003F1402"/>
    <w:rsid w:val="003F165F"/>
    <w:rsid w:val="003F1A73"/>
    <w:rsid w:val="003F208E"/>
    <w:rsid w:val="003F29F4"/>
    <w:rsid w:val="003F3755"/>
    <w:rsid w:val="003F4772"/>
    <w:rsid w:val="003F566B"/>
    <w:rsid w:val="003F5A8D"/>
    <w:rsid w:val="003F7DD4"/>
    <w:rsid w:val="003F7EEE"/>
    <w:rsid w:val="004005B1"/>
    <w:rsid w:val="00400A90"/>
    <w:rsid w:val="0040245B"/>
    <w:rsid w:val="004030D6"/>
    <w:rsid w:val="004048DF"/>
    <w:rsid w:val="004061C6"/>
    <w:rsid w:val="0040725A"/>
    <w:rsid w:val="0041024E"/>
    <w:rsid w:val="00413529"/>
    <w:rsid w:val="00413ACD"/>
    <w:rsid w:val="00413E91"/>
    <w:rsid w:val="004143B9"/>
    <w:rsid w:val="00414745"/>
    <w:rsid w:val="00414B52"/>
    <w:rsid w:val="00415220"/>
    <w:rsid w:val="00415250"/>
    <w:rsid w:val="004152D9"/>
    <w:rsid w:val="00415818"/>
    <w:rsid w:val="00416051"/>
    <w:rsid w:val="0041646A"/>
    <w:rsid w:val="00416479"/>
    <w:rsid w:val="004174DE"/>
    <w:rsid w:val="004177B9"/>
    <w:rsid w:val="00421869"/>
    <w:rsid w:val="00422617"/>
    <w:rsid w:val="00423EAC"/>
    <w:rsid w:val="00426A6F"/>
    <w:rsid w:val="00426BCB"/>
    <w:rsid w:val="004275E5"/>
    <w:rsid w:val="00427A25"/>
    <w:rsid w:val="00427A2D"/>
    <w:rsid w:val="00430659"/>
    <w:rsid w:val="004324BC"/>
    <w:rsid w:val="00432BD4"/>
    <w:rsid w:val="00433240"/>
    <w:rsid w:val="00433535"/>
    <w:rsid w:val="0043370F"/>
    <w:rsid w:val="00433DB7"/>
    <w:rsid w:val="00434644"/>
    <w:rsid w:val="00436F37"/>
    <w:rsid w:val="004372CE"/>
    <w:rsid w:val="004376CA"/>
    <w:rsid w:val="004378B9"/>
    <w:rsid w:val="00437C49"/>
    <w:rsid w:val="00441325"/>
    <w:rsid w:val="00441C62"/>
    <w:rsid w:val="00443AEC"/>
    <w:rsid w:val="00444900"/>
    <w:rsid w:val="00444D80"/>
    <w:rsid w:val="00445469"/>
    <w:rsid w:val="00445830"/>
    <w:rsid w:val="004458E9"/>
    <w:rsid w:val="00445A37"/>
    <w:rsid w:val="00445D6E"/>
    <w:rsid w:val="00446BBE"/>
    <w:rsid w:val="00446D27"/>
    <w:rsid w:val="004472FA"/>
    <w:rsid w:val="0044756B"/>
    <w:rsid w:val="004514C7"/>
    <w:rsid w:val="00451711"/>
    <w:rsid w:val="00451A73"/>
    <w:rsid w:val="00451ED9"/>
    <w:rsid w:val="00452875"/>
    <w:rsid w:val="00452BA9"/>
    <w:rsid w:val="004531D1"/>
    <w:rsid w:val="00453E75"/>
    <w:rsid w:val="00453F01"/>
    <w:rsid w:val="0045431E"/>
    <w:rsid w:val="00454F7A"/>
    <w:rsid w:val="00455E45"/>
    <w:rsid w:val="00456552"/>
    <w:rsid w:val="00456CDD"/>
    <w:rsid w:val="00456E34"/>
    <w:rsid w:val="0045707D"/>
    <w:rsid w:val="004577FF"/>
    <w:rsid w:val="00457F7B"/>
    <w:rsid w:val="00461118"/>
    <w:rsid w:val="00462D67"/>
    <w:rsid w:val="00462E40"/>
    <w:rsid w:val="0046403B"/>
    <w:rsid w:val="00464D75"/>
    <w:rsid w:val="004655E6"/>
    <w:rsid w:val="00465A2E"/>
    <w:rsid w:val="00465AAF"/>
    <w:rsid w:val="00465B48"/>
    <w:rsid w:val="00466D7D"/>
    <w:rsid w:val="004678D3"/>
    <w:rsid w:val="00467AE2"/>
    <w:rsid w:val="00467E58"/>
    <w:rsid w:val="0047082F"/>
    <w:rsid w:val="00470E79"/>
    <w:rsid w:val="004718D4"/>
    <w:rsid w:val="00473BCD"/>
    <w:rsid w:val="00473FDE"/>
    <w:rsid w:val="00475283"/>
    <w:rsid w:val="0047559C"/>
    <w:rsid w:val="004764BE"/>
    <w:rsid w:val="00476559"/>
    <w:rsid w:val="00476AE0"/>
    <w:rsid w:val="004810B7"/>
    <w:rsid w:val="00485162"/>
    <w:rsid w:val="0048598D"/>
    <w:rsid w:val="0048624E"/>
    <w:rsid w:val="00486E89"/>
    <w:rsid w:val="00487130"/>
    <w:rsid w:val="004875FC"/>
    <w:rsid w:val="004920C3"/>
    <w:rsid w:val="004926CA"/>
    <w:rsid w:val="004934EE"/>
    <w:rsid w:val="00494325"/>
    <w:rsid w:val="004949C1"/>
    <w:rsid w:val="00495BB8"/>
    <w:rsid w:val="004964C9"/>
    <w:rsid w:val="00496A90"/>
    <w:rsid w:val="00496E8B"/>
    <w:rsid w:val="00497B3B"/>
    <w:rsid w:val="004A16A8"/>
    <w:rsid w:val="004A2982"/>
    <w:rsid w:val="004A2A20"/>
    <w:rsid w:val="004A2FC0"/>
    <w:rsid w:val="004A319A"/>
    <w:rsid w:val="004A46BC"/>
    <w:rsid w:val="004A487F"/>
    <w:rsid w:val="004A4929"/>
    <w:rsid w:val="004A5D66"/>
    <w:rsid w:val="004A5E40"/>
    <w:rsid w:val="004A6211"/>
    <w:rsid w:val="004A71E2"/>
    <w:rsid w:val="004B00A2"/>
    <w:rsid w:val="004B0377"/>
    <w:rsid w:val="004B2905"/>
    <w:rsid w:val="004B2EC6"/>
    <w:rsid w:val="004B3C0A"/>
    <w:rsid w:val="004B3CAD"/>
    <w:rsid w:val="004B4000"/>
    <w:rsid w:val="004B4235"/>
    <w:rsid w:val="004B4BD4"/>
    <w:rsid w:val="004B4EB0"/>
    <w:rsid w:val="004B51E9"/>
    <w:rsid w:val="004B5344"/>
    <w:rsid w:val="004B5B05"/>
    <w:rsid w:val="004B5CAC"/>
    <w:rsid w:val="004B5D92"/>
    <w:rsid w:val="004B6187"/>
    <w:rsid w:val="004B74D4"/>
    <w:rsid w:val="004B78A4"/>
    <w:rsid w:val="004C035B"/>
    <w:rsid w:val="004C06D6"/>
    <w:rsid w:val="004C1A0C"/>
    <w:rsid w:val="004C2C67"/>
    <w:rsid w:val="004C382E"/>
    <w:rsid w:val="004C3E51"/>
    <w:rsid w:val="004C3EB3"/>
    <w:rsid w:val="004C4BF5"/>
    <w:rsid w:val="004C54AA"/>
    <w:rsid w:val="004C589D"/>
    <w:rsid w:val="004C6646"/>
    <w:rsid w:val="004C68A5"/>
    <w:rsid w:val="004C7538"/>
    <w:rsid w:val="004D03E8"/>
    <w:rsid w:val="004D0C01"/>
    <w:rsid w:val="004D3965"/>
    <w:rsid w:val="004D4CCE"/>
    <w:rsid w:val="004D4F31"/>
    <w:rsid w:val="004D51C3"/>
    <w:rsid w:val="004D54D4"/>
    <w:rsid w:val="004E010C"/>
    <w:rsid w:val="004E1B97"/>
    <w:rsid w:val="004E1D72"/>
    <w:rsid w:val="004E1E01"/>
    <w:rsid w:val="004E30D5"/>
    <w:rsid w:val="004E3736"/>
    <w:rsid w:val="004E3D7B"/>
    <w:rsid w:val="004E6C23"/>
    <w:rsid w:val="004E6CF7"/>
    <w:rsid w:val="004E7126"/>
    <w:rsid w:val="004E7323"/>
    <w:rsid w:val="004F029D"/>
    <w:rsid w:val="004F0403"/>
    <w:rsid w:val="004F0CCA"/>
    <w:rsid w:val="004F1770"/>
    <w:rsid w:val="004F189A"/>
    <w:rsid w:val="004F20CB"/>
    <w:rsid w:val="004F32A8"/>
    <w:rsid w:val="004F3A69"/>
    <w:rsid w:val="004F3C64"/>
    <w:rsid w:val="004F4622"/>
    <w:rsid w:val="004F4F5D"/>
    <w:rsid w:val="004F5E3B"/>
    <w:rsid w:val="004F771F"/>
    <w:rsid w:val="00500E72"/>
    <w:rsid w:val="005034B0"/>
    <w:rsid w:val="005036E6"/>
    <w:rsid w:val="00503B6A"/>
    <w:rsid w:val="00504273"/>
    <w:rsid w:val="0050499F"/>
    <w:rsid w:val="0050547F"/>
    <w:rsid w:val="00505503"/>
    <w:rsid w:val="00505708"/>
    <w:rsid w:val="00507FD9"/>
    <w:rsid w:val="00512171"/>
    <w:rsid w:val="00512294"/>
    <w:rsid w:val="00512C74"/>
    <w:rsid w:val="00513642"/>
    <w:rsid w:val="00513787"/>
    <w:rsid w:val="00513CF8"/>
    <w:rsid w:val="005149C7"/>
    <w:rsid w:val="005150BD"/>
    <w:rsid w:val="005156B8"/>
    <w:rsid w:val="0051651E"/>
    <w:rsid w:val="00517728"/>
    <w:rsid w:val="00520242"/>
    <w:rsid w:val="00520F87"/>
    <w:rsid w:val="00522E3A"/>
    <w:rsid w:val="00523D6B"/>
    <w:rsid w:val="00524FCC"/>
    <w:rsid w:val="00525D46"/>
    <w:rsid w:val="00525D79"/>
    <w:rsid w:val="005328F7"/>
    <w:rsid w:val="005330B9"/>
    <w:rsid w:val="00533278"/>
    <w:rsid w:val="00533396"/>
    <w:rsid w:val="0053363F"/>
    <w:rsid w:val="00535338"/>
    <w:rsid w:val="00535D33"/>
    <w:rsid w:val="00535DE0"/>
    <w:rsid w:val="0053605E"/>
    <w:rsid w:val="005369AA"/>
    <w:rsid w:val="005371B8"/>
    <w:rsid w:val="00537E98"/>
    <w:rsid w:val="00541CE8"/>
    <w:rsid w:val="00542C8F"/>
    <w:rsid w:val="00542FD4"/>
    <w:rsid w:val="00543420"/>
    <w:rsid w:val="00543E12"/>
    <w:rsid w:val="00544FE2"/>
    <w:rsid w:val="00546917"/>
    <w:rsid w:val="00551946"/>
    <w:rsid w:val="00552B95"/>
    <w:rsid w:val="00552E3B"/>
    <w:rsid w:val="00553D82"/>
    <w:rsid w:val="00553D88"/>
    <w:rsid w:val="00554356"/>
    <w:rsid w:val="00555746"/>
    <w:rsid w:val="00555946"/>
    <w:rsid w:val="0055601B"/>
    <w:rsid w:val="005565F0"/>
    <w:rsid w:val="00557E4C"/>
    <w:rsid w:val="00557EE1"/>
    <w:rsid w:val="005610B3"/>
    <w:rsid w:val="005612E3"/>
    <w:rsid w:val="005631D5"/>
    <w:rsid w:val="00564DFE"/>
    <w:rsid w:val="005663E2"/>
    <w:rsid w:val="00566C52"/>
    <w:rsid w:val="00570918"/>
    <w:rsid w:val="005714EB"/>
    <w:rsid w:val="00571664"/>
    <w:rsid w:val="00571F8A"/>
    <w:rsid w:val="005748DD"/>
    <w:rsid w:val="00574A1A"/>
    <w:rsid w:val="005756E5"/>
    <w:rsid w:val="00575859"/>
    <w:rsid w:val="005759C2"/>
    <w:rsid w:val="00575DB4"/>
    <w:rsid w:val="0057655C"/>
    <w:rsid w:val="0057728E"/>
    <w:rsid w:val="00577C4C"/>
    <w:rsid w:val="00577E11"/>
    <w:rsid w:val="005805EE"/>
    <w:rsid w:val="00580705"/>
    <w:rsid w:val="00580A8D"/>
    <w:rsid w:val="005814B1"/>
    <w:rsid w:val="00581858"/>
    <w:rsid w:val="00582104"/>
    <w:rsid w:val="00582645"/>
    <w:rsid w:val="00582A68"/>
    <w:rsid w:val="00582BFB"/>
    <w:rsid w:val="00584978"/>
    <w:rsid w:val="005856A6"/>
    <w:rsid w:val="0058585E"/>
    <w:rsid w:val="00585C8C"/>
    <w:rsid w:val="00586B95"/>
    <w:rsid w:val="00587423"/>
    <w:rsid w:val="0058769C"/>
    <w:rsid w:val="00590657"/>
    <w:rsid w:val="00590A33"/>
    <w:rsid w:val="005914CB"/>
    <w:rsid w:val="005917B3"/>
    <w:rsid w:val="00594107"/>
    <w:rsid w:val="00594E36"/>
    <w:rsid w:val="0059652B"/>
    <w:rsid w:val="00597893"/>
    <w:rsid w:val="005A0A74"/>
    <w:rsid w:val="005A159A"/>
    <w:rsid w:val="005A1E6D"/>
    <w:rsid w:val="005A4681"/>
    <w:rsid w:val="005A61C9"/>
    <w:rsid w:val="005B0333"/>
    <w:rsid w:val="005B1771"/>
    <w:rsid w:val="005B18D8"/>
    <w:rsid w:val="005B3720"/>
    <w:rsid w:val="005B3799"/>
    <w:rsid w:val="005B3DAA"/>
    <w:rsid w:val="005B4164"/>
    <w:rsid w:val="005B5970"/>
    <w:rsid w:val="005B5E5F"/>
    <w:rsid w:val="005B6C90"/>
    <w:rsid w:val="005B6FD6"/>
    <w:rsid w:val="005C002D"/>
    <w:rsid w:val="005C080B"/>
    <w:rsid w:val="005C27A1"/>
    <w:rsid w:val="005C42AB"/>
    <w:rsid w:val="005C501E"/>
    <w:rsid w:val="005C55AD"/>
    <w:rsid w:val="005C66F0"/>
    <w:rsid w:val="005C69CA"/>
    <w:rsid w:val="005C742A"/>
    <w:rsid w:val="005C7CA3"/>
    <w:rsid w:val="005D1D7E"/>
    <w:rsid w:val="005D2729"/>
    <w:rsid w:val="005D2C03"/>
    <w:rsid w:val="005D3160"/>
    <w:rsid w:val="005D44F6"/>
    <w:rsid w:val="005D541A"/>
    <w:rsid w:val="005D617A"/>
    <w:rsid w:val="005D629E"/>
    <w:rsid w:val="005D74D3"/>
    <w:rsid w:val="005E09DA"/>
    <w:rsid w:val="005E14BB"/>
    <w:rsid w:val="005E166E"/>
    <w:rsid w:val="005E1671"/>
    <w:rsid w:val="005E22BE"/>
    <w:rsid w:val="005E3093"/>
    <w:rsid w:val="005E3B15"/>
    <w:rsid w:val="005E489B"/>
    <w:rsid w:val="005E4BB2"/>
    <w:rsid w:val="005E5332"/>
    <w:rsid w:val="005E5670"/>
    <w:rsid w:val="005E5D92"/>
    <w:rsid w:val="005E698D"/>
    <w:rsid w:val="005E7308"/>
    <w:rsid w:val="005F0A85"/>
    <w:rsid w:val="005F0FCA"/>
    <w:rsid w:val="005F1294"/>
    <w:rsid w:val="005F17FC"/>
    <w:rsid w:val="005F19B4"/>
    <w:rsid w:val="005F2471"/>
    <w:rsid w:val="005F2784"/>
    <w:rsid w:val="005F3FE0"/>
    <w:rsid w:val="005F47E6"/>
    <w:rsid w:val="005F561D"/>
    <w:rsid w:val="005F5949"/>
    <w:rsid w:val="005F5A48"/>
    <w:rsid w:val="005F5CA1"/>
    <w:rsid w:val="005F647A"/>
    <w:rsid w:val="005F71E7"/>
    <w:rsid w:val="005F72E4"/>
    <w:rsid w:val="005F738D"/>
    <w:rsid w:val="005F776B"/>
    <w:rsid w:val="005F782D"/>
    <w:rsid w:val="005F7EB3"/>
    <w:rsid w:val="005F7F15"/>
    <w:rsid w:val="006001AD"/>
    <w:rsid w:val="00600928"/>
    <w:rsid w:val="0060280D"/>
    <w:rsid w:val="00602CD7"/>
    <w:rsid w:val="006040BC"/>
    <w:rsid w:val="00604E45"/>
    <w:rsid w:val="006051A0"/>
    <w:rsid w:val="00605451"/>
    <w:rsid w:val="0060598B"/>
    <w:rsid w:val="00605F26"/>
    <w:rsid w:val="0060609D"/>
    <w:rsid w:val="006060CA"/>
    <w:rsid w:val="006069AC"/>
    <w:rsid w:val="00611549"/>
    <w:rsid w:val="00611B0C"/>
    <w:rsid w:val="00611DD2"/>
    <w:rsid w:val="0061399D"/>
    <w:rsid w:val="00613DFE"/>
    <w:rsid w:val="00614438"/>
    <w:rsid w:val="00615503"/>
    <w:rsid w:val="00617D86"/>
    <w:rsid w:val="0062009A"/>
    <w:rsid w:val="006209BF"/>
    <w:rsid w:val="006221E8"/>
    <w:rsid w:val="0062278A"/>
    <w:rsid w:val="00622798"/>
    <w:rsid w:val="00622C57"/>
    <w:rsid w:val="00623818"/>
    <w:rsid w:val="00623F86"/>
    <w:rsid w:val="00624A07"/>
    <w:rsid w:val="00624C41"/>
    <w:rsid w:val="00630F73"/>
    <w:rsid w:val="006313CE"/>
    <w:rsid w:val="0063165E"/>
    <w:rsid w:val="00631D40"/>
    <w:rsid w:val="006320C7"/>
    <w:rsid w:val="00632C1C"/>
    <w:rsid w:val="00632DAA"/>
    <w:rsid w:val="006334BC"/>
    <w:rsid w:val="0064077C"/>
    <w:rsid w:val="0064170B"/>
    <w:rsid w:val="006436D6"/>
    <w:rsid w:val="00643FEB"/>
    <w:rsid w:val="0064401F"/>
    <w:rsid w:val="00645373"/>
    <w:rsid w:val="006458BD"/>
    <w:rsid w:val="00645BD8"/>
    <w:rsid w:val="006462D9"/>
    <w:rsid w:val="006465CD"/>
    <w:rsid w:val="00647375"/>
    <w:rsid w:val="00647E5E"/>
    <w:rsid w:val="00650D8D"/>
    <w:rsid w:val="00651B7F"/>
    <w:rsid w:val="0065243E"/>
    <w:rsid w:val="00652A3A"/>
    <w:rsid w:val="006559BE"/>
    <w:rsid w:val="0065674C"/>
    <w:rsid w:val="00656E2C"/>
    <w:rsid w:val="006571AC"/>
    <w:rsid w:val="006572E7"/>
    <w:rsid w:val="00657AC0"/>
    <w:rsid w:val="00657C76"/>
    <w:rsid w:val="00660327"/>
    <w:rsid w:val="00661628"/>
    <w:rsid w:val="00661E26"/>
    <w:rsid w:val="006620E5"/>
    <w:rsid w:val="00663546"/>
    <w:rsid w:val="0066369A"/>
    <w:rsid w:val="00663B27"/>
    <w:rsid w:val="00663FCA"/>
    <w:rsid w:val="006642F6"/>
    <w:rsid w:val="006646C4"/>
    <w:rsid w:val="00664DC0"/>
    <w:rsid w:val="00667344"/>
    <w:rsid w:val="00671FBB"/>
    <w:rsid w:val="00673463"/>
    <w:rsid w:val="00673E66"/>
    <w:rsid w:val="00674BE3"/>
    <w:rsid w:val="00674D7C"/>
    <w:rsid w:val="00674F34"/>
    <w:rsid w:val="00675561"/>
    <w:rsid w:val="00676B25"/>
    <w:rsid w:val="00676D4A"/>
    <w:rsid w:val="006772F3"/>
    <w:rsid w:val="00677CA1"/>
    <w:rsid w:val="0068083F"/>
    <w:rsid w:val="006833FD"/>
    <w:rsid w:val="00683A2B"/>
    <w:rsid w:val="0068449C"/>
    <w:rsid w:val="00684932"/>
    <w:rsid w:val="0068634A"/>
    <w:rsid w:val="00686C02"/>
    <w:rsid w:val="006870A7"/>
    <w:rsid w:val="00691D11"/>
    <w:rsid w:val="006938D4"/>
    <w:rsid w:val="0069461F"/>
    <w:rsid w:val="00694882"/>
    <w:rsid w:val="006950D7"/>
    <w:rsid w:val="00695851"/>
    <w:rsid w:val="00697631"/>
    <w:rsid w:val="006A06E2"/>
    <w:rsid w:val="006A0F14"/>
    <w:rsid w:val="006A0F43"/>
    <w:rsid w:val="006A187C"/>
    <w:rsid w:val="006A2D17"/>
    <w:rsid w:val="006A4984"/>
    <w:rsid w:val="006A4BEC"/>
    <w:rsid w:val="006A547F"/>
    <w:rsid w:val="006A7803"/>
    <w:rsid w:val="006B17A3"/>
    <w:rsid w:val="006B19F6"/>
    <w:rsid w:val="006B457F"/>
    <w:rsid w:val="006B471B"/>
    <w:rsid w:val="006B4FB1"/>
    <w:rsid w:val="006B5FBD"/>
    <w:rsid w:val="006B60FD"/>
    <w:rsid w:val="006B6F55"/>
    <w:rsid w:val="006B7567"/>
    <w:rsid w:val="006C13EB"/>
    <w:rsid w:val="006C18D7"/>
    <w:rsid w:val="006C2C24"/>
    <w:rsid w:val="006C376B"/>
    <w:rsid w:val="006C3DBE"/>
    <w:rsid w:val="006C4236"/>
    <w:rsid w:val="006C53E5"/>
    <w:rsid w:val="006C6CE0"/>
    <w:rsid w:val="006C71A8"/>
    <w:rsid w:val="006C776E"/>
    <w:rsid w:val="006C77A2"/>
    <w:rsid w:val="006C78A1"/>
    <w:rsid w:val="006C7B01"/>
    <w:rsid w:val="006D039D"/>
    <w:rsid w:val="006D1733"/>
    <w:rsid w:val="006D1B01"/>
    <w:rsid w:val="006D200E"/>
    <w:rsid w:val="006D4958"/>
    <w:rsid w:val="006D56EA"/>
    <w:rsid w:val="006D5764"/>
    <w:rsid w:val="006D5F20"/>
    <w:rsid w:val="006D7114"/>
    <w:rsid w:val="006E078B"/>
    <w:rsid w:val="006E13AD"/>
    <w:rsid w:val="006E16FE"/>
    <w:rsid w:val="006E30B7"/>
    <w:rsid w:val="006E43E2"/>
    <w:rsid w:val="006E44E2"/>
    <w:rsid w:val="006E4A3D"/>
    <w:rsid w:val="006E5615"/>
    <w:rsid w:val="006E7091"/>
    <w:rsid w:val="006E70DA"/>
    <w:rsid w:val="006E7842"/>
    <w:rsid w:val="006E7ED4"/>
    <w:rsid w:val="006F02B8"/>
    <w:rsid w:val="006F17BE"/>
    <w:rsid w:val="006F23E4"/>
    <w:rsid w:val="006F2A81"/>
    <w:rsid w:val="006F2A9C"/>
    <w:rsid w:val="006F363E"/>
    <w:rsid w:val="006F3EAE"/>
    <w:rsid w:val="006F47F3"/>
    <w:rsid w:val="006F4AC5"/>
    <w:rsid w:val="006F4D81"/>
    <w:rsid w:val="006F5D84"/>
    <w:rsid w:val="006F5DE1"/>
    <w:rsid w:val="006F64CE"/>
    <w:rsid w:val="006F7714"/>
    <w:rsid w:val="007008A3"/>
    <w:rsid w:val="007018F8"/>
    <w:rsid w:val="00702331"/>
    <w:rsid w:val="0070234B"/>
    <w:rsid w:val="00702659"/>
    <w:rsid w:val="00702F0D"/>
    <w:rsid w:val="00702F61"/>
    <w:rsid w:val="00703B09"/>
    <w:rsid w:val="0070555A"/>
    <w:rsid w:val="00705BB6"/>
    <w:rsid w:val="00705DE0"/>
    <w:rsid w:val="007062D9"/>
    <w:rsid w:val="00706D40"/>
    <w:rsid w:val="007078AB"/>
    <w:rsid w:val="007102E4"/>
    <w:rsid w:val="007106C4"/>
    <w:rsid w:val="0071130B"/>
    <w:rsid w:val="00712E48"/>
    <w:rsid w:val="007130D1"/>
    <w:rsid w:val="00713F02"/>
    <w:rsid w:val="00714756"/>
    <w:rsid w:val="0071489F"/>
    <w:rsid w:val="007156C4"/>
    <w:rsid w:val="0071626F"/>
    <w:rsid w:val="0071774D"/>
    <w:rsid w:val="00721196"/>
    <w:rsid w:val="0072294B"/>
    <w:rsid w:val="00722E76"/>
    <w:rsid w:val="007240C6"/>
    <w:rsid w:val="007241DD"/>
    <w:rsid w:val="00724E47"/>
    <w:rsid w:val="00724FBD"/>
    <w:rsid w:val="00726659"/>
    <w:rsid w:val="00727500"/>
    <w:rsid w:val="007301C3"/>
    <w:rsid w:val="007301D0"/>
    <w:rsid w:val="00730C49"/>
    <w:rsid w:val="007314FC"/>
    <w:rsid w:val="00731C51"/>
    <w:rsid w:val="0073518D"/>
    <w:rsid w:val="007358D4"/>
    <w:rsid w:val="00735D32"/>
    <w:rsid w:val="00737AF9"/>
    <w:rsid w:val="00737DFB"/>
    <w:rsid w:val="00741A5F"/>
    <w:rsid w:val="00741CA9"/>
    <w:rsid w:val="00742073"/>
    <w:rsid w:val="007430AE"/>
    <w:rsid w:val="00743350"/>
    <w:rsid w:val="00743742"/>
    <w:rsid w:val="007444EF"/>
    <w:rsid w:val="007455E9"/>
    <w:rsid w:val="0074622D"/>
    <w:rsid w:val="007500E3"/>
    <w:rsid w:val="0075496D"/>
    <w:rsid w:val="00755FDC"/>
    <w:rsid w:val="00756146"/>
    <w:rsid w:val="00756EC0"/>
    <w:rsid w:val="00762591"/>
    <w:rsid w:val="007634E8"/>
    <w:rsid w:val="00763795"/>
    <w:rsid w:val="00763987"/>
    <w:rsid w:val="00763D9A"/>
    <w:rsid w:val="00765AA3"/>
    <w:rsid w:val="00765B24"/>
    <w:rsid w:val="00766562"/>
    <w:rsid w:val="00766BC0"/>
    <w:rsid w:val="007670E1"/>
    <w:rsid w:val="00767535"/>
    <w:rsid w:val="00767DA0"/>
    <w:rsid w:val="0077020D"/>
    <w:rsid w:val="00770344"/>
    <w:rsid w:val="0077047B"/>
    <w:rsid w:val="00771556"/>
    <w:rsid w:val="00771A1B"/>
    <w:rsid w:val="00771E5F"/>
    <w:rsid w:val="0077386A"/>
    <w:rsid w:val="00773D5F"/>
    <w:rsid w:val="00775452"/>
    <w:rsid w:val="0077641A"/>
    <w:rsid w:val="00777E18"/>
    <w:rsid w:val="00780F5E"/>
    <w:rsid w:val="00781094"/>
    <w:rsid w:val="00781A34"/>
    <w:rsid w:val="00781D35"/>
    <w:rsid w:val="00781D56"/>
    <w:rsid w:val="00783071"/>
    <w:rsid w:val="00783E56"/>
    <w:rsid w:val="007841E2"/>
    <w:rsid w:val="00784DF4"/>
    <w:rsid w:val="00786C41"/>
    <w:rsid w:val="007870D7"/>
    <w:rsid w:val="007875AA"/>
    <w:rsid w:val="00787A46"/>
    <w:rsid w:val="00787F15"/>
    <w:rsid w:val="0079306B"/>
    <w:rsid w:val="00793815"/>
    <w:rsid w:val="00793EE2"/>
    <w:rsid w:val="00794128"/>
    <w:rsid w:val="00795252"/>
    <w:rsid w:val="00795869"/>
    <w:rsid w:val="0079639B"/>
    <w:rsid w:val="007967F4"/>
    <w:rsid w:val="007A0652"/>
    <w:rsid w:val="007A1AF5"/>
    <w:rsid w:val="007A1C86"/>
    <w:rsid w:val="007A275D"/>
    <w:rsid w:val="007A2CA1"/>
    <w:rsid w:val="007A3EA5"/>
    <w:rsid w:val="007A490A"/>
    <w:rsid w:val="007A523A"/>
    <w:rsid w:val="007A5765"/>
    <w:rsid w:val="007A588A"/>
    <w:rsid w:val="007A5D2C"/>
    <w:rsid w:val="007A61AD"/>
    <w:rsid w:val="007B0860"/>
    <w:rsid w:val="007B16E6"/>
    <w:rsid w:val="007B1AAA"/>
    <w:rsid w:val="007B2224"/>
    <w:rsid w:val="007B3EE8"/>
    <w:rsid w:val="007B41A8"/>
    <w:rsid w:val="007B47DC"/>
    <w:rsid w:val="007B4D66"/>
    <w:rsid w:val="007B62C6"/>
    <w:rsid w:val="007B6A1D"/>
    <w:rsid w:val="007C000F"/>
    <w:rsid w:val="007C19BC"/>
    <w:rsid w:val="007C1FC9"/>
    <w:rsid w:val="007C21CB"/>
    <w:rsid w:val="007C2814"/>
    <w:rsid w:val="007C2E43"/>
    <w:rsid w:val="007C3834"/>
    <w:rsid w:val="007C46F3"/>
    <w:rsid w:val="007C4864"/>
    <w:rsid w:val="007C4A53"/>
    <w:rsid w:val="007C57BE"/>
    <w:rsid w:val="007C5F0D"/>
    <w:rsid w:val="007C733D"/>
    <w:rsid w:val="007D00BC"/>
    <w:rsid w:val="007D0120"/>
    <w:rsid w:val="007D058B"/>
    <w:rsid w:val="007D1E8F"/>
    <w:rsid w:val="007D2312"/>
    <w:rsid w:val="007D2EAA"/>
    <w:rsid w:val="007D3371"/>
    <w:rsid w:val="007D5E2F"/>
    <w:rsid w:val="007D60EA"/>
    <w:rsid w:val="007D7026"/>
    <w:rsid w:val="007D7C57"/>
    <w:rsid w:val="007E2499"/>
    <w:rsid w:val="007E25C0"/>
    <w:rsid w:val="007E27FC"/>
    <w:rsid w:val="007E2A4C"/>
    <w:rsid w:val="007E3379"/>
    <w:rsid w:val="007E35F8"/>
    <w:rsid w:val="007E3FDE"/>
    <w:rsid w:val="007E4993"/>
    <w:rsid w:val="007E4C3D"/>
    <w:rsid w:val="007E68DA"/>
    <w:rsid w:val="007E6D4D"/>
    <w:rsid w:val="007E735A"/>
    <w:rsid w:val="007E7D75"/>
    <w:rsid w:val="007E7FAE"/>
    <w:rsid w:val="007F1A31"/>
    <w:rsid w:val="007F2639"/>
    <w:rsid w:val="007F28B8"/>
    <w:rsid w:val="007F3D36"/>
    <w:rsid w:val="007F54DF"/>
    <w:rsid w:val="007F5BB6"/>
    <w:rsid w:val="007F5E15"/>
    <w:rsid w:val="007F5EB5"/>
    <w:rsid w:val="007F66BB"/>
    <w:rsid w:val="008020E5"/>
    <w:rsid w:val="0080238B"/>
    <w:rsid w:val="00802998"/>
    <w:rsid w:val="00805DA0"/>
    <w:rsid w:val="008112E6"/>
    <w:rsid w:val="00812070"/>
    <w:rsid w:val="008124A6"/>
    <w:rsid w:val="00812CC9"/>
    <w:rsid w:val="00812CD2"/>
    <w:rsid w:val="0081334A"/>
    <w:rsid w:val="0081376A"/>
    <w:rsid w:val="0081402E"/>
    <w:rsid w:val="008146D0"/>
    <w:rsid w:val="0081514C"/>
    <w:rsid w:val="00815D79"/>
    <w:rsid w:val="0081711B"/>
    <w:rsid w:val="0081755A"/>
    <w:rsid w:val="00820461"/>
    <w:rsid w:val="00820E25"/>
    <w:rsid w:val="00821CA3"/>
    <w:rsid w:val="00821D60"/>
    <w:rsid w:val="0082365E"/>
    <w:rsid w:val="00823FCE"/>
    <w:rsid w:val="00824156"/>
    <w:rsid w:val="008242AB"/>
    <w:rsid w:val="008248C1"/>
    <w:rsid w:val="00825822"/>
    <w:rsid w:val="00825A97"/>
    <w:rsid w:val="00825D8A"/>
    <w:rsid w:val="0082683D"/>
    <w:rsid w:val="008274B3"/>
    <w:rsid w:val="00827C6E"/>
    <w:rsid w:val="0083073A"/>
    <w:rsid w:val="00831583"/>
    <w:rsid w:val="00831645"/>
    <w:rsid w:val="00831721"/>
    <w:rsid w:val="00832050"/>
    <w:rsid w:val="008321BF"/>
    <w:rsid w:val="00832EA2"/>
    <w:rsid w:val="008330B2"/>
    <w:rsid w:val="008330F2"/>
    <w:rsid w:val="00833797"/>
    <w:rsid w:val="00833B77"/>
    <w:rsid w:val="00836A6B"/>
    <w:rsid w:val="008370C3"/>
    <w:rsid w:val="00837B9D"/>
    <w:rsid w:val="00842B20"/>
    <w:rsid w:val="00843255"/>
    <w:rsid w:val="0084353E"/>
    <w:rsid w:val="00844A79"/>
    <w:rsid w:val="00845051"/>
    <w:rsid w:val="0084527B"/>
    <w:rsid w:val="00845A62"/>
    <w:rsid w:val="008460F7"/>
    <w:rsid w:val="008478DD"/>
    <w:rsid w:val="00850753"/>
    <w:rsid w:val="008516A3"/>
    <w:rsid w:val="008526D1"/>
    <w:rsid w:val="008533DD"/>
    <w:rsid w:val="008537EF"/>
    <w:rsid w:val="00853B37"/>
    <w:rsid w:val="00855A17"/>
    <w:rsid w:val="00856E23"/>
    <w:rsid w:val="008572B0"/>
    <w:rsid w:val="00857438"/>
    <w:rsid w:val="008575F3"/>
    <w:rsid w:val="00857730"/>
    <w:rsid w:val="008600E3"/>
    <w:rsid w:val="00862532"/>
    <w:rsid w:val="00863193"/>
    <w:rsid w:val="00863D3F"/>
    <w:rsid w:val="0086400C"/>
    <w:rsid w:val="00865610"/>
    <w:rsid w:val="00865675"/>
    <w:rsid w:val="00865ECD"/>
    <w:rsid w:val="0086666E"/>
    <w:rsid w:val="00867460"/>
    <w:rsid w:val="008677D7"/>
    <w:rsid w:val="00867B8F"/>
    <w:rsid w:val="00870A31"/>
    <w:rsid w:val="00871BD4"/>
    <w:rsid w:val="008727B0"/>
    <w:rsid w:val="008732F3"/>
    <w:rsid w:val="00873F15"/>
    <w:rsid w:val="00874D66"/>
    <w:rsid w:val="008769BE"/>
    <w:rsid w:val="00876BC0"/>
    <w:rsid w:val="00877DD8"/>
    <w:rsid w:val="00880902"/>
    <w:rsid w:val="00880FE8"/>
    <w:rsid w:val="00881E8F"/>
    <w:rsid w:val="00884294"/>
    <w:rsid w:val="008858E2"/>
    <w:rsid w:val="00885D0F"/>
    <w:rsid w:val="00885D50"/>
    <w:rsid w:val="008873DA"/>
    <w:rsid w:val="0089052B"/>
    <w:rsid w:val="0089176C"/>
    <w:rsid w:val="0089254E"/>
    <w:rsid w:val="008941DE"/>
    <w:rsid w:val="00894EA1"/>
    <w:rsid w:val="00895230"/>
    <w:rsid w:val="008955C1"/>
    <w:rsid w:val="008969EF"/>
    <w:rsid w:val="00896F4D"/>
    <w:rsid w:val="008970D7"/>
    <w:rsid w:val="00897890"/>
    <w:rsid w:val="008A0282"/>
    <w:rsid w:val="008A02B4"/>
    <w:rsid w:val="008A1450"/>
    <w:rsid w:val="008A1463"/>
    <w:rsid w:val="008A2104"/>
    <w:rsid w:val="008A22B0"/>
    <w:rsid w:val="008A26C4"/>
    <w:rsid w:val="008A2C52"/>
    <w:rsid w:val="008A31BC"/>
    <w:rsid w:val="008A33C0"/>
    <w:rsid w:val="008A3FF9"/>
    <w:rsid w:val="008A45B8"/>
    <w:rsid w:val="008A62AD"/>
    <w:rsid w:val="008A75C2"/>
    <w:rsid w:val="008B1711"/>
    <w:rsid w:val="008B285E"/>
    <w:rsid w:val="008B3A2C"/>
    <w:rsid w:val="008B5ABD"/>
    <w:rsid w:val="008B5B62"/>
    <w:rsid w:val="008B635F"/>
    <w:rsid w:val="008B76AA"/>
    <w:rsid w:val="008B7786"/>
    <w:rsid w:val="008B786B"/>
    <w:rsid w:val="008B7C8B"/>
    <w:rsid w:val="008C0003"/>
    <w:rsid w:val="008C018E"/>
    <w:rsid w:val="008C117A"/>
    <w:rsid w:val="008C1B01"/>
    <w:rsid w:val="008C30A2"/>
    <w:rsid w:val="008C38AA"/>
    <w:rsid w:val="008C4BD0"/>
    <w:rsid w:val="008C5729"/>
    <w:rsid w:val="008C6388"/>
    <w:rsid w:val="008C7E44"/>
    <w:rsid w:val="008D059C"/>
    <w:rsid w:val="008D1CEC"/>
    <w:rsid w:val="008D1F84"/>
    <w:rsid w:val="008D24F4"/>
    <w:rsid w:val="008D4162"/>
    <w:rsid w:val="008D4437"/>
    <w:rsid w:val="008D7AFE"/>
    <w:rsid w:val="008E01D0"/>
    <w:rsid w:val="008E0782"/>
    <w:rsid w:val="008E0A91"/>
    <w:rsid w:val="008E0F33"/>
    <w:rsid w:val="008E264B"/>
    <w:rsid w:val="008E2AFD"/>
    <w:rsid w:val="008E2C7D"/>
    <w:rsid w:val="008E2F39"/>
    <w:rsid w:val="008E390C"/>
    <w:rsid w:val="008E3951"/>
    <w:rsid w:val="008E41E3"/>
    <w:rsid w:val="008E7938"/>
    <w:rsid w:val="008E7EED"/>
    <w:rsid w:val="008F3F48"/>
    <w:rsid w:val="008F40B2"/>
    <w:rsid w:val="008F42D8"/>
    <w:rsid w:val="008F4F0F"/>
    <w:rsid w:val="008F6895"/>
    <w:rsid w:val="008F7B05"/>
    <w:rsid w:val="00900254"/>
    <w:rsid w:val="00900846"/>
    <w:rsid w:val="00900FB3"/>
    <w:rsid w:val="009017E5"/>
    <w:rsid w:val="00901F0A"/>
    <w:rsid w:val="009023CF"/>
    <w:rsid w:val="009035E7"/>
    <w:rsid w:val="00904D9D"/>
    <w:rsid w:val="009076F9"/>
    <w:rsid w:val="00907DAB"/>
    <w:rsid w:val="00910326"/>
    <w:rsid w:val="009107C0"/>
    <w:rsid w:val="009109F4"/>
    <w:rsid w:val="0091255C"/>
    <w:rsid w:val="00912DF4"/>
    <w:rsid w:val="00914AD5"/>
    <w:rsid w:val="009157B1"/>
    <w:rsid w:val="00915ADE"/>
    <w:rsid w:val="0091629D"/>
    <w:rsid w:val="00917604"/>
    <w:rsid w:val="0091791B"/>
    <w:rsid w:val="00917CB4"/>
    <w:rsid w:val="00920DD2"/>
    <w:rsid w:val="00921045"/>
    <w:rsid w:val="009219E7"/>
    <w:rsid w:val="00923239"/>
    <w:rsid w:val="00924716"/>
    <w:rsid w:val="00924835"/>
    <w:rsid w:val="0092485A"/>
    <w:rsid w:val="009248D8"/>
    <w:rsid w:val="0092504C"/>
    <w:rsid w:val="009256DA"/>
    <w:rsid w:val="0093085C"/>
    <w:rsid w:val="00931D2C"/>
    <w:rsid w:val="00931F9D"/>
    <w:rsid w:val="00932674"/>
    <w:rsid w:val="00935751"/>
    <w:rsid w:val="00935F0B"/>
    <w:rsid w:val="00936CFC"/>
    <w:rsid w:val="00937165"/>
    <w:rsid w:val="0094028D"/>
    <w:rsid w:val="0094115D"/>
    <w:rsid w:val="009411A1"/>
    <w:rsid w:val="009411CF"/>
    <w:rsid w:val="00941DDA"/>
    <w:rsid w:val="009436A0"/>
    <w:rsid w:val="00944113"/>
    <w:rsid w:val="00944E88"/>
    <w:rsid w:val="009450BE"/>
    <w:rsid w:val="009455F3"/>
    <w:rsid w:val="00945BA8"/>
    <w:rsid w:val="009460D3"/>
    <w:rsid w:val="009471F9"/>
    <w:rsid w:val="00947979"/>
    <w:rsid w:val="009479E2"/>
    <w:rsid w:val="00947BAB"/>
    <w:rsid w:val="00950811"/>
    <w:rsid w:val="00950C03"/>
    <w:rsid w:val="00950CA2"/>
    <w:rsid w:val="00951019"/>
    <w:rsid w:val="00951E6F"/>
    <w:rsid w:val="00952365"/>
    <w:rsid w:val="0095409E"/>
    <w:rsid w:val="00955436"/>
    <w:rsid w:val="00957B20"/>
    <w:rsid w:val="00960628"/>
    <w:rsid w:val="00960813"/>
    <w:rsid w:val="009608A0"/>
    <w:rsid w:val="00961A7B"/>
    <w:rsid w:val="00961E36"/>
    <w:rsid w:val="009625B1"/>
    <w:rsid w:val="00962693"/>
    <w:rsid w:val="00962757"/>
    <w:rsid w:val="00962F79"/>
    <w:rsid w:val="00963542"/>
    <w:rsid w:val="00964A4E"/>
    <w:rsid w:val="009657D1"/>
    <w:rsid w:val="0096591C"/>
    <w:rsid w:val="009665FE"/>
    <w:rsid w:val="009666F2"/>
    <w:rsid w:val="00966854"/>
    <w:rsid w:val="009678ED"/>
    <w:rsid w:val="00967AFD"/>
    <w:rsid w:val="00967F9A"/>
    <w:rsid w:val="0097044C"/>
    <w:rsid w:val="00970BD9"/>
    <w:rsid w:val="0097157B"/>
    <w:rsid w:val="00971744"/>
    <w:rsid w:val="00971ACC"/>
    <w:rsid w:val="009731C9"/>
    <w:rsid w:val="00973259"/>
    <w:rsid w:val="009733C4"/>
    <w:rsid w:val="00973665"/>
    <w:rsid w:val="00973B20"/>
    <w:rsid w:val="00975B2B"/>
    <w:rsid w:val="00975CCB"/>
    <w:rsid w:val="00976026"/>
    <w:rsid w:val="00981976"/>
    <w:rsid w:val="00981C65"/>
    <w:rsid w:val="0098297F"/>
    <w:rsid w:val="00983B73"/>
    <w:rsid w:val="00984497"/>
    <w:rsid w:val="00984A08"/>
    <w:rsid w:val="00985A92"/>
    <w:rsid w:val="009901F5"/>
    <w:rsid w:val="0099039F"/>
    <w:rsid w:val="00990730"/>
    <w:rsid w:val="009919CB"/>
    <w:rsid w:val="0099354E"/>
    <w:rsid w:val="00993605"/>
    <w:rsid w:val="00993803"/>
    <w:rsid w:val="009940B7"/>
    <w:rsid w:val="009947FE"/>
    <w:rsid w:val="00994E7A"/>
    <w:rsid w:val="00994F7A"/>
    <w:rsid w:val="009965B9"/>
    <w:rsid w:val="00996C34"/>
    <w:rsid w:val="009A029A"/>
    <w:rsid w:val="009A03BE"/>
    <w:rsid w:val="009A2639"/>
    <w:rsid w:val="009A289F"/>
    <w:rsid w:val="009A2A39"/>
    <w:rsid w:val="009A4939"/>
    <w:rsid w:val="009A5214"/>
    <w:rsid w:val="009A5516"/>
    <w:rsid w:val="009A580E"/>
    <w:rsid w:val="009A60D2"/>
    <w:rsid w:val="009A6140"/>
    <w:rsid w:val="009A61B1"/>
    <w:rsid w:val="009A7600"/>
    <w:rsid w:val="009B0CFA"/>
    <w:rsid w:val="009B18C1"/>
    <w:rsid w:val="009B40FD"/>
    <w:rsid w:val="009B4BF0"/>
    <w:rsid w:val="009B55BF"/>
    <w:rsid w:val="009B6791"/>
    <w:rsid w:val="009C1224"/>
    <w:rsid w:val="009C1316"/>
    <w:rsid w:val="009C19A4"/>
    <w:rsid w:val="009C2278"/>
    <w:rsid w:val="009C3E8A"/>
    <w:rsid w:val="009C6DC9"/>
    <w:rsid w:val="009C7288"/>
    <w:rsid w:val="009C76B2"/>
    <w:rsid w:val="009D058A"/>
    <w:rsid w:val="009D0D80"/>
    <w:rsid w:val="009D0F9C"/>
    <w:rsid w:val="009D1BED"/>
    <w:rsid w:val="009D1EAB"/>
    <w:rsid w:val="009D2280"/>
    <w:rsid w:val="009D25E3"/>
    <w:rsid w:val="009D2AB6"/>
    <w:rsid w:val="009D3CC8"/>
    <w:rsid w:val="009D5A5E"/>
    <w:rsid w:val="009D6183"/>
    <w:rsid w:val="009D7D2B"/>
    <w:rsid w:val="009E1929"/>
    <w:rsid w:val="009E2C87"/>
    <w:rsid w:val="009E3668"/>
    <w:rsid w:val="009E39A6"/>
    <w:rsid w:val="009E402A"/>
    <w:rsid w:val="009E4769"/>
    <w:rsid w:val="009E5B1E"/>
    <w:rsid w:val="009E6233"/>
    <w:rsid w:val="009E63C1"/>
    <w:rsid w:val="009E69E5"/>
    <w:rsid w:val="009E764C"/>
    <w:rsid w:val="009E7857"/>
    <w:rsid w:val="009E7E7D"/>
    <w:rsid w:val="009F097B"/>
    <w:rsid w:val="009F0E73"/>
    <w:rsid w:val="009F1187"/>
    <w:rsid w:val="009F1D86"/>
    <w:rsid w:val="009F27D9"/>
    <w:rsid w:val="009F28B5"/>
    <w:rsid w:val="009F2B31"/>
    <w:rsid w:val="009F3247"/>
    <w:rsid w:val="009F5B75"/>
    <w:rsid w:val="009F6364"/>
    <w:rsid w:val="009F6F3E"/>
    <w:rsid w:val="009F6F6A"/>
    <w:rsid w:val="009F7797"/>
    <w:rsid w:val="00A00DFD"/>
    <w:rsid w:val="00A022B1"/>
    <w:rsid w:val="00A02EF8"/>
    <w:rsid w:val="00A02F9C"/>
    <w:rsid w:val="00A038C0"/>
    <w:rsid w:val="00A04461"/>
    <w:rsid w:val="00A04885"/>
    <w:rsid w:val="00A04ABF"/>
    <w:rsid w:val="00A04F21"/>
    <w:rsid w:val="00A056E0"/>
    <w:rsid w:val="00A0637E"/>
    <w:rsid w:val="00A06532"/>
    <w:rsid w:val="00A0678B"/>
    <w:rsid w:val="00A07093"/>
    <w:rsid w:val="00A12896"/>
    <w:rsid w:val="00A13F7C"/>
    <w:rsid w:val="00A1407B"/>
    <w:rsid w:val="00A14EDD"/>
    <w:rsid w:val="00A15A16"/>
    <w:rsid w:val="00A1604E"/>
    <w:rsid w:val="00A16E26"/>
    <w:rsid w:val="00A2317C"/>
    <w:rsid w:val="00A23596"/>
    <w:rsid w:val="00A24229"/>
    <w:rsid w:val="00A253DE"/>
    <w:rsid w:val="00A26461"/>
    <w:rsid w:val="00A279B3"/>
    <w:rsid w:val="00A31221"/>
    <w:rsid w:val="00A31BD1"/>
    <w:rsid w:val="00A31C33"/>
    <w:rsid w:val="00A3431B"/>
    <w:rsid w:val="00A35442"/>
    <w:rsid w:val="00A35EF9"/>
    <w:rsid w:val="00A379E5"/>
    <w:rsid w:val="00A40915"/>
    <w:rsid w:val="00A4092C"/>
    <w:rsid w:val="00A40E8E"/>
    <w:rsid w:val="00A40F66"/>
    <w:rsid w:val="00A4117F"/>
    <w:rsid w:val="00A414A3"/>
    <w:rsid w:val="00A41EA9"/>
    <w:rsid w:val="00A43515"/>
    <w:rsid w:val="00A43980"/>
    <w:rsid w:val="00A44142"/>
    <w:rsid w:val="00A44922"/>
    <w:rsid w:val="00A4552E"/>
    <w:rsid w:val="00A45CAD"/>
    <w:rsid w:val="00A4654D"/>
    <w:rsid w:val="00A46ABB"/>
    <w:rsid w:val="00A50B43"/>
    <w:rsid w:val="00A51763"/>
    <w:rsid w:val="00A5199A"/>
    <w:rsid w:val="00A51D2C"/>
    <w:rsid w:val="00A51D5B"/>
    <w:rsid w:val="00A52D33"/>
    <w:rsid w:val="00A539A6"/>
    <w:rsid w:val="00A5421B"/>
    <w:rsid w:val="00A54F0A"/>
    <w:rsid w:val="00A55376"/>
    <w:rsid w:val="00A5625E"/>
    <w:rsid w:val="00A56AFD"/>
    <w:rsid w:val="00A57383"/>
    <w:rsid w:val="00A57767"/>
    <w:rsid w:val="00A6007A"/>
    <w:rsid w:val="00A60342"/>
    <w:rsid w:val="00A60C74"/>
    <w:rsid w:val="00A61146"/>
    <w:rsid w:val="00A6182F"/>
    <w:rsid w:val="00A63784"/>
    <w:rsid w:val="00A64D11"/>
    <w:rsid w:val="00A6509F"/>
    <w:rsid w:val="00A658E6"/>
    <w:rsid w:val="00A6646A"/>
    <w:rsid w:val="00A66FCD"/>
    <w:rsid w:val="00A6787F"/>
    <w:rsid w:val="00A70C0D"/>
    <w:rsid w:val="00A71447"/>
    <w:rsid w:val="00A71FD6"/>
    <w:rsid w:val="00A72714"/>
    <w:rsid w:val="00A72C4D"/>
    <w:rsid w:val="00A735E3"/>
    <w:rsid w:val="00A73BE6"/>
    <w:rsid w:val="00A74143"/>
    <w:rsid w:val="00A74280"/>
    <w:rsid w:val="00A742E8"/>
    <w:rsid w:val="00A746E3"/>
    <w:rsid w:val="00A7522D"/>
    <w:rsid w:val="00A75AFA"/>
    <w:rsid w:val="00A762CB"/>
    <w:rsid w:val="00A76DAA"/>
    <w:rsid w:val="00A7717A"/>
    <w:rsid w:val="00A771FB"/>
    <w:rsid w:val="00A77357"/>
    <w:rsid w:val="00A81818"/>
    <w:rsid w:val="00A81F7F"/>
    <w:rsid w:val="00A8211D"/>
    <w:rsid w:val="00A82C3C"/>
    <w:rsid w:val="00A8302C"/>
    <w:rsid w:val="00A83BF1"/>
    <w:rsid w:val="00A84D71"/>
    <w:rsid w:val="00A84DAD"/>
    <w:rsid w:val="00A854E5"/>
    <w:rsid w:val="00A85DAB"/>
    <w:rsid w:val="00A85E88"/>
    <w:rsid w:val="00A8608A"/>
    <w:rsid w:val="00A86B72"/>
    <w:rsid w:val="00A86E60"/>
    <w:rsid w:val="00A8795E"/>
    <w:rsid w:val="00A87AB9"/>
    <w:rsid w:val="00A90DE9"/>
    <w:rsid w:val="00A9204F"/>
    <w:rsid w:val="00A924B9"/>
    <w:rsid w:val="00A927DD"/>
    <w:rsid w:val="00A93868"/>
    <w:rsid w:val="00A938A7"/>
    <w:rsid w:val="00A958EE"/>
    <w:rsid w:val="00A95A7D"/>
    <w:rsid w:val="00A95CB9"/>
    <w:rsid w:val="00A95DFF"/>
    <w:rsid w:val="00A96187"/>
    <w:rsid w:val="00A96485"/>
    <w:rsid w:val="00AA0431"/>
    <w:rsid w:val="00AA0494"/>
    <w:rsid w:val="00AA1465"/>
    <w:rsid w:val="00AA1593"/>
    <w:rsid w:val="00AA15CD"/>
    <w:rsid w:val="00AA21F5"/>
    <w:rsid w:val="00AA3621"/>
    <w:rsid w:val="00AA4181"/>
    <w:rsid w:val="00AA42C1"/>
    <w:rsid w:val="00AA43DE"/>
    <w:rsid w:val="00AA4C8B"/>
    <w:rsid w:val="00AA6A5C"/>
    <w:rsid w:val="00AB2A12"/>
    <w:rsid w:val="00AB2C60"/>
    <w:rsid w:val="00AB321C"/>
    <w:rsid w:val="00AB3363"/>
    <w:rsid w:val="00AB427B"/>
    <w:rsid w:val="00AB42AA"/>
    <w:rsid w:val="00AB4750"/>
    <w:rsid w:val="00AB6474"/>
    <w:rsid w:val="00AB75D5"/>
    <w:rsid w:val="00AC0334"/>
    <w:rsid w:val="00AC13EF"/>
    <w:rsid w:val="00AC1AE2"/>
    <w:rsid w:val="00AC2461"/>
    <w:rsid w:val="00AC3890"/>
    <w:rsid w:val="00AC490D"/>
    <w:rsid w:val="00AC5B6A"/>
    <w:rsid w:val="00AC6374"/>
    <w:rsid w:val="00AC79C9"/>
    <w:rsid w:val="00AD092F"/>
    <w:rsid w:val="00AD0968"/>
    <w:rsid w:val="00AD13D4"/>
    <w:rsid w:val="00AD1E94"/>
    <w:rsid w:val="00AD2945"/>
    <w:rsid w:val="00AD3889"/>
    <w:rsid w:val="00AD38C8"/>
    <w:rsid w:val="00AD5A71"/>
    <w:rsid w:val="00AD6046"/>
    <w:rsid w:val="00AD6AA5"/>
    <w:rsid w:val="00AE049E"/>
    <w:rsid w:val="00AE0D21"/>
    <w:rsid w:val="00AE131E"/>
    <w:rsid w:val="00AE143D"/>
    <w:rsid w:val="00AE1831"/>
    <w:rsid w:val="00AE4703"/>
    <w:rsid w:val="00AE5526"/>
    <w:rsid w:val="00AE56A7"/>
    <w:rsid w:val="00AE5FCA"/>
    <w:rsid w:val="00AE7A55"/>
    <w:rsid w:val="00AF1370"/>
    <w:rsid w:val="00AF1EF3"/>
    <w:rsid w:val="00AF24FE"/>
    <w:rsid w:val="00AF2D67"/>
    <w:rsid w:val="00AF35A8"/>
    <w:rsid w:val="00AF5CCC"/>
    <w:rsid w:val="00AF5CEF"/>
    <w:rsid w:val="00AF6134"/>
    <w:rsid w:val="00AF6473"/>
    <w:rsid w:val="00AF683D"/>
    <w:rsid w:val="00AF7031"/>
    <w:rsid w:val="00B00392"/>
    <w:rsid w:val="00B011DC"/>
    <w:rsid w:val="00B01ED0"/>
    <w:rsid w:val="00B021D2"/>
    <w:rsid w:val="00B02A12"/>
    <w:rsid w:val="00B02E65"/>
    <w:rsid w:val="00B03621"/>
    <w:rsid w:val="00B04C49"/>
    <w:rsid w:val="00B05609"/>
    <w:rsid w:val="00B06A9C"/>
    <w:rsid w:val="00B0707B"/>
    <w:rsid w:val="00B0772F"/>
    <w:rsid w:val="00B07B97"/>
    <w:rsid w:val="00B07E16"/>
    <w:rsid w:val="00B07E6C"/>
    <w:rsid w:val="00B116FE"/>
    <w:rsid w:val="00B11B31"/>
    <w:rsid w:val="00B11DD9"/>
    <w:rsid w:val="00B11E51"/>
    <w:rsid w:val="00B122AD"/>
    <w:rsid w:val="00B122C9"/>
    <w:rsid w:val="00B1349D"/>
    <w:rsid w:val="00B135B4"/>
    <w:rsid w:val="00B149F6"/>
    <w:rsid w:val="00B16D9A"/>
    <w:rsid w:val="00B17A5D"/>
    <w:rsid w:val="00B17BF3"/>
    <w:rsid w:val="00B20B9E"/>
    <w:rsid w:val="00B212C0"/>
    <w:rsid w:val="00B21B42"/>
    <w:rsid w:val="00B21DE5"/>
    <w:rsid w:val="00B238B5"/>
    <w:rsid w:val="00B24710"/>
    <w:rsid w:val="00B24878"/>
    <w:rsid w:val="00B24A69"/>
    <w:rsid w:val="00B257E8"/>
    <w:rsid w:val="00B258F4"/>
    <w:rsid w:val="00B269C6"/>
    <w:rsid w:val="00B300CE"/>
    <w:rsid w:val="00B334C6"/>
    <w:rsid w:val="00B33F26"/>
    <w:rsid w:val="00B358BE"/>
    <w:rsid w:val="00B36596"/>
    <w:rsid w:val="00B36B95"/>
    <w:rsid w:val="00B3729A"/>
    <w:rsid w:val="00B400B0"/>
    <w:rsid w:val="00B4103C"/>
    <w:rsid w:val="00B416FD"/>
    <w:rsid w:val="00B42124"/>
    <w:rsid w:val="00B43331"/>
    <w:rsid w:val="00B436E9"/>
    <w:rsid w:val="00B440C7"/>
    <w:rsid w:val="00B4445A"/>
    <w:rsid w:val="00B451EB"/>
    <w:rsid w:val="00B4655D"/>
    <w:rsid w:val="00B47197"/>
    <w:rsid w:val="00B473E6"/>
    <w:rsid w:val="00B47685"/>
    <w:rsid w:val="00B47D6B"/>
    <w:rsid w:val="00B504FF"/>
    <w:rsid w:val="00B514EF"/>
    <w:rsid w:val="00B51B9C"/>
    <w:rsid w:val="00B51F8D"/>
    <w:rsid w:val="00B52534"/>
    <w:rsid w:val="00B52632"/>
    <w:rsid w:val="00B53E32"/>
    <w:rsid w:val="00B550A2"/>
    <w:rsid w:val="00B555BD"/>
    <w:rsid w:val="00B5579A"/>
    <w:rsid w:val="00B56C88"/>
    <w:rsid w:val="00B60757"/>
    <w:rsid w:val="00B60B8D"/>
    <w:rsid w:val="00B61897"/>
    <w:rsid w:val="00B61CE1"/>
    <w:rsid w:val="00B620AB"/>
    <w:rsid w:val="00B64071"/>
    <w:rsid w:val="00B64E07"/>
    <w:rsid w:val="00B653DD"/>
    <w:rsid w:val="00B6699F"/>
    <w:rsid w:val="00B70871"/>
    <w:rsid w:val="00B71017"/>
    <w:rsid w:val="00B721F7"/>
    <w:rsid w:val="00B725DE"/>
    <w:rsid w:val="00B72A35"/>
    <w:rsid w:val="00B73198"/>
    <w:rsid w:val="00B751F8"/>
    <w:rsid w:val="00B75605"/>
    <w:rsid w:val="00B805FB"/>
    <w:rsid w:val="00B8194F"/>
    <w:rsid w:val="00B819A2"/>
    <w:rsid w:val="00B81F14"/>
    <w:rsid w:val="00B82789"/>
    <w:rsid w:val="00B82F99"/>
    <w:rsid w:val="00B83E25"/>
    <w:rsid w:val="00B84A4F"/>
    <w:rsid w:val="00B851C8"/>
    <w:rsid w:val="00B85348"/>
    <w:rsid w:val="00B8605C"/>
    <w:rsid w:val="00B86104"/>
    <w:rsid w:val="00B86252"/>
    <w:rsid w:val="00B86E44"/>
    <w:rsid w:val="00B878F3"/>
    <w:rsid w:val="00B90EA5"/>
    <w:rsid w:val="00B911B7"/>
    <w:rsid w:val="00B91209"/>
    <w:rsid w:val="00B92910"/>
    <w:rsid w:val="00B92BDD"/>
    <w:rsid w:val="00B93ABD"/>
    <w:rsid w:val="00B940CA"/>
    <w:rsid w:val="00B95E0B"/>
    <w:rsid w:val="00B96B59"/>
    <w:rsid w:val="00B96D32"/>
    <w:rsid w:val="00B97054"/>
    <w:rsid w:val="00B97F8B"/>
    <w:rsid w:val="00BA0643"/>
    <w:rsid w:val="00BA0FAA"/>
    <w:rsid w:val="00BA1D72"/>
    <w:rsid w:val="00BA2B5C"/>
    <w:rsid w:val="00BA329B"/>
    <w:rsid w:val="00BA3768"/>
    <w:rsid w:val="00BA3AAA"/>
    <w:rsid w:val="00BA3F14"/>
    <w:rsid w:val="00BA606A"/>
    <w:rsid w:val="00BA63FE"/>
    <w:rsid w:val="00BA65BE"/>
    <w:rsid w:val="00BB0368"/>
    <w:rsid w:val="00BB190A"/>
    <w:rsid w:val="00BB1F20"/>
    <w:rsid w:val="00BB395B"/>
    <w:rsid w:val="00BB7946"/>
    <w:rsid w:val="00BB79DE"/>
    <w:rsid w:val="00BB7C0D"/>
    <w:rsid w:val="00BC06BA"/>
    <w:rsid w:val="00BC070D"/>
    <w:rsid w:val="00BC0FF0"/>
    <w:rsid w:val="00BC10F6"/>
    <w:rsid w:val="00BC13EB"/>
    <w:rsid w:val="00BC19C1"/>
    <w:rsid w:val="00BC1E4D"/>
    <w:rsid w:val="00BC2859"/>
    <w:rsid w:val="00BC2D73"/>
    <w:rsid w:val="00BC358A"/>
    <w:rsid w:val="00BC5C8C"/>
    <w:rsid w:val="00BC6BA1"/>
    <w:rsid w:val="00BC7940"/>
    <w:rsid w:val="00BD0399"/>
    <w:rsid w:val="00BD03A8"/>
    <w:rsid w:val="00BD075A"/>
    <w:rsid w:val="00BD17BA"/>
    <w:rsid w:val="00BD49A5"/>
    <w:rsid w:val="00BD4B96"/>
    <w:rsid w:val="00BD51E7"/>
    <w:rsid w:val="00BD71A7"/>
    <w:rsid w:val="00BD7263"/>
    <w:rsid w:val="00BE06B8"/>
    <w:rsid w:val="00BE0700"/>
    <w:rsid w:val="00BE1D4B"/>
    <w:rsid w:val="00BE2153"/>
    <w:rsid w:val="00BE238D"/>
    <w:rsid w:val="00BE5288"/>
    <w:rsid w:val="00BE53FA"/>
    <w:rsid w:val="00BE6158"/>
    <w:rsid w:val="00BE6D5D"/>
    <w:rsid w:val="00BE76F7"/>
    <w:rsid w:val="00BE7A61"/>
    <w:rsid w:val="00BF2B15"/>
    <w:rsid w:val="00BF3D6B"/>
    <w:rsid w:val="00BF4C85"/>
    <w:rsid w:val="00BF545C"/>
    <w:rsid w:val="00BF618F"/>
    <w:rsid w:val="00BF7AAE"/>
    <w:rsid w:val="00BF7ABC"/>
    <w:rsid w:val="00C002C2"/>
    <w:rsid w:val="00C00739"/>
    <w:rsid w:val="00C02843"/>
    <w:rsid w:val="00C0299E"/>
    <w:rsid w:val="00C02BC4"/>
    <w:rsid w:val="00C02F1B"/>
    <w:rsid w:val="00C03D52"/>
    <w:rsid w:val="00C04FAB"/>
    <w:rsid w:val="00C0610D"/>
    <w:rsid w:val="00C067E3"/>
    <w:rsid w:val="00C12402"/>
    <w:rsid w:val="00C12F28"/>
    <w:rsid w:val="00C13238"/>
    <w:rsid w:val="00C13631"/>
    <w:rsid w:val="00C150AE"/>
    <w:rsid w:val="00C156D0"/>
    <w:rsid w:val="00C17AB1"/>
    <w:rsid w:val="00C20AFC"/>
    <w:rsid w:val="00C221F6"/>
    <w:rsid w:val="00C231D1"/>
    <w:rsid w:val="00C23224"/>
    <w:rsid w:val="00C24185"/>
    <w:rsid w:val="00C25048"/>
    <w:rsid w:val="00C25113"/>
    <w:rsid w:val="00C26F87"/>
    <w:rsid w:val="00C27050"/>
    <w:rsid w:val="00C27737"/>
    <w:rsid w:val="00C3079B"/>
    <w:rsid w:val="00C311B9"/>
    <w:rsid w:val="00C32105"/>
    <w:rsid w:val="00C32171"/>
    <w:rsid w:val="00C326BB"/>
    <w:rsid w:val="00C32F82"/>
    <w:rsid w:val="00C3412A"/>
    <w:rsid w:val="00C35D1D"/>
    <w:rsid w:val="00C40A49"/>
    <w:rsid w:val="00C40D83"/>
    <w:rsid w:val="00C4194D"/>
    <w:rsid w:val="00C41A80"/>
    <w:rsid w:val="00C41B84"/>
    <w:rsid w:val="00C42479"/>
    <w:rsid w:val="00C42924"/>
    <w:rsid w:val="00C42AF5"/>
    <w:rsid w:val="00C466EB"/>
    <w:rsid w:val="00C50B07"/>
    <w:rsid w:val="00C51032"/>
    <w:rsid w:val="00C52DEA"/>
    <w:rsid w:val="00C53AEE"/>
    <w:rsid w:val="00C53BC0"/>
    <w:rsid w:val="00C554A4"/>
    <w:rsid w:val="00C559DF"/>
    <w:rsid w:val="00C55F65"/>
    <w:rsid w:val="00C56174"/>
    <w:rsid w:val="00C562EA"/>
    <w:rsid w:val="00C569A0"/>
    <w:rsid w:val="00C56A58"/>
    <w:rsid w:val="00C57385"/>
    <w:rsid w:val="00C5794C"/>
    <w:rsid w:val="00C601D1"/>
    <w:rsid w:val="00C60265"/>
    <w:rsid w:val="00C6196A"/>
    <w:rsid w:val="00C632BB"/>
    <w:rsid w:val="00C634D9"/>
    <w:rsid w:val="00C63AE0"/>
    <w:rsid w:val="00C64509"/>
    <w:rsid w:val="00C64894"/>
    <w:rsid w:val="00C648A5"/>
    <w:rsid w:val="00C660EE"/>
    <w:rsid w:val="00C67A41"/>
    <w:rsid w:val="00C67C08"/>
    <w:rsid w:val="00C7007E"/>
    <w:rsid w:val="00C703B9"/>
    <w:rsid w:val="00C70A6C"/>
    <w:rsid w:val="00C720C1"/>
    <w:rsid w:val="00C72B12"/>
    <w:rsid w:val="00C7344E"/>
    <w:rsid w:val="00C7577F"/>
    <w:rsid w:val="00C766E3"/>
    <w:rsid w:val="00C76CC8"/>
    <w:rsid w:val="00C778D7"/>
    <w:rsid w:val="00C81112"/>
    <w:rsid w:val="00C82606"/>
    <w:rsid w:val="00C827DF"/>
    <w:rsid w:val="00C82888"/>
    <w:rsid w:val="00C82D4A"/>
    <w:rsid w:val="00C842D6"/>
    <w:rsid w:val="00C84853"/>
    <w:rsid w:val="00C84FD1"/>
    <w:rsid w:val="00C8562D"/>
    <w:rsid w:val="00C87229"/>
    <w:rsid w:val="00C87F1F"/>
    <w:rsid w:val="00C905DD"/>
    <w:rsid w:val="00C915F0"/>
    <w:rsid w:val="00C91DA1"/>
    <w:rsid w:val="00C926F6"/>
    <w:rsid w:val="00C92B08"/>
    <w:rsid w:val="00C92EAB"/>
    <w:rsid w:val="00C92FCF"/>
    <w:rsid w:val="00C95816"/>
    <w:rsid w:val="00C962F1"/>
    <w:rsid w:val="00C97139"/>
    <w:rsid w:val="00C97189"/>
    <w:rsid w:val="00CA2A4C"/>
    <w:rsid w:val="00CA3BF4"/>
    <w:rsid w:val="00CA3DE3"/>
    <w:rsid w:val="00CA53D5"/>
    <w:rsid w:val="00CA5516"/>
    <w:rsid w:val="00CA5582"/>
    <w:rsid w:val="00CA64DB"/>
    <w:rsid w:val="00CA7695"/>
    <w:rsid w:val="00CA7C46"/>
    <w:rsid w:val="00CB06D0"/>
    <w:rsid w:val="00CB0AE3"/>
    <w:rsid w:val="00CB0C4B"/>
    <w:rsid w:val="00CB4071"/>
    <w:rsid w:val="00CB4256"/>
    <w:rsid w:val="00CB4A2F"/>
    <w:rsid w:val="00CB517D"/>
    <w:rsid w:val="00CB5B54"/>
    <w:rsid w:val="00CB691B"/>
    <w:rsid w:val="00CB6C94"/>
    <w:rsid w:val="00CB78B6"/>
    <w:rsid w:val="00CB7913"/>
    <w:rsid w:val="00CC11B7"/>
    <w:rsid w:val="00CC1D74"/>
    <w:rsid w:val="00CC2F12"/>
    <w:rsid w:val="00CC3036"/>
    <w:rsid w:val="00CC318B"/>
    <w:rsid w:val="00CC39A0"/>
    <w:rsid w:val="00CC39F9"/>
    <w:rsid w:val="00CC4349"/>
    <w:rsid w:val="00CC4685"/>
    <w:rsid w:val="00CC472E"/>
    <w:rsid w:val="00CC5F4B"/>
    <w:rsid w:val="00CC6549"/>
    <w:rsid w:val="00CC6AF0"/>
    <w:rsid w:val="00CC6D4E"/>
    <w:rsid w:val="00CC76DF"/>
    <w:rsid w:val="00CD17C8"/>
    <w:rsid w:val="00CD1AB5"/>
    <w:rsid w:val="00CD1AC0"/>
    <w:rsid w:val="00CD253C"/>
    <w:rsid w:val="00CD2693"/>
    <w:rsid w:val="00CD4B08"/>
    <w:rsid w:val="00CD636F"/>
    <w:rsid w:val="00CD6E7B"/>
    <w:rsid w:val="00CD742C"/>
    <w:rsid w:val="00CD7644"/>
    <w:rsid w:val="00CD7B62"/>
    <w:rsid w:val="00CD7CE3"/>
    <w:rsid w:val="00CE2D05"/>
    <w:rsid w:val="00CE3245"/>
    <w:rsid w:val="00CE32D4"/>
    <w:rsid w:val="00CE3FC2"/>
    <w:rsid w:val="00CE43F2"/>
    <w:rsid w:val="00CE4EEF"/>
    <w:rsid w:val="00CE5562"/>
    <w:rsid w:val="00CE55EF"/>
    <w:rsid w:val="00CE5D55"/>
    <w:rsid w:val="00CE601E"/>
    <w:rsid w:val="00CE6106"/>
    <w:rsid w:val="00CE612A"/>
    <w:rsid w:val="00CE61AB"/>
    <w:rsid w:val="00CE6302"/>
    <w:rsid w:val="00CE72EC"/>
    <w:rsid w:val="00CE7A02"/>
    <w:rsid w:val="00CF0FE5"/>
    <w:rsid w:val="00CF13ED"/>
    <w:rsid w:val="00CF15B2"/>
    <w:rsid w:val="00CF1A02"/>
    <w:rsid w:val="00CF2C60"/>
    <w:rsid w:val="00CF3E75"/>
    <w:rsid w:val="00CF3EEE"/>
    <w:rsid w:val="00CF6C42"/>
    <w:rsid w:val="00CF6CCE"/>
    <w:rsid w:val="00D01E59"/>
    <w:rsid w:val="00D02072"/>
    <w:rsid w:val="00D02540"/>
    <w:rsid w:val="00D066C3"/>
    <w:rsid w:val="00D101D7"/>
    <w:rsid w:val="00D102CE"/>
    <w:rsid w:val="00D10CC4"/>
    <w:rsid w:val="00D111F8"/>
    <w:rsid w:val="00D11926"/>
    <w:rsid w:val="00D119C7"/>
    <w:rsid w:val="00D11BCD"/>
    <w:rsid w:val="00D11E15"/>
    <w:rsid w:val="00D12150"/>
    <w:rsid w:val="00D12706"/>
    <w:rsid w:val="00D148AE"/>
    <w:rsid w:val="00D1547A"/>
    <w:rsid w:val="00D156DB"/>
    <w:rsid w:val="00D15ABD"/>
    <w:rsid w:val="00D15FD2"/>
    <w:rsid w:val="00D16FAA"/>
    <w:rsid w:val="00D1701C"/>
    <w:rsid w:val="00D17BD1"/>
    <w:rsid w:val="00D17DF1"/>
    <w:rsid w:val="00D20698"/>
    <w:rsid w:val="00D219C8"/>
    <w:rsid w:val="00D22308"/>
    <w:rsid w:val="00D23243"/>
    <w:rsid w:val="00D23C45"/>
    <w:rsid w:val="00D2401A"/>
    <w:rsid w:val="00D25D84"/>
    <w:rsid w:val="00D26549"/>
    <w:rsid w:val="00D26A04"/>
    <w:rsid w:val="00D27437"/>
    <w:rsid w:val="00D304AA"/>
    <w:rsid w:val="00D30EC6"/>
    <w:rsid w:val="00D3285E"/>
    <w:rsid w:val="00D33354"/>
    <w:rsid w:val="00D33A2D"/>
    <w:rsid w:val="00D33FB7"/>
    <w:rsid w:val="00D340B2"/>
    <w:rsid w:val="00D341A1"/>
    <w:rsid w:val="00D342DA"/>
    <w:rsid w:val="00D345F1"/>
    <w:rsid w:val="00D35600"/>
    <w:rsid w:val="00D35F97"/>
    <w:rsid w:val="00D36274"/>
    <w:rsid w:val="00D36F0F"/>
    <w:rsid w:val="00D36F1B"/>
    <w:rsid w:val="00D401A5"/>
    <w:rsid w:val="00D40CDA"/>
    <w:rsid w:val="00D41BA0"/>
    <w:rsid w:val="00D435E7"/>
    <w:rsid w:val="00D4413E"/>
    <w:rsid w:val="00D45167"/>
    <w:rsid w:val="00D4573D"/>
    <w:rsid w:val="00D45A05"/>
    <w:rsid w:val="00D45FFF"/>
    <w:rsid w:val="00D460B3"/>
    <w:rsid w:val="00D51468"/>
    <w:rsid w:val="00D536ED"/>
    <w:rsid w:val="00D537BD"/>
    <w:rsid w:val="00D53EF2"/>
    <w:rsid w:val="00D53FB3"/>
    <w:rsid w:val="00D541F6"/>
    <w:rsid w:val="00D543A9"/>
    <w:rsid w:val="00D544BB"/>
    <w:rsid w:val="00D5508F"/>
    <w:rsid w:val="00D5680C"/>
    <w:rsid w:val="00D56B7A"/>
    <w:rsid w:val="00D57AFC"/>
    <w:rsid w:val="00D57E68"/>
    <w:rsid w:val="00D60675"/>
    <w:rsid w:val="00D60A5F"/>
    <w:rsid w:val="00D60BD2"/>
    <w:rsid w:val="00D6211B"/>
    <w:rsid w:val="00D63B45"/>
    <w:rsid w:val="00D64A85"/>
    <w:rsid w:val="00D655D2"/>
    <w:rsid w:val="00D6644E"/>
    <w:rsid w:val="00D664BD"/>
    <w:rsid w:val="00D67122"/>
    <w:rsid w:val="00D7002F"/>
    <w:rsid w:val="00D7052C"/>
    <w:rsid w:val="00D70BC5"/>
    <w:rsid w:val="00D70FB9"/>
    <w:rsid w:val="00D72156"/>
    <w:rsid w:val="00D721D5"/>
    <w:rsid w:val="00D73236"/>
    <w:rsid w:val="00D738D9"/>
    <w:rsid w:val="00D75958"/>
    <w:rsid w:val="00D7674D"/>
    <w:rsid w:val="00D77296"/>
    <w:rsid w:val="00D77D8A"/>
    <w:rsid w:val="00D80DC8"/>
    <w:rsid w:val="00D82ED9"/>
    <w:rsid w:val="00D83836"/>
    <w:rsid w:val="00D861C4"/>
    <w:rsid w:val="00D86347"/>
    <w:rsid w:val="00D879D0"/>
    <w:rsid w:val="00D90299"/>
    <w:rsid w:val="00D9050D"/>
    <w:rsid w:val="00D907A1"/>
    <w:rsid w:val="00D90C53"/>
    <w:rsid w:val="00D90C90"/>
    <w:rsid w:val="00D953CE"/>
    <w:rsid w:val="00D957DE"/>
    <w:rsid w:val="00D95C04"/>
    <w:rsid w:val="00D95F0C"/>
    <w:rsid w:val="00DA00FD"/>
    <w:rsid w:val="00DA04D4"/>
    <w:rsid w:val="00DA18B1"/>
    <w:rsid w:val="00DA1D2F"/>
    <w:rsid w:val="00DA1D8B"/>
    <w:rsid w:val="00DA1DEC"/>
    <w:rsid w:val="00DA252D"/>
    <w:rsid w:val="00DA2607"/>
    <w:rsid w:val="00DA3FB2"/>
    <w:rsid w:val="00DA454C"/>
    <w:rsid w:val="00DA4F4C"/>
    <w:rsid w:val="00DA547E"/>
    <w:rsid w:val="00DA5664"/>
    <w:rsid w:val="00DA5E4B"/>
    <w:rsid w:val="00DA5F27"/>
    <w:rsid w:val="00DA5F45"/>
    <w:rsid w:val="00DA6B58"/>
    <w:rsid w:val="00DA6F59"/>
    <w:rsid w:val="00DA77E0"/>
    <w:rsid w:val="00DA7E35"/>
    <w:rsid w:val="00DB015D"/>
    <w:rsid w:val="00DB07A2"/>
    <w:rsid w:val="00DB1392"/>
    <w:rsid w:val="00DB18D6"/>
    <w:rsid w:val="00DB19B2"/>
    <w:rsid w:val="00DB26D9"/>
    <w:rsid w:val="00DB2CF2"/>
    <w:rsid w:val="00DB4A0A"/>
    <w:rsid w:val="00DB5008"/>
    <w:rsid w:val="00DB6036"/>
    <w:rsid w:val="00DB6EF7"/>
    <w:rsid w:val="00DB78A4"/>
    <w:rsid w:val="00DB7BD3"/>
    <w:rsid w:val="00DC19E0"/>
    <w:rsid w:val="00DC2500"/>
    <w:rsid w:val="00DC2CB0"/>
    <w:rsid w:val="00DC66B4"/>
    <w:rsid w:val="00DC69E0"/>
    <w:rsid w:val="00DC76BF"/>
    <w:rsid w:val="00DC7895"/>
    <w:rsid w:val="00DC7BAD"/>
    <w:rsid w:val="00DD01F6"/>
    <w:rsid w:val="00DD0294"/>
    <w:rsid w:val="00DD07FC"/>
    <w:rsid w:val="00DD0D90"/>
    <w:rsid w:val="00DD1A36"/>
    <w:rsid w:val="00DD1A86"/>
    <w:rsid w:val="00DD1CEB"/>
    <w:rsid w:val="00DD2133"/>
    <w:rsid w:val="00DD2D1B"/>
    <w:rsid w:val="00DD32C9"/>
    <w:rsid w:val="00DD4063"/>
    <w:rsid w:val="00DD44DE"/>
    <w:rsid w:val="00DD47A4"/>
    <w:rsid w:val="00DD5EBE"/>
    <w:rsid w:val="00DD7D0D"/>
    <w:rsid w:val="00DE0EA9"/>
    <w:rsid w:val="00DE1D2F"/>
    <w:rsid w:val="00DE3109"/>
    <w:rsid w:val="00DE32A4"/>
    <w:rsid w:val="00DE335A"/>
    <w:rsid w:val="00DE34C6"/>
    <w:rsid w:val="00DE48F3"/>
    <w:rsid w:val="00DE54EA"/>
    <w:rsid w:val="00DE5DEA"/>
    <w:rsid w:val="00DE7163"/>
    <w:rsid w:val="00DF0E0A"/>
    <w:rsid w:val="00DF1530"/>
    <w:rsid w:val="00DF19A6"/>
    <w:rsid w:val="00DF334E"/>
    <w:rsid w:val="00DF34CB"/>
    <w:rsid w:val="00DF3C7C"/>
    <w:rsid w:val="00DF3DEE"/>
    <w:rsid w:val="00DF43B5"/>
    <w:rsid w:val="00DF44DA"/>
    <w:rsid w:val="00DF52F3"/>
    <w:rsid w:val="00DF5C5E"/>
    <w:rsid w:val="00DF7C75"/>
    <w:rsid w:val="00E00808"/>
    <w:rsid w:val="00E01A2F"/>
    <w:rsid w:val="00E01B44"/>
    <w:rsid w:val="00E01D66"/>
    <w:rsid w:val="00E01DE1"/>
    <w:rsid w:val="00E02AD6"/>
    <w:rsid w:val="00E031A8"/>
    <w:rsid w:val="00E03AD9"/>
    <w:rsid w:val="00E0426B"/>
    <w:rsid w:val="00E0558E"/>
    <w:rsid w:val="00E0636F"/>
    <w:rsid w:val="00E07908"/>
    <w:rsid w:val="00E07D18"/>
    <w:rsid w:val="00E11EDD"/>
    <w:rsid w:val="00E12695"/>
    <w:rsid w:val="00E12E68"/>
    <w:rsid w:val="00E13DD6"/>
    <w:rsid w:val="00E1415D"/>
    <w:rsid w:val="00E14189"/>
    <w:rsid w:val="00E14190"/>
    <w:rsid w:val="00E1587F"/>
    <w:rsid w:val="00E16305"/>
    <w:rsid w:val="00E16E67"/>
    <w:rsid w:val="00E174DC"/>
    <w:rsid w:val="00E20747"/>
    <w:rsid w:val="00E22D2B"/>
    <w:rsid w:val="00E24A18"/>
    <w:rsid w:val="00E25209"/>
    <w:rsid w:val="00E315B7"/>
    <w:rsid w:val="00E32291"/>
    <w:rsid w:val="00E3267A"/>
    <w:rsid w:val="00E33509"/>
    <w:rsid w:val="00E354F8"/>
    <w:rsid w:val="00E35782"/>
    <w:rsid w:val="00E36EE7"/>
    <w:rsid w:val="00E37532"/>
    <w:rsid w:val="00E42418"/>
    <w:rsid w:val="00E42487"/>
    <w:rsid w:val="00E43197"/>
    <w:rsid w:val="00E43F23"/>
    <w:rsid w:val="00E44281"/>
    <w:rsid w:val="00E44842"/>
    <w:rsid w:val="00E44876"/>
    <w:rsid w:val="00E454D8"/>
    <w:rsid w:val="00E46673"/>
    <w:rsid w:val="00E47130"/>
    <w:rsid w:val="00E47658"/>
    <w:rsid w:val="00E50333"/>
    <w:rsid w:val="00E5047B"/>
    <w:rsid w:val="00E51D86"/>
    <w:rsid w:val="00E5222E"/>
    <w:rsid w:val="00E532C0"/>
    <w:rsid w:val="00E53435"/>
    <w:rsid w:val="00E54190"/>
    <w:rsid w:val="00E54553"/>
    <w:rsid w:val="00E54860"/>
    <w:rsid w:val="00E5565E"/>
    <w:rsid w:val="00E556B8"/>
    <w:rsid w:val="00E55AED"/>
    <w:rsid w:val="00E55B02"/>
    <w:rsid w:val="00E55DBC"/>
    <w:rsid w:val="00E569E6"/>
    <w:rsid w:val="00E57354"/>
    <w:rsid w:val="00E576BE"/>
    <w:rsid w:val="00E60B28"/>
    <w:rsid w:val="00E61DB8"/>
    <w:rsid w:val="00E62337"/>
    <w:rsid w:val="00E637F5"/>
    <w:rsid w:val="00E64748"/>
    <w:rsid w:val="00E64C29"/>
    <w:rsid w:val="00E667E6"/>
    <w:rsid w:val="00E676F6"/>
    <w:rsid w:val="00E70953"/>
    <w:rsid w:val="00E70F5D"/>
    <w:rsid w:val="00E71BD2"/>
    <w:rsid w:val="00E7334D"/>
    <w:rsid w:val="00E73564"/>
    <w:rsid w:val="00E7361D"/>
    <w:rsid w:val="00E73B43"/>
    <w:rsid w:val="00E7497D"/>
    <w:rsid w:val="00E75073"/>
    <w:rsid w:val="00E751C7"/>
    <w:rsid w:val="00E75471"/>
    <w:rsid w:val="00E7648B"/>
    <w:rsid w:val="00E76E67"/>
    <w:rsid w:val="00E77829"/>
    <w:rsid w:val="00E8015C"/>
    <w:rsid w:val="00E80549"/>
    <w:rsid w:val="00E805CD"/>
    <w:rsid w:val="00E811EB"/>
    <w:rsid w:val="00E81A4C"/>
    <w:rsid w:val="00E81C54"/>
    <w:rsid w:val="00E81C94"/>
    <w:rsid w:val="00E82390"/>
    <w:rsid w:val="00E841CD"/>
    <w:rsid w:val="00E86776"/>
    <w:rsid w:val="00E86BE5"/>
    <w:rsid w:val="00E9061A"/>
    <w:rsid w:val="00E91A0F"/>
    <w:rsid w:val="00E925D4"/>
    <w:rsid w:val="00E95701"/>
    <w:rsid w:val="00E95FD5"/>
    <w:rsid w:val="00E9696C"/>
    <w:rsid w:val="00E96FE2"/>
    <w:rsid w:val="00E971D6"/>
    <w:rsid w:val="00E979EA"/>
    <w:rsid w:val="00EA30A1"/>
    <w:rsid w:val="00EA3408"/>
    <w:rsid w:val="00EA3A31"/>
    <w:rsid w:val="00EA5461"/>
    <w:rsid w:val="00EA7011"/>
    <w:rsid w:val="00EA7A31"/>
    <w:rsid w:val="00EB0E2D"/>
    <w:rsid w:val="00EB1A7B"/>
    <w:rsid w:val="00EB1CC2"/>
    <w:rsid w:val="00EB3983"/>
    <w:rsid w:val="00EB491D"/>
    <w:rsid w:val="00EB4ACA"/>
    <w:rsid w:val="00EB7051"/>
    <w:rsid w:val="00EB7AAC"/>
    <w:rsid w:val="00EC06EB"/>
    <w:rsid w:val="00EC078E"/>
    <w:rsid w:val="00EC163B"/>
    <w:rsid w:val="00EC1FAC"/>
    <w:rsid w:val="00EC27BF"/>
    <w:rsid w:val="00EC47BE"/>
    <w:rsid w:val="00EC71A9"/>
    <w:rsid w:val="00EC7541"/>
    <w:rsid w:val="00ED0585"/>
    <w:rsid w:val="00ED07DC"/>
    <w:rsid w:val="00ED17D7"/>
    <w:rsid w:val="00ED18A9"/>
    <w:rsid w:val="00ED1929"/>
    <w:rsid w:val="00ED2583"/>
    <w:rsid w:val="00ED2BD2"/>
    <w:rsid w:val="00ED38A5"/>
    <w:rsid w:val="00ED436C"/>
    <w:rsid w:val="00ED45BE"/>
    <w:rsid w:val="00ED5356"/>
    <w:rsid w:val="00ED6EBE"/>
    <w:rsid w:val="00ED70E2"/>
    <w:rsid w:val="00ED7212"/>
    <w:rsid w:val="00ED732D"/>
    <w:rsid w:val="00ED7519"/>
    <w:rsid w:val="00EE0194"/>
    <w:rsid w:val="00EE0247"/>
    <w:rsid w:val="00EE1AB4"/>
    <w:rsid w:val="00EE234C"/>
    <w:rsid w:val="00EE24BD"/>
    <w:rsid w:val="00EE40A0"/>
    <w:rsid w:val="00EE450D"/>
    <w:rsid w:val="00EE49D2"/>
    <w:rsid w:val="00EE4A77"/>
    <w:rsid w:val="00EE4CFC"/>
    <w:rsid w:val="00EE5871"/>
    <w:rsid w:val="00EE5D9B"/>
    <w:rsid w:val="00EE5F93"/>
    <w:rsid w:val="00EE6577"/>
    <w:rsid w:val="00EE742D"/>
    <w:rsid w:val="00EE7577"/>
    <w:rsid w:val="00EF0FD5"/>
    <w:rsid w:val="00EF2966"/>
    <w:rsid w:val="00EF3DC3"/>
    <w:rsid w:val="00EF45D4"/>
    <w:rsid w:val="00EF4FF0"/>
    <w:rsid w:val="00EF568A"/>
    <w:rsid w:val="00EF5BC1"/>
    <w:rsid w:val="00EF6A97"/>
    <w:rsid w:val="00EF7526"/>
    <w:rsid w:val="00F00856"/>
    <w:rsid w:val="00F00A38"/>
    <w:rsid w:val="00F00A5F"/>
    <w:rsid w:val="00F0103A"/>
    <w:rsid w:val="00F01D4D"/>
    <w:rsid w:val="00F02453"/>
    <w:rsid w:val="00F025E2"/>
    <w:rsid w:val="00F04303"/>
    <w:rsid w:val="00F043E1"/>
    <w:rsid w:val="00F052F9"/>
    <w:rsid w:val="00F05755"/>
    <w:rsid w:val="00F05D7E"/>
    <w:rsid w:val="00F06324"/>
    <w:rsid w:val="00F10BBE"/>
    <w:rsid w:val="00F10D36"/>
    <w:rsid w:val="00F11B77"/>
    <w:rsid w:val="00F11C95"/>
    <w:rsid w:val="00F1279C"/>
    <w:rsid w:val="00F129E3"/>
    <w:rsid w:val="00F1316E"/>
    <w:rsid w:val="00F13991"/>
    <w:rsid w:val="00F1407A"/>
    <w:rsid w:val="00F147E5"/>
    <w:rsid w:val="00F14ABD"/>
    <w:rsid w:val="00F152CE"/>
    <w:rsid w:val="00F154A1"/>
    <w:rsid w:val="00F16A17"/>
    <w:rsid w:val="00F16EDC"/>
    <w:rsid w:val="00F17AA8"/>
    <w:rsid w:val="00F17D8A"/>
    <w:rsid w:val="00F2078E"/>
    <w:rsid w:val="00F2105E"/>
    <w:rsid w:val="00F21BCE"/>
    <w:rsid w:val="00F22EDF"/>
    <w:rsid w:val="00F2380B"/>
    <w:rsid w:val="00F23982"/>
    <w:rsid w:val="00F2435F"/>
    <w:rsid w:val="00F25376"/>
    <w:rsid w:val="00F259E6"/>
    <w:rsid w:val="00F27D42"/>
    <w:rsid w:val="00F27E7D"/>
    <w:rsid w:val="00F27F72"/>
    <w:rsid w:val="00F30A23"/>
    <w:rsid w:val="00F30E8E"/>
    <w:rsid w:val="00F326AC"/>
    <w:rsid w:val="00F3273C"/>
    <w:rsid w:val="00F33635"/>
    <w:rsid w:val="00F34711"/>
    <w:rsid w:val="00F360C1"/>
    <w:rsid w:val="00F3649E"/>
    <w:rsid w:val="00F36C7A"/>
    <w:rsid w:val="00F370E0"/>
    <w:rsid w:val="00F40B7A"/>
    <w:rsid w:val="00F41986"/>
    <w:rsid w:val="00F4321C"/>
    <w:rsid w:val="00F45718"/>
    <w:rsid w:val="00F459D2"/>
    <w:rsid w:val="00F45DE0"/>
    <w:rsid w:val="00F4651E"/>
    <w:rsid w:val="00F468CC"/>
    <w:rsid w:val="00F4698D"/>
    <w:rsid w:val="00F47E0B"/>
    <w:rsid w:val="00F47E4A"/>
    <w:rsid w:val="00F50E63"/>
    <w:rsid w:val="00F52301"/>
    <w:rsid w:val="00F5369F"/>
    <w:rsid w:val="00F5406B"/>
    <w:rsid w:val="00F553D1"/>
    <w:rsid w:val="00F55800"/>
    <w:rsid w:val="00F5601D"/>
    <w:rsid w:val="00F560BC"/>
    <w:rsid w:val="00F5630C"/>
    <w:rsid w:val="00F566C9"/>
    <w:rsid w:val="00F57408"/>
    <w:rsid w:val="00F57990"/>
    <w:rsid w:val="00F60769"/>
    <w:rsid w:val="00F60AFF"/>
    <w:rsid w:val="00F615A2"/>
    <w:rsid w:val="00F61848"/>
    <w:rsid w:val="00F629D0"/>
    <w:rsid w:val="00F63391"/>
    <w:rsid w:val="00F63DA5"/>
    <w:rsid w:val="00F64296"/>
    <w:rsid w:val="00F644A7"/>
    <w:rsid w:val="00F657F2"/>
    <w:rsid w:val="00F66DEA"/>
    <w:rsid w:val="00F7020F"/>
    <w:rsid w:val="00F70C99"/>
    <w:rsid w:val="00F70DA9"/>
    <w:rsid w:val="00F717D6"/>
    <w:rsid w:val="00F71F85"/>
    <w:rsid w:val="00F72A9F"/>
    <w:rsid w:val="00F73965"/>
    <w:rsid w:val="00F74795"/>
    <w:rsid w:val="00F74EC6"/>
    <w:rsid w:val="00F75FE1"/>
    <w:rsid w:val="00F76051"/>
    <w:rsid w:val="00F7726A"/>
    <w:rsid w:val="00F77293"/>
    <w:rsid w:val="00F77879"/>
    <w:rsid w:val="00F77A02"/>
    <w:rsid w:val="00F77A26"/>
    <w:rsid w:val="00F8106F"/>
    <w:rsid w:val="00F814D0"/>
    <w:rsid w:val="00F81F11"/>
    <w:rsid w:val="00F8268D"/>
    <w:rsid w:val="00F839C1"/>
    <w:rsid w:val="00F83E45"/>
    <w:rsid w:val="00F84447"/>
    <w:rsid w:val="00F84471"/>
    <w:rsid w:val="00F84D82"/>
    <w:rsid w:val="00F84F15"/>
    <w:rsid w:val="00F85757"/>
    <w:rsid w:val="00F868B7"/>
    <w:rsid w:val="00F87371"/>
    <w:rsid w:val="00F8755F"/>
    <w:rsid w:val="00F87CF9"/>
    <w:rsid w:val="00F90983"/>
    <w:rsid w:val="00F90F33"/>
    <w:rsid w:val="00F91976"/>
    <w:rsid w:val="00F92056"/>
    <w:rsid w:val="00F92806"/>
    <w:rsid w:val="00F9419C"/>
    <w:rsid w:val="00F9502C"/>
    <w:rsid w:val="00F9561E"/>
    <w:rsid w:val="00F96AFF"/>
    <w:rsid w:val="00F96F82"/>
    <w:rsid w:val="00F974D7"/>
    <w:rsid w:val="00F97691"/>
    <w:rsid w:val="00FA0DB2"/>
    <w:rsid w:val="00FA1186"/>
    <w:rsid w:val="00FA1B4A"/>
    <w:rsid w:val="00FA2EBB"/>
    <w:rsid w:val="00FA32FF"/>
    <w:rsid w:val="00FA4A8C"/>
    <w:rsid w:val="00FA5381"/>
    <w:rsid w:val="00FA6404"/>
    <w:rsid w:val="00FB0122"/>
    <w:rsid w:val="00FB0379"/>
    <w:rsid w:val="00FB1679"/>
    <w:rsid w:val="00FB2E85"/>
    <w:rsid w:val="00FB461D"/>
    <w:rsid w:val="00FB50B3"/>
    <w:rsid w:val="00FB540B"/>
    <w:rsid w:val="00FB5C56"/>
    <w:rsid w:val="00FB6CDB"/>
    <w:rsid w:val="00FB7C4A"/>
    <w:rsid w:val="00FC0023"/>
    <w:rsid w:val="00FC133B"/>
    <w:rsid w:val="00FC21B8"/>
    <w:rsid w:val="00FC32BD"/>
    <w:rsid w:val="00FC36A3"/>
    <w:rsid w:val="00FC59D7"/>
    <w:rsid w:val="00FC5CBF"/>
    <w:rsid w:val="00FC742D"/>
    <w:rsid w:val="00FC789B"/>
    <w:rsid w:val="00FD0631"/>
    <w:rsid w:val="00FD06C2"/>
    <w:rsid w:val="00FD070F"/>
    <w:rsid w:val="00FD1E80"/>
    <w:rsid w:val="00FD21D1"/>
    <w:rsid w:val="00FD447A"/>
    <w:rsid w:val="00FD4826"/>
    <w:rsid w:val="00FD4D79"/>
    <w:rsid w:val="00FD643E"/>
    <w:rsid w:val="00FD67CE"/>
    <w:rsid w:val="00FD68AE"/>
    <w:rsid w:val="00FD6BE6"/>
    <w:rsid w:val="00FE09E5"/>
    <w:rsid w:val="00FE0A4D"/>
    <w:rsid w:val="00FE17E4"/>
    <w:rsid w:val="00FE263E"/>
    <w:rsid w:val="00FE426B"/>
    <w:rsid w:val="00FE5147"/>
    <w:rsid w:val="00FE5599"/>
    <w:rsid w:val="00FE669B"/>
    <w:rsid w:val="00FE70EA"/>
    <w:rsid w:val="00FE7317"/>
    <w:rsid w:val="00FE77C7"/>
    <w:rsid w:val="00FE7B61"/>
    <w:rsid w:val="00FE7E2E"/>
    <w:rsid w:val="00FF02B8"/>
    <w:rsid w:val="00FF145E"/>
    <w:rsid w:val="00FF2796"/>
    <w:rsid w:val="00FF3A21"/>
    <w:rsid w:val="00FF490C"/>
    <w:rsid w:val="00FF57F9"/>
    <w:rsid w:val="00FF5954"/>
    <w:rsid w:val="00FF74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Rectangular Callout 27"/>
        <o:r id="V:Rule2" type="callout" idref="#Rectangular Callout 26"/>
        <o:r id="V:Rule3" type="callout" idref="#Rectangular Callout 28"/>
        <o:r id="V:Rule4" type="callout" idref="#_x0000_s1038"/>
        <o:r id="V:Rule5" type="callout" idref="#Rectangular Callout 18"/>
        <o:r id="V:Rule6" type="callout" idref="#_x0000_s1048"/>
        <o:r id="V:Rule7" type="callout" idref="#_x0000_s1049"/>
        <o:r id="V:Rule8" type="callout" idref="#Rectangular Callout 37"/>
        <o:r id="V:Rule9" type="callout"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39"/>
  </w:style>
  <w:style w:type="paragraph" w:styleId="3">
    <w:name w:val="heading 3"/>
    <w:basedOn w:val="a"/>
    <w:next w:val="a"/>
    <w:link w:val="3Char"/>
    <w:uiPriority w:val="9"/>
    <w:unhideWhenUsed/>
    <w:qFormat/>
    <w:rsid w:val="00E55AED"/>
    <w:pPr>
      <w:keepNext/>
      <w:keepLines/>
      <w:spacing w:before="200" w:line="276" w:lineRule="auto"/>
      <w:outlineLvl w:val="2"/>
    </w:pPr>
    <w:rPr>
      <w:rFonts w:asciiTheme="majorHAnsi" w:eastAsiaTheme="majorEastAsia" w:hAnsiTheme="majorHAnsi" w:cstheme="majorBidi"/>
      <w:b/>
      <w:bCs/>
      <w:color w:val="4472C4" w:themeColor="accent1"/>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4F6"/>
    <w:pPr>
      <w:tabs>
        <w:tab w:val="center" w:pos="4513"/>
        <w:tab w:val="right" w:pos="9026"/>
      </w:tabs>
    </w:pPr>
  </w:style>
  <w:style w:type="character" w:customStyle="1" w:styleId="Char">
    <w:name w:val="Κεφαλίδα Char"/>
    <w:basedOn w:val="a0"/>
    <w:link w:val="a3"/>
    <w:uiPriority w:val="99"/>
    <w:rsid w:val="005D44F6"/>
  </w:style>
  <w:style w:type="paragraph" w:styleId="a4">
    <w:name w:val="footer"/>
    <w:basedOn w:val="a"/>
    <w:link w:val="Char0"/>
    <w:uiPriority w:val="99"/>
    <w:unhideWhenUsed/>
    <w:rsid w:val="005D44F6"/>
    <w:pPr>
      <w:tabs>
        <w:tab w:val="center" w:pos="4513"/>
        <w:tab w:val="right" w:pos="9026"/>
      </w:tabs>
    </w:pPr>
  </w:style>
  <w:style w:type="character" w:customStyle="1" w:styleId="Char0">
    <w:name w:val="Υποσέλιδο Char"/>
    <w:basedOn w:val="a0"/>
    <w:link w:val="a4"/>
    <w:uiPriority w:val="99"/>
    <w:rsid w:val="005D44F6"/>
  </w:style>
  <w:style w:type="paragraph" w:customStyle="1" w:styleId="Rcover4">
    <w:name w:val="R_cover4"/>
    <w:basedOn w:val="a"/>
    <w:next w:val="a"/>
    <w:uiPriority w:val="99"/>
    <w:semiHidden/>
    <w:rsid w:val="005D44F6"/>
    <w:pPr>
      <w:ind w:left="714" w:hanging="357"/>
    </w:pPr>
    <w:rPr>
      <w:rFonts w:ascii="Calibri" w:eastAsia="Calibri" w:hAnsi="Calibri" w:cs="Calibri"/>
      <w:color w:val="548DD4"/>
      <w:sz w:val="32"/>
      <w:lang w:val="en-GB" w:eastAsia="el-GR"/>
    </w:rPr>
  </w:style>
  <w:style w:type="paragraph" w:customStyle="1" w:styleId="Rcover5">
    <w:name w:val="R_cover5"/>
    <w:basedOn w:val="a"/>
    <w:rsid w:val="001E55B2"/>
    <w:pPr>
      <w:spacing w:after="200" w:line="276" w:lineRule="auto"/>
    </w:pPr>
    <w:rPr>
      <w:sz w:val="22"/>
      <w:szCs w:val="22"/>
    </w:rPr>
  </w:style>
  <w:style w:type="table" w:styleId="a5">
    <w:name w:val="Table Grid"/>
    <w:basedOn w:val="a1"/>
    <w:uiPriority w:val="59"/>
    <w:rsid w:val="00061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section">
    <w:name w:val="header section"/>
    <w:basedOn w:val="a3"/>
    <w:qFormat/>
    <w:rsid w:val="007240C6"/>
    <w:pPr>
      <w:pBdr>
        <w:bottom w:val="single" w:sz="8" w:space="1" w:color="9D9D9D"/>
        <w:bar w:val="single" w:sz="24" w:color="FFFFFF" w:themeColor="background1"/>
      </w:pBdr>
      <w:spacing w:line="160" w:lineRule="exact"/>
    </w:pPr>
    <w:rPr>
      <w:color w:val="9D9D9D"/>
      <w:sz w:val="16"/>
      <w:szCs w:val="18"/>
    </w:rPr>
  </w:style>
  <w:style w:type="character" w:styleId="a6">
    <w:name w:val="page number"/>
    <w:basedOn w:val="a0"/>
    <w:uiPriority w:val="99"/>
    <w:semiHidden/>
    <w:unhideWhenUsed/>
    <w:rsid w:val="003E1ECF"/>
  </w:style>
  <w:style w:type="paragraph" w:styleId="a7">
    <w:name w:val="List Paragraph"/>
    <w:basedOn w:val="a"/>
    <w:link w:val="Char1"/>
    <w:uiPriority w:val="34"/>
    <w:qFormat/>
    <w:rsid w:val="00311673"/>
    <w:pPr>
      <w:spacing w:after="120" w:line="360" w:lineRule="auto"/>
      <w:ind w:left="720"/>
      <w:jc w:val="both"/>
    </w:pPr>
    <w:rPr>
      <w:rFonts w:ascii="Times New Roman" w:eastAsia="Calibri" w:hAnsi="Times New Roman" w:cs="Times New Roman"/>
      <w:sz w:val="22"/>
      <w:szCs w:val="22"/>
      <w:lang w:eastAsia="el-GR"/>
    </w:rPr>
  </w:style>
  <w:style w:type="character" w:customStyle="1" w:styleId="Char1">
    <w:name w:val="Παράγραφος λίστας Char"/>
    <w:basedOn w:val="a0"/>
    <w:link w:val="a7"/>
    <w:uiPriority w:val="34"/>
    <w:locked/>
    <w:rsid w:val="00311673"/>
    <w:rPr>
      <w:rFonts w:ascii="Times New Roman" w:eastAsia="Calibri" w:hAnsi="Times New Roman" w:cs="Times New Roman"/>
      <w:sz w:val="22"/>
      <w:szCs w:val="22"/>
      <w:lang w:val="el-GR" w:eastAsia="el-GR"/>
    </w:rPr>
  </w:style>
  <w:style w:type="paragraph" w:styleId="Web">
    <w:name w:val="Normal (Web)"/>
    <w:basedOn w:val="a"/>
    <w:uiPriority w:val="99"/>
    <w:unhideWhenUsed/>
    <w:rsid w:val="007D3371"/>
    <w:pPr>
      <w:spacing w:before="100" w:beforeAutospacing="1" w:after="100" w:afterAutospacing="1"/>
    </w:pPr>
    <w:rPr>
      <w:rFonts w:ascii="Times New Roman" w:eastAsia="Times New Roman" w:hAnsi="Times New Roman" w:cs="Times New Roman"/>
      <w:lang w:eastAsia="en-GB"/>
    </w:rPr>
  </w:style>
  <w:style w:type="paragraph" w:customStyle="1" w:styleId="body">
    <w:name w:val="body"/>
    <w:basedOn w:val="a"/>
    <w:qFormat/>
    <w:rsid w:val="00F61848"/>
    <w:pPr>
      <w:spacing w:before="120" w:after="120"/>
      <w:jc w:val="both"/>
    </w:pPr>
    <w:rPr>
      <w:color w:val="0D0D0D" w:themeColor="text1" w:themeTint="F2"/>
      <w:sz w:val="18"/>
      <w:szCs w:val="18"/>
    </w:rPr>
  </w:style>
  <w:style w:type="paragraph" w:customStyle="1" w:styleId="Calibri9IFRS">
    <w:name w:val="Calibri 9 IFRS"/>
    <w:basedOn w:val="a"/>
    <w:qFormat/>
    <w:rsid w:val="00EC27BF"/>
    <w:pPr>
      <w:keepNext/>
      <w:spacing w:before="240" w:after="120"/>
    </w:pPr>
    <w:rPr>
      <w:rFonts w:ascii="Calibri" w:eastAsia="Calibri" w:hAnsi="Calibri" w:cs="Times New Roman"/>
      <w:b/>
      <w:color w:val="548DD4"/>
      <w:sz w:val="18"/>
      <w:szCs w:val="18"/>
      <w:lang w:val="en-US"/>
    </w:rPr>
  </w:style>
  <w:style w:type="paragraph" w:customStyle="1" w:styleId="Rbody1">
    <w:name w:val="R_body1"/>
    <w:basedOn w:val="a"/>
    <w:qFormat/>
    <w:rsid w:val="00EC27BF"/>
    <w:pPr>
      <w:spacing w:after="120"/>
      <w:jc w:val="both"/>
    </w:pPr>
    <w:rPr>
      <w:rFonts w:ascii="Calibri" w:eastAsia="Times New Roman" w:hAnsi="Calibri" w:cs="Times New Roman"/>
      <w:sz w:val="18"/>
      <w:szCs w:val="18"/>
      <w:lang w:val="en-GB" w:eastAsia="el-GR"/>
    </w:rPr>
  </w:style>
  <w:style w:type="paragraph" w:customStyle="1" w:styleId="TITLEINBODY">
    <w:name w:val="TITLE IN BODY"/>
    <w:basedOn w:val="body"/>
    <w:qFormat/>
    <w:rsid w:val="007A2CA1"/>
    <w:pPr>
      <w:pBdr>
        <w:bottom w:val="single" w:sz="4" w:space="1" w:color="00B2C6"/>
      </w:pBdr>
      <w:jc w:val="left"/>
    </w:pPr>
    <w:rPr>
      <w:b/>
      <w:bCs/>
      <w:color w:val="007382"/>
      <w:sz w:val="28"/>
      <w:szCs w:val="24"/>
      <w:bdr w:val="nil"/>
      <w:lang w:val="en-GB"/>
    </w:rPr>
  </w:style>
  <w:style w:type="paragraph" w:customStyle="1" w:styleId="HEADERACTIVE">
    <w:name w:val="HEADER ACTIVE"/>
    <w:basedOn w:val="headersection"/>
    <w:qFormat/>
    <w:rsid w:val="007240C6"/>
    <w:pPr>
      <w:pBdr>
        <w:bottom w:val="single" w:sz="8" w:space="1" w:color="00B2C6"/>
        <w:between w:val="single" w:sz="24" w:space="1" w:color="00B2C6"/>
        <w:bar w:val="none" w:sz="0" w:color="auto"/>
      </w:pBdr>
    </w:pPr>
    <w:rPr>
      <w:b/>
      <w:color w:val="007382"/>
    </w:rPr>
  </w:style>
  <w:style w:type="paragraph" w:customStyle="1" w:styleId="TITLE2">
    <w:name w:val="TITLE 2"/>
    <w:basedOn w:val="body"/>
    <w:qFormat/>
    <w:rsid w:val="000B01A9"/>
    <w:pPr>
      <w:pBdr>
        <w:bottom w:val="single" w:sz="4" w:space="1" w:color="9D9D9D"/>
      </w:pBdr>
      <w:spacing w:before="240"/>
      <w:jc w:val="left"/>
    </w:pPr>
    <w:rPr>
      <w:b/>
      <w:color w:val="00B2C6"/>
      <w:sz w:val="22"/>
      <w:szCs w:val="22"/>
      <w:lang w:val="en-GB"/>
    </w:rPr>
  </w:style>
  <w:style w:type="paragraph" w:customStyle="1" w:styleId="TITLE3">
    <w:name w:val="TITLE 3"/>
    <w:basedOn w:val="body"/>
    <w:qFormat/>
    <w:rsid w:val="00021DE8"/>
    <w:pPr>
      <w:pBdr>
        <w:left w:val="single" w:sz="48" w:space="4" w:color="00B2C6"/>
      </w:pBdr>
      <w:ind w:left="227"/>
      <w:jc w:val="left"/>
    </w:pPr>
    <w:rPr>
      <w:b/>
      <w:bCs/>
      <w:iCs/>
      <w:sz w:val="20"/>
      <w:szCs w:val="20"/>
      <w:lang w:val="en-GB"/>
    </w:rPr>
  </w:style>
  <w:style w:type="character" w:styleId="a8">
    <w:name w:val="footnote reference"/>
    <w:basedOn w:val="a0"/>
    <w:uiPriority w:val="99"/>
    <w:unhideWhenUsed/>
    <w:rsid w:val="00F77293"/>
    <w:rPr>
      <w:vertAlign w:val="superscript"/>
    </w:rPr>
  </w:style>
  <w:style w:type="paragraph" w:styleId="a9">
    <w:name w:val="footnote text"/>
    <w:basedOn w:val="a"/>
    <w:link w:val="Char2"/>
    <w:uiPriority w:val="99"/>
    <w:unhideWhenUsed/>
    <w:rsid w:val="000E77FB"/>
    <w:rPr>
      <w:rFonts w:ascii="Calibri" w:eastAsia="Calibri" w:hAnsi="Calibri" w:cs="Calibri"/>
      <w:color w:val="D9D9D9" w:themeColor="background1" w:themeShade="D9"/>
      <w:sz w:val="16"/>
      <w:szCs w:val="16"/>
      <w:bdr w:val="nil"/>
      <w:lang w:val="en-GB"/>
    </w:rPr>
  </w:style>
  <w:style w:type="character" w:customStyle="1" w:styleId="Char2">
    <w:name w:val="Κείμενο υποσημείωσης Char"/>
    <w:basedOn w:val="a0"/>
    <w:link w:val="a9"/>
    <w:uiPriority w:val="99"/>
    <w:rsid w:val="000E77FB"/>
    <w:rPr>
      <w:rFonts w:ascii="Calibri" w:eastAsia="Calibri" w:hAnsi="Calibri" w:cs="Calibri"/>
      <w:color w:val="D9D9D9" w:themeColor="background1" w:themeShade="D9"/>
      <w:sz w:val="16"/>
      <w:szCs w:val="16"/>
      <w:bdr w:val="nil"/>
      <w:lang w:val="en-GB"/>
    </w:rPr>
  </w:style>
  <w:style w:type="paragraph" w:customStyle="1" w:styleId="SECTIONTITLE">
    <w:name w:val="SECTION TITLE"/>
    <w:basedOn w:val="a"/>
    <w:qFormat/>
    <w:rsid w:val="000E5AC7"/>
    <w:pPr>
      <w:pBdr>
        <w:bottom w:val="single" w:sz="48" w:space="10" w:color="00B2C6"/>
      </w:pBdr>
    </w:pPr>
    <w:rPr>
      <w:b/>
      <w:color w:val="000000"/>
      <w:sz w:val="52"/>
      <w:szCs w:val="52"/>
      <w:lang w:val="en-GB"/>
    </w:rPr>
  </w:style>
  <w:style w:type="paragraph" w:customStyle="1" w:styleId="Default">
    <w:name w:val="Default"/>
    <w:rsid w:val="00763795"/>
    <w:pPr>
      <w:autoSpaceDE w:val="0"/>
      <w:autoSpaceDN w:val="0"/>
      <w:adjustRightInd w:val="0"/>
    </w:pPr>
    <w:rPr>
      <w:rFonts w:ascii="Calibri" w:eastAsia="Calibri" w:hAnsi="Calibri" w:cs="Calibri"/>
      <w:color w:val="000000"/>
      <w:lang w:val="en-US"/>
    </w:rPr>
  </w:style>
  <w:style w:type="paragraph" w:customStyle="1" w:styleId="Style1">
    <w:name w:val="Style1"/>
    <w:basedOn w:val="a"/>
    <w:qFormat/>
    <w:rsid w:val="00F043E1"/>
    <w:pPr>
      <w:pBdr>
        <w:top w:val="nil"/>
        <w:left w:val="nil"/>
        <w:bottom w:val="single" w:sz="8" w:space="1" w:color="9D9D9D"/>
        <w:right w:val="nil"/>
        <w:between w:val="nil"/>
        <w:bar w:val="nil"/>
      </w:pBdr>
      <w:spacing w:before="60" w:after="60"/>
      <w:ind w:left="170" w:right="170"/>
    </w:pPr>
    <w:rPr>
      <w:rFonts w:eastAsia="Calibri" w:cs="Calibri"/>
      <w:b/>
      <w:color w:val="007382"/>
      <w:sz w:val="20"/>
      <w:szCs w:val="20"/>
      <w:bdr w:val="nil"/>
      <w:lang w:val="en-US"/>
    </w:rPr>
  </w:style>
  <w:style w:type="paragraph" w:customStyle="1" w:styleId="Style2">
    <w:name w:val="Style2"/>
    <w:basedOn w:val="a"/>
    <w:qFormat/>
    <w:rsid w:val="008C38AA"/>
    <w:pPr>
      <w:spacing w:before="360" w:after="120"/>
    </w:pPr>
    <w:rPr>
      <w:b/>
      <w:bCs/>
      <w:color w:val="646464"/>
      <w:lang w:val="en-GB"/>
    </w:rPr>
  </w:style>
  <w:style w:type="paragraph" w:styleId="aa">
    <w:name w:val="endnote text"/>
    <w:basedOn w:val="a"/>
    <w:link w:val="Char3"/>
    <w:uiPriority w:val="99"/>
    <w:semiHidden/>
    <w:unhideWhenUsed/>
    <w:rsid w:val="00414745"/>
    <w:rPr>
      <w:sz w:val="20"/>
      <w:szCs w:val="20"/>
    </w:rPr>
  </w:style>
  <w:style w:type="character" w:customStyle="1" w:styleId="Char3">
    <w:name w:val="Κείμενο σημείωσης τέλους Char"/>
    <w:basedOn w:val="a0"/>
    <w:link w:val="aa"/>
    <w:uiPriority w:val="99"/>
    <w:semiHidden/>
    <w:rsid w:val="00414745"/>
    <w:rPr>
      <w:sz w:val="20"/>
      <w:szCs w:val="20"/>
    </w:rPr>
  </w:style>
  <w:style w:type="character" w:styleId="ab">
    <w:name w:val="endnote reference"/>
    <w:basedOn w:val="a0"/>
    <w:uiPriority w:val="99"/>
    <w:semiHidden/>
    <w:unhideWhenUsed/>
    <w:rsid w:val="00414745"/>
    <w:rPr>
      <w:vertAlign w:val="superscript"/>
    </w:rPr>
  </w:style>
  <w:style w:type="paragraph" w:customStyle="1" w:styleId="Calibri10IFRS">
    <w:name w:val="Calibri 10 IFRS"/>
    <w:qFormat/>
    <w:rsid w:val="00FA5381"/>
    <w:pPr>
      <w:keepNext/>
      <w:spacing w:before="360" w:after="120"/>
    </w:pPr>
    <w:rPr>
      <w:rFonts w:eastAsia="Calibri" w:cs="Calibri"/>
      <w:b/>
      <w:color w:val="548DD4"/>
      <w:sz w:val="20"/>
      <w:szCs w:val="20"/>
      <w:lang w:val="en-US"/>
    </w:rPr>
  </w:style>
  <w:style w:type="paragraph" w:customStyle="1" w:styleId="Rbulletcolumn0">
    <w:name w:val="R_bullet column_0"/>
    <w:basedOn w:val="a"/>
    <w:qFormat/>
    <w:rsid w:val="0062009A"/>
    <w:pPr>
      <w:widowControl w:val="0"/>
      <w:adjustRightInd w:val="0"/>
      <w:spacing w:after="120"/>
      <w:ind w:left="720" w:hanging="360"/>
      <w:jc w:val="both"/>
    </w:pPr>
    <w:rPr>
      <w:rFonts w:ascii="Calibri" w:eastAsia="Calibri" w:hAnsi="Calibri" w:cs="Calibri"/>
      <w:sz w:val="18"/>
      <w:szCs w:val="18"/>
      <w:lang w:val="en-US" w:eastAsia="el-GR"/>
    </w:rPr>
  </w:style>
  <w:style w:type="paragraph" w:customStyle="1" w:styleId="Bullet1">
    <w:name w:val="Bullet1"/>
    <w:qFormat/>
    <w:rsid w:val="001A3974"/>
    <w:pPr>
      <w:numPr>
        <w:numId w:val="4"/>
      </w:numPr>
      <w:spacing w:before="240" w:line="260" w:lineRule="atLeast"/>
      <w:jc w:val="both"/>
    </w:pPr>
    <w:rPr>
      <w:rFonts w:ascii="Times New Roman" w:eastAsia="Calibri" w:hAnsi="Times New Roman" w:cs="Times New Roman"/>
      <w:sz w:val="22"/>
      <w:szCs w:val="22"/>
      <w:lang w:val="en-GB"/>
    </w:rPr>
  </w:style>
  <w:style w:type="paragraph" w:customStyle="1" w:styleId="INLINETEXT1">
    <w:name w:val="IN LINE TEXT 1"/>
    <w:link w:val="INLINETEXT1Char"/>
    <w:qFormat/>
    <w:rsid w:val="00451A73"/>
    <w:rPr>
      <w:b/>
      <w:bCs/>
      <w:color w:val="007382"/>
      <w:sz w:val="18"/>
      <w:szCs w:val="18"/>
    </w:rPr>
  </w:style>
  <w:style w:type="character" w:customStyle="1" w:styleId="INLINETEXT1Char">
    <w:name w:val="IN LINE TEXT 1 Char"/>
    <w:basedOn w:val="a0"/>
    <w:link w:val="INLINETEXT1"/>
    <w:rsid w:val="00451A73"/>
    <w:rPr>
      <w:b/>
      <w:bCs/>
      <w:color w:val="007382"/>
      <w:sz w:val="18"/>
      <w:szCs w:val="18"/>
    </w:rPr>
  </w:style>
  <w:style w:type="paragraph" w:customStyle="1" w:styleId="BoD10IFRS">
    <w:name w:val="BoD 10 IFRS"/>
    <w:basedOn w:val="Calibri10IFRS"/>
    <w:qFormat/>
    <w:rsid w:val="00CC76DF"/>
    <w:pPr>
      <w:pBdr>
        <w:left w:val="single" w:sz="48" w:space="4" w:color="007180"/>
        <w:bottom w:val="single" w:sz="6" w:space="1" w:color="00AFC3"/>
      </w:pBdr>
      <w:spacing w:before="240" w:after="60"/>
      <w:outlineLvl w:val="2"/>
    </w:pPr>
    <w:rPr>
      <w:color w:val="007581"/>
      <w:sz w:val="24"/>
      <w:szCs w:val="24"/>
      <w:lang w:val="en-GB"/>
    </w:rPr>
  </w:style>
  <w:style w:type="paragraph" w:customStyle="1" w:styleId="msgLeft">
    <w:name w:val="msg Left"/>
    <w:basedOn w:val="a"/>
    <w:qFormat/>
    <w:rsid w:val="001D6231"/>
    <w:pPr>
      <w:ind w:left="170" w:right="567"/>
    </w:pPr>
    <w:rPr>
      <w:b/>
      <w:bCs/>
      <w:sz w:val="20"/>
      <w:szCs w:val="20"/>
      <w:bdr w:val="nil"/>
    </w:rPr>
  </w:style>
  <w:style w:type="paragraph" w:styleId="ac">
    <w:name w:val="Balloon Text"/>
    <w:basedOn w:val="a"/>
    <w:link w:val="Char4"/>
    <w:uiPriority w:val="99"/>
    <w:semiHidden/>
    <w:unhideWhenUsed/>
    <w:rsid w:val="001B4282"/>
    <w:rPr>
      <w:rFonts w:ascii="Tahoma" w:hAnsi="Tahoma" w:cs="Tahoma"/>
      <w:sz w:val="16"/>
      <w:szCs w:val="16"/>
    </w:rPr>
  </w:style>
  <w:style w:type="character" w:customStyle="1" w:styleId="Char4">
    <w:name w:val="Κείμενο πλαισίου Char"/>
    <w:basedOn w:val="a0"/>
    <w:link w:val="ac"/>
    <w:uiPriority w:val="99"/>
    <w:semiHidden/>
    <w:rsid w:val="001B4282"/>
    <w:rPr>
      <w:rFonts w:ascii="Tahoma" w:hAnsi="Tahoma" w:cs="Tahoma"/>
      <w:sz w:val="16"/>
      <w:szCs w:val="16"/>
    </w:rPr>
  </w:style>
  <w:style w:type="character" w:customStyle="1" w:styleId="3Char">
    <w:name w:val="Επικεφαλίδα 3 Char"/>
    <w:basedOn w:val="a0"/>
    <w:link w:val="3"/>
    <w:uiPriority w:val="9"/>
    <w:rsid w:val="00E55AED"/>
    <w:rPr>
      <w:rFonts w:asciiTheme="majorHAnsi" w:eastAsiaTheme="majorEastAsia" w:hAnsiTheme="majorHAnsi" w:cstheme="majorBidi"/>
      <w:b/>
      <w:bCs/>
      <w:color w:val="4472C4" w:themeColor="accent1"/>
      <w:sz w:val="22"/>
      <w:szCs w:val="22"/>
      <w:lang w:val="en-GB"/>
    </w:rPr>
  </w:style>
  <w:style w:type="paragraph" w:customStyle="1" w:styleId="normaltext">
    <w:name w:val="normaltext"/>
    <w:basedOn w:val="a"/>
    <w:rsid w:val="00E55AED"/>
    <w:pPr>
      <w:spacing w:before="100" w:beforeAutospacing="1" w:after="100" w:afterAutospacing="1"/>
    </w:pPr>
    <w:rPr>
      <w:rFonts w:ascii="Verdana" w:eastAsia="Arial Unicode MS" w:hAnsi="Verdana" w:cs="Arial Unicode MS"/>
      <w:color w:val="000000"/>
      <w:sz w:val="17"/>
      <w:szCs w:val="17"/>
      <w:lang w:eastAsia="el-GR"/>
    </w:rPr>
  </w:style>
  <w:style w:type="paragraph" w:styleId="ad">
    <w:name w:val="Block Text"/>
    <w:basedOn w:val="a"/>
    <w:rsid w:val="00E55AED"/>
    <w:pPr>
      <w:spacing w:before="120" w:after="120" w:line="280" w:lineRule="atLeast"/>
      <w:ind w:left="540" w:right="612"/>
      <w:jc w:val="center"/>
    </w:pPr>
    <w:rPr>
      <w:rFonts w:ascii="Arial" w:eastAsia="Times New Roman" w:hAnsi="Arial" w:cs="Arial"/>
      <w:b/>
      <w:bCs/>
      <w:szCs w:val="22"/>
    </w:rPr>
  </w:style>
  <w:style w:type="paragraph" w:customStyle="1" w:styleId="CM10">
    <w:name w:val="CM10"/>
    <w:basedOn w:val="Default"/>
    <w:next w:val="Default"/>
    <w:uiPriority w:val="99"/>
    <w:rsid w:val="00E55AED"/>
    <w:pPr>
      <w:widowControl w:val="0"/>
    </w:pPr>
    <w:rPr>
      <w:rFonts w:eastAsia="Times New Roman" w:cs="Times New Roman"/>
      <w:color w:val="auto"/>
      <w:lang w:val="el-GR" w:eastAsia="el-GR"/>
    </w:rPr>
  </w:style>
  <w:style w:type="paragraph" w:customStyle="1" w:styleId="CM3">
    <w:name w:val="CM3"/>
    <w:basedOn w:val="Default"/>
    <w:next w:val="Default"/>
    <w:uiPriority w:val="99"/>
    <w:rsid w:val="00E55AED"/>
    <w:pPr>
      <w:widowControl w:val="0"/>
      <w:spacing w:line="280" w:lineRule="atLeast"/>
    </w:pPr>
    <w:rPr>
      <w:rFonts w:eastAsia="Times New Roman" w:cs="Times New Roman"/>
      <w:color w:val="auto"/>
      <w:lang w:val="el-GR" w:eastAsia="el-GR"/>
    </w:rPr>
  </w:style>
  <w:style w:type="paragraph" w:customStyle="1" w:styleId="CM1">
    <w:name w:val="CM1"/>
    <w:basedOn w:val="Default"/>
    <w:next w:val="Default"/>
    <w:uiPriority w:val="99"/>
    <w:rsid w:val="00E55AED"/>
    <w:pPr>
      <w:widowControl w:val="0"/>
    </w:pPr>
    <w:rPr>
      <w:rFonts w:eastAsia="Times New Roman" w:cs="Times New Roman"/>
      <w:color w:val="auto"/>
      <w:lang w:val="el-GR" w:eastAsia="el-GR"/>
    </w:rPr>
  </w:style>
  <w:style w:type="paragraph" w:customStyle="1" w:styleId="CM9">
    <w:name w:val="CM9"/>
    <w:basedOn w:val="Default"/>
    <w:next w:val="Default"/>
    <w:uiPriority w:val="99"/>
    <w:rsid w:val="00E55AED"/>
    <w:pPr>
      <w:widowControl w:val="0"/>
    </w:pPr>
    <w:rPr>
      <w:rFonts w:eastAsia="Times New Roman" w:cs="Times New Roman"/>
      <w:color w:val="auto"/>
      <w:lang w:val="el-GR" w:eastAsia="el-GR"/>
    </w:rPr>
  </w:style>
  <w:style w:type="paragraph" w:styleId="ae">
    <w:name w:val="Plain Text"/>
    <w:basedOn w:val="a"/>
    <w:link w:val="Char5"/>
    <w:uiPriority w:val="99"/>
    <w:unhideWhenUsed/>
    <w:rsid w:val="00E55AED"/>
    <w:rPr>
      <w:rFonts w:ascii="Consolas" w:eastAsia="Calibri" w:hAnsi="Consolas" w:cs="Times New Roman"/>
      <w:sz w:val="21"/>
      <w:szCs w:val="21"/>
      <w:lang w:val="en-GB"/>
    </w:rPr>
  </w:style>
  <w:style w:type="character" w:customStyle="1" w:styleId="Char5">
    <w:name w:val="Απλό κείμενο Char"/>
    <w:basedOn w:val="a0"/>
    <w:link w:val="ae"/>
    <w:uiPriority w:val="99"/>
    <w:rsid w:val="00E55AED"/>
    <w:rPr>
      <w:rFonts w:ascii="Consolas" w:eastAsia="Calibri" w:hAnsi="Consolas" w:cs="Times New Roman"/>
      <w:sz w:val="21"/>
      <w:szCs w:val="21"/>
      <w:lang w:val="en-GB"/>
    </w:rPr>
  </w:style>
  <w:style w:type="character" w:styleId="af">
    <w:name w:val="annotation reference"/>
    <w:basedOn w:val="a0"/>
    <w:uiPriority w:val="99"/>
    <w:semiHidden/>
    <w:unhideWhenUsed/>
    <w:rsid w:val="00E55AED"/>
    <w:rPr>
      <w:sz w:val="16"/>
      <w:szCs w:val="16"/>
    </w:rPr>
  </w:style>
  <w:style w:type="paragraph" w:styleId="af0">
    <w:name w:val="annotation text"/>
    <w:basedOn w:val="a"/>
    <w:link w:val="Char6"/>
    <w:uiPriority w:val="99"/>
    <w:semiHidden/>
    <w:unhideWhenUsed/>
    <w:rsid w:val="00E55AED"/>
    <w:pPr>
      <w:spacing w:after="200"/>
    </w:pPr>
    <w:rPr>
      <w:rFonts w:ascii="Calibri" w:eastAsia="Calibri" w:hAnsi="Calibri" w:cs="Times New Roman"/>
      <w:sz w:val="20"/>
      <w:szCs w:val="20"/>
      <w:lang w:val="en-GB"/>
    </w:rPr>
  </w:style>
  <w:style w:type="character" w:customStyle="1" w:styleId="Char6">
    <w:name w:val="Κείμενο σχολίου Char"/>
    <w:basedOn w:val="a0"/>
    <w:link w:val="af0"/>
    <w:uiPriority w:val="99"/>
    <w:semiHidden/>
    <w:rsid w:val="00E55AED"/>
    <w:rPr>
      <w:rFonts w:ascii="Calibri" w:eastAsia="Calibri" w:hAnsi="Calibri" w:cs="Times New Roman"/>
      <w:sz w:val="20"/>
      <w:szCs w:val="20"/>
      <w:lang w:val="en-GB"/>
    </w:rPr>
  </w:style>
  <w:style w:type="paragraph" w:styleId="af1">
    <w:name w:val="annotation subject"/>
    <w:basedOn w:val="af0"/>
    <w:next w:val="af0"/>
    <w:link w:val="Char7"/>
    <w:uiPriority w:val="99"/>
    <w:semiHidden/>
    <w:unhideWhenUsed/>
    <w:rsid w:val="00E55AED"/>
    <w:rPr>
      <w:b/>
      <w:bCs/>
    </w:rPr>
  </w:style>
  <w:style w:type="character" w:customStyle="1" w:styleId="Char7">
    <w:name w:val="Θέμα σχολίου Char"/>
    <w:basedOn w:val="Char6"/>
    <w:link w:val="af1"/>
    <w:uiPriority w:val="99"/>
    <w:semiHidden/>
    <w:rsid w:val="00E55AED"/>
    <w:rPr>
      <w:rFonts w:ascii="Calibri" w:eastAsia="Calibri" w:hAnsi="Calibri" w:cs="Times New Roman"/>
      <w:b/>
      <w:bCs/>
      <w:sz w:val="20"/>
      <w:szCs w:val="20"/>
      <w:lang w:val="en-GB"/>
    </w:rPr>
  </w:style>
  <w:style w:type="paragraph" w:styleId="af2">
    <w:name w:val="Revision"/>
    <w:hidden/>
    <w:uiPriority w:val="99"/>
    <w:semiHidden/>
    <w:rsid w:val="00E55AED"/>
    <w:rPr>
      <w:rFonts w:ascii="Calibri" w:eastAsia="Calibri" w:hAnsi="Calibri" w:cs="Times New Roman"/>
      <w:sz w:val="22"/>
      <w:szCs w:val="22"/>
      <w:lang w:val="en-GB"/>
    </w:rPr>
  </w:style>
  <w:style w:type="table" w:customStyle="1" w:styleId="1">
    <w:name w:val="Πλέγμα πίνακα1"/>
    <w:basedOn w:val="a1"/>
    <w:next w:val="a5"/>
    <w:uiPriority w:val="59"/>
    <w:rsid w:val="00E55AED"/>
    <w:rPr>
      <w:rFonts w:ascii="Calibri" w:eastAsia="Calibri" w:hAnsi="Calibri" w:cs="Times New Roman"/>
      <w:sz w:val="20"/>
      <w:szCs w:val="20"/>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931086">
      <w:bodyDiv w:val="1"/>
      <w:marLeft w:val="0"/>
      <w:marRight w:val="0"/>
      <w:marTop w:val="0"/>
      <w:marBottom w:val="0"/>
      <w:divBdr>
        <w:top w:val="none" w:sz="0" w:space="0" w:color="auto"/>
        <w:left w:val="none" w:sz="0" w:space="0" w:color="auto"/>
        <w:bottom w:val="none" w:sz="0" w:space="0" w:color="auto"/>
        <w:right w:val="none" w:sz="0" w:space="0" w:color="auto"/>
      </w:divBdr>
      <w:divsChild>
        <w:div w:id="1098139179">
          <w:marLeft w:val="547"/>
          <w:marRight w:val="0"/>
          <w:marTop w:val="0"/>
          <w:marBottom w:val="0"/>
          <w:divBdr>
            <w:top w:val="none" w:sz="0" w:space="0" w:color="auto"/>
            <w:left w:val="none" w:sz="0" w:space="0" w:color="auto"/>
            <w:bottom w:val="none" w:sz="0" w:space="0" w:color="auto"/>
            <w:right w:val="none" w:sz="0" w:space="0" w:color="auto"/>
          </w:divBdr>
        </w:div>
      </w:divsChild>
    </w:div>
    <w:div w:id="177355960">
      <w:bodyDiv w:val="1"/>
      <w:marLeft w:val="0"/>
      <w:marRight w:val="0"/>
      <w:marTop w:val="0"/>
      <w:marBottom w:val="0"/>
      <w:divBdr>
        <w:top w:val="none" w:sz="0" w:space="0" w:color="auto"/>
        <w:left w:val="none" w:sz="0" w:space="0" w:color="auto"/>
        <w:bottom w:val="none" w:sz="0" w:space="0" w:color="auto"/>
        <w:right w:val="none" w:sz="0" w:space="0" w:color="auto"/>
      </w:divBdr>
      <w:divsChild>
        <w:div w:id="1920745603">
          <w:marLeft w:val="547"/>
          <w:marRight w:val="0"/>
          <w:marTop w:val="0"/>
          <w:marBottom w:val="0"/>
          <w:divBdr>
            <w:top w:val="none" w:sz="0" w:space="0" w:color="auto"/>
            <w:left w:val="none" w:sz="0" w:space="0" w:color="auto"/>
            <w:bottom w:val="none" w:sz="0" w:space="0" w:color="auto"/>
            <w:right w:val="none" w:sz="0" w:space="0" w:color="auto"/>
          </w:divBdr>
        </w:div>
      </w:divsChild>
    </w:div>
    <w:div w:id="327172049">
      <w:bodyDiv w:val="1"/>
      <w:marLeft w:val="0"/>
      <w:marRight w:val="0"/>
      <w:marTop w:val="0"/>
      <w:marBottom w:val="0"/>
      <w:divBdr>
        <w:top w:val="none" w:sz="0" w:space="0" w:color="auto"/>
        <w:left w:val="none" w:sz="0" w:space="0" w:color="auto"/>
        <w:bottom w:val="none" w:sz="0" w:space="0" w:color="auto"/>
        <w:right w:val="none" w:sz="0" w:space="0" w:color="auto"/>
      </w:divBdr>
      <w:divsChild>
        <w:div w:id="1175344044">
          <w:marLeft w:val="547"/>
          <w:marRight w:val="0"/>
          <w:marTop w:val="0"/>
          <w:marBottom w:val="0"/>
          <w:divBdr>
            <w:top w:val="none" w:sz="0" w:space="0" w:color="auto"/>
            <w:left w:val="none" w:sz="0" w:space="0" w:color="auto"/>
            <w:bottom w:val="none" w:sz="0" w:space="0" w:color="auto"/>
            <w:right w:val="none" w:sz="0" w:space="0" w:color="auto"/>
          </w:divBdr>
        </w:div>
      </w:divsChild>
    </w:div>
    <w:div w:id="347635075">
      <w:bodyDiv w:val="1"/>
      <w:marLeft w:val="0"/>
      <w:marRight w:val="0"/>
      <w:marTop w:val="0"/>
      <w:marBottom w:val="0"/>
      <w:divBdr>
        <w:top w:val="none" w:sz="0" w:space="0" w:color="auto"/>
        <w:left w:val="none" w:sz="0" w:space="0" w:color="auto"/>
        <w:bottom w:val="none" w:sz="0" w:space="0" w:color="auto"/>
        <w:right w:val="none" w:sz="0" w:space="0" w:color="auto"/>
      </w:divBdr>
      <w:divsChild>
        <w:div w:id="1491748205">
          <w:marLeft w:val="547"/>
          <w:marRight w:val="0"/>
          <w:marTop w:val="0"/>
          <w:marBottom w:val="0"/>
          <w:divBdr>
            <w:top w:val="none" w:sz="0" w:space="0" w:color="auto"/>
            <w:left w:val="none" w:sz="0" w:space="0" w:color="auto"/>
            <w:bottom w:val="none" w:sz="0" w:space="0" w:color="auto"/>
            <w:right w:val="none" w:sz="0" w:space="0" w:color="auto"/>
          </w:divBdr>
        </w:div>
      </w:divsChild>
    </w:div>
    <w:div w:id="356472887">
      <w:bodyDiv w:val="1"/>
      <w:marLeft w:val="0"/>
      <w:marRight w:val="0"/>
      <w:marTop w:val="0"/>
      <w:marBottom w:val="0"/>
      <w:divBdr>
        <w:top w:val="none" w:sz="0" w:space="0" w:color="auto"/>
        <w:left w:val="none" w:sz="0" w:space="0" w:color="auto"/>
        <w:bottom w:val="none" w:sz="0" w:space="0" w:color="auto"/>
        <w:right w:val="none" w:sz="0" w:space="0" w:color="auto"/>
      </w:divBdr>
      <w:divsChild>
        <w:div w:id="2086947369">
          <w:marLeft w:val="547"/>
          <w:marRight w:val="0"/>
          <w:marTop w:val="0"/>
          <w:marBottom w:val="0"/>
          <w:divBdr>
            <w:top w:val="none" w:sz="0" w:space="0" w:color="auto"/>
            <w:left w:val="none" w:sz="0" w:space="0" w:color="auto"/>
            <w:bottom w:val="none" w:sz="0" w:space="0" w:color="auto"/>
            <w:right w:val="none" w:sz="0" w:space="0" w:color="auto"/>
          </w:divBdr>
        </w:div>
      </w:divsChild>
    </w:div>
    <w:div w:id="435560997">
      <w:bodyDiv w:val="1"/>
      <w:marLeft w:val="0"/>
      <w:marRight w:val="0"/>
      <w:marTop w:val="0"/>
      <w:marBottom w:val="0"/>
      <w:divBdr>
        <w:top w:val="none" w:sz="0" w:space="0" w:color="auto"/>
        <w:left w:val="none" w:sz="0" w:space="0" w:color="auto"/>
        <w:bottom w:val="none" w:sz="0" w:space="0" w:color="auto"/>
        <w:right w:val="none" w:sz="0" w:space="0" w:color="auto"/>
      </w:divBdr>
    </w:div>
    <w:div w:id="753433882">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8">
          <w:marLeft w:val="547"/>
          <w:marRight w:val="0"/>
          <w:marTop w:val="0"/>
          <w:marBottom w:val="0"/>
          <w:divBdr>
            <w:top w:val="none" w:sz="0" w:space="0" w:color="auto"/>
            <w:left w:val="none" w:sz="0" w:space="0" w:color="auto"/>
            <w:bottom w:val="none" w:sz="0" w:space="0" w:color="auto"/>
            <w:right w:val="none" w:sz="0" w:space="0" w:color="auto"/>
          </w:divBdr>
        </w:div>
      </w:divsChild>
    </w:div>
    <w:div w:id="8600527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881">
          <w:marLeft w:val="547"/>
          <w:marRight w:val="0"/>
          <w:marTop w:val="0"/>
          <w:marBottom w:val="0"/>
          <w:divBdr>
            <w:top w:val="none" w:sz="0" w:space="0" w:color="auto"/>
            <w:left w:val="none" w:sz="0" w:space="0" w:color="auto"/>
            <w:bottom w:val="none" w:sz="0" w:space="0" w:color="auto"/>
            <w:right w:val="none" w:sz="0" w:space="0" w:color="auto"/>
          </w:divBdr>
        </w:div>
        <w:div w:id="1287666106">
          <w:marLeft w:val="547"/>
          <w:marRight w:val="0"/>
          <w:marTop w:val="0"/>
          <w:marBottom w:val="0"/>
          <w:divBdr>
            <w:top w:val="none" w:sz="0" w:space="0" w:color="auto"/>
            <w:left w:val="none" w:sz="0" w:space="0" w:color="auto"/>
            <w:bottom w:val="none" w:sz="0" w:space="0" w:color="auto"/>
            <w:right w:val="none" w:sz="0" w:space="0" w:color="auto"/>
          </w:divBdr>
        </w:div>
        <w:div w:id="1854614159">
          <w:marLeft w:val="547"/>
          <w:marRight w:val="0"/>
          <w:marTop w:val="0"/>
          <w:marBottom w:val="0"/>
          <w:divBdr>
            <w:top w:val="none" w:sz="0" w:space="0" w:color="auto"/>
            <w:left w:val="none" w:sz="0" w:space="0" w:color="auto"/>
            <w:bottom w:val="none" w:sz="0" w:space="0" w:color="auto"/>
            <w:right w:val="none" w:sz="0" w:space="0" w:color="auto"/>
          </w:divBdr>
        </w:div>
      </w:divsChild>
    </w:div>
    <w:div w:id="877813654">
      <w:bodyDiv w:val="1"/>
      <w:marLeft w:val="0"/>
      <w:marRight w:val="0"/>
      <w:marTop w:val="0"/>
      <w:marBottom w:val="0"/>
      <w:divBdr>
        <w:top w:val="none" w:sz="0" w:space="0" w:color="auto"/>
        <w:left w:val="none" w:sz="0" w:space="0" w:color="auto"/>
        <w:bottom w:val="none" w:sz="0" w:space="0" w:color="auto"/>
        <w:right w:val="none" w:sz="0" w:space="0" w:color="auto"/>
      </w:divBdr>
      <w:divsChild>
        <w:div w:id="249898655">
          <w:marLeft w:val="547"/>
          <w:marRight w:val="0"/>
          <w:marTop w:val="0"/>
          <w:marBottom w:val="0"/>
          <w:divBdr>
            <w:top w:val="none" w:sz="0" w:space="0" w:color="auto"/>
            <w:left w:val="none" w:sz="0" w:space="0" w:color="auto"/>
            <w:bottom w:val="none" w:sz="0" w:space="0" w:color="auto"/>
            <w:right w:val="none" w:sz="0" w:space="0" w:color="auto"/>
          </w:divBdr>
        </w:div>
        <w:div w:id="317194739">
          <w:marLeft w:val="547"/>
          <w:marRight w:val="0"/>
          <w:marTop w:val="0"/>
          <w:marBottom w:val="0"/>
          <w:divBdr>
            <w:top w:val="none" w:sz="0" w:space="0" w:color="auto"/>
            <w:left w:val="none" w:sz="0" w:space="0" w:color="auto"/>
            <w:bottom w:val="none" w:sz="0" w:space="0" w:color="auto"/>
            <w:right w:val="none" w:sz="0" w:space="0" w:color="auto"/>
          </w:divBdr>
        </w:div>
        <w:div w:id="1415123624">
          <w:marLeft w:val="547"/>
          <w:marRight w:val="0"/>
          <w:marTop w:val="0"/>
          <w:marBottom w:val="0"/>
          <w:divBdr>
            <w:top w:val="none" w:sz="0" w:space="0" w:color="auto"/>
            <w:left w:val="none" w:sz="0" w:space="0" w:color="auto"/>
            <w:bottom w:val="none" w:sz="0" w:space="0" w:color="auto"/>
            <w:right w:val="none" w:sz="0" w:space="0" w:color="auto"/>
          </w:divBdr>
        </w:div>
      </w:divsChild>
    </w:div>
    <w:div w:id="927083140">
      <w:bodyDiv w:val="1"/>
      <w:marLeft w:val="0"/>
      <w:marRight w:val="0"/>
      <w:marTop w:val="0"/>
      <w:marBottom w:val="0"/>
      <w:divBdr>
        <w:top w:val="none" w:sz="0" w:space="0" w:color="auto"/>
        <w:left w:val="none" w:sz="0" w:space="0" w:color="auto"/>
        <w:bottom w:val="none" w:sz="0" w:space="0" w:color="auto"/>
        <w:right w:val="none" w:sz="0" w:space="0" w:color="auto"/>
      </w:divBdr>
      <w:divsChild>
        <w:div w:id="99955550">
          <w:marLeft w:val="547"/>
          <w:marRight w:val="0"/>
          <w:marTop w:val="0"/>
          <w:marBottom w:val="0"/>
          <w:divBdr>
            <w:top w:val="none" w:sz="0" w:space="0" w:color="auto"/>
            <w:left w:val="none" w:sz="0" w:space="0" w:color="auto"/>
            <w:bottom w:val="none" w:sz="0" w:space="0" w:color="auto"/>
            <w:right w:val="none" w:sz="0" w:space="0" w:color="auto"/>
          </w:divBdr>
        </w:div>
        <w:div w:id="502474872">
          <w:marLeft w:val="547"/>
          <w:marRight w:val="0"/>
          <w:marTop w:val="0"/>
          <w:marBottom w:val="0"/>
          <w:divBdr>
            <w:top w:val="none" w:sz="0" w:space="0" w:color="auto"/>
            <w:left w:val="none" w:sz="0" w:space="0" w:color="auto"/>
            <w:bottom w:val="none" w:sz="0" w:space="0" w:color="auto"/>
            <w:right w:val="none" w:sz="0" w:space="0" w:color="auto"/>
          </w:divBdr>
        </w:div>
        <w:div w:id="625311602">
          <w:marLeft w:val="547"/>
          <w:marRight w:val="0"/>
          <w:marTop w:val="0"/>
          <w:marBottom w:val="0"/>
          <w:divBdr>
            <w:top w:val="none" w:sz="0" w:space="0" w:color="auto"/>
            <w:left w:val="none" w:sz="0" w:space="0" w:color="auto"/>
            <w:bottom w:val="none" w:sz="0" w:space="0" w:color="auto"/>
            <w:right w:val="none" w:sz="0" w:space="0" w:color="auto"/>
          </w:divBdr>
        </w:div>
        <w:div w:id="1796094099">
          <w:marLeft w:val="547"/>
          <w:marRight w:val="0"/>
          <w:marTop w:val="0"/>
          <w:marBottom w:val="0"/>
          <w:divBdr>
            <w:top w:val="none" w:sz="0" w:space="0" w:color="auto"/>
            <w:left w:val="none" w:sz="0" w:space="0" w:color="auto"/>
            <w:bottom w:val="none" w:sz="0" w:space="0" w:color="auto"/>
            <w:right w:val="none" w:sz="0" w:space="0" w:color="auto"/>
          </w:divBdr>
        </w:div>
        <w:div w:id="1834031050">
          <w:marLeft w:val="547"/>
          <w:marRight w:val="0"/>
          <w:marTop w:val="0"/>
          <w:marBottom w:val="0"/>
          <w:divBdr>
            <w:top w:val="none" w:sz="0" w:space="0" w:color="auto"/>
            <w:left w:val="none" w:sz="0" w:space="0" w:color="auto"/>
            <w:bottom w:val="none" w:sz="0" w:space="0" w:color="auto"/>
            <w:right w:val="none" w:sz="0" w:space="0" w:color="auto"/>
          </w:divBdr>
        </w:div>
        <w:div w:id="2090106492">
          <w:marLeft w:val="547"/>
          <w:marRight w:val="0"/>
          <w:marTop w:val="0"/>
          <w:marBottom w:val="0"/>
          <w:divBdr>
            <w:top w:val="none" w:sz="0" w:space="0" w:color="auto"/>
            <w:left w:val="none" w:sz="0" w:space="0" w:color="auto"/>
            <w:bottom w:val="none" w:sz="0" w:space="0" w:color="auto"/>
            <w:right w:val="none" w:sz="0" w:space="0" w:color="auto"/>
          </w:divBdr>
        </w:div>
      </w:divsChild>
    </w:div>
    <w:div w:id="977809058">
      <w:bodyDiv w:val="1"/>
      <w:marLeft w:val="0"/>
      <w:marRight w:val="0"/>
      <w:marTop w:val="0"/>
      <w:marBottom w:val="0"/>
      <w:divBdr>
        <w:top w:val="none" w:sz="0" w:space="0" w:color="auto"/>
        <w:left w:val="none" w:sz="0" w:space="0" w:color="auto"/>
        <w:bottom w:val="none" w:sz="0" w:space="0" w:color="auto"/>
        <w:right w:val="none" w:sz="0" w:space="0" w:color="auto"/>
      </w:divBdr>
      <w:divsChild>
        <w:div w:id="1665471571">
          <w:marLeft w:val="547"/>
          <w:marRight w:val="0"/>
          <w:marTop w:val="0"/>
          <w:marBottom w:val="0"/>
          <w:divBdr>
            <w:top w:val="none" w:sz="0" w:space="0" w:color="auto"/>
            <w:left w:val="none" w:sz="0" w:space="0" w:color="auto"/>
            <w:bottom w:val="none" w:sz="0" w:space="0" w:color="auto"/>
            <w:right w:val="none" w:sz="0" w:space="0" w:color="auto"/>
          </w:divBdr>
        </w:div>
        <w:div w:id="2035880594">
          <w:marLeft w:val="547"/>
          <w:marRight w:val="0"/>
          <w:marTop w:val="0"/>
          <w:marBottom w:val="0"/>
          <w:divBdr>
            <w:top w:val="none" w:sz="0" w:space="0" w:color="auto"/>
            <w:left w:val="none" w:sz="0" w:space="0" w:color="auto"/>
            <w:bottom w:val="none" w:sz="0" w:space="0" w:color="auto"/>
            <w:right w:val="none" w:sz="0" w:space="0" w:color="auto"/>
          </w:divBdr>
        </w:div>
      </w:divsChild>
    </w:div>
    <w:div w:id="1103651373">
      <w:bodyDiv w:val="1"/>
      <w:marLeft w:val="0"/>
      <w:marRight w:val="0"/>
      <w:marTop w:val="0"/>
      <w:marBottom w:val="0"/>
      <w:divBdr>
        <w:top w:val="none" w:sz="0" w:space="0" w:color="auto"/>
        <w:left w:val="none" w:sz="0" w:space="0" w:color="auto"/>
        <w:bottom w:val="none" w:sz="0" w:space="0" w:color="auto"/>
        <w:right w:val="none" w:sz="0" w:space="0" w:color="auto"/>
      </w:divBdr>
      <w:divsChild>
        <w:div w:id="83646765">
          <w:marLeft w:val="547"/>
          <w:marRight w:val="0"/>
          <w:marTop w:val="0"/>
          <w:marBottom w:val="0"/>
          <w:divBdr>
            <w:top w:val="none" w:sz="0" w:space="0" w:color="auto"/>
            <w:left w:val="none" w:sz="0" w:space="0" w:color="auto"/>
            <w:bottom w:val="none" w:sz="0" w:space="0" w:color="auto"/>
            <w:right w:val="none" w:sz="0" w:space="0" w:color="auto"/>
          </w:divBdr>
        </w:div>
        <w:div w:id="750927156">
          <w:marLeft w:val="547"/>
          <w:marRight w:val="0"/>
          <w:marTop w:val="0"/>
          <w:marBottom w:val="0"/>
          <w:divBdr>
            <w:top w:val="none" w:sz="0" w:space="0" w:color="auto"/>
            <w:left w:val="none" w:sz="0" w:space="0" w:color="auto"/>
            <w:bottom w:val="none" w:sz="0" w:space="0" w:color="auto"/>
            <w:right w:val="none" w:sz="0" w:space="0" w:color="auto"/>
          </w:divBdr>
        </w:div>
        <w:div w:id="821311501">
          <w:marLeft w:val="547"/>
          <w:marRight w:val="0"/>
          <w:marTop w:val="0"/>
          <w:marBottom w:val="0"/>
          <w:divBdr>
            <w:top w:val="none" w:sz="0" w:space="0" w:color="auto"/>
            <w:left w:val="none" w:sz="0" w:space="0" w:color="auto"/>
            <w:bottom w:val="none" w:sz="0" w:space="0" w:color="auto"/>
            <w:right w:val="none" w:sz="0" w:space="0" w:color="auto"/>
          </w:divBdr>
        </w:div>
      </w:divsChild>
    </w:div>
    <w:div w:id="1258951768">
      <w:bodyDiv w:val="1"/>
      <w:marLeft w:val="0"/>
      <w:marRight w:val="0"/>
      <w:marTop w:val="0"/>
      <w:marBottom w:val="0"/>
      <w:divBdr>
        <w:top w:val="none" w:sz="0" w:space="0" w:color="auto"/>
        <w:left w:val="none" w:sz="0" w:space="0" w:color="auto"/>
        <w:bottom w:val="none" w:sz="0" w:space="0" w:color="auto"/>
        <w:right w:val="none" w:sz="0" w:space="0" w:color="auto"/>
      </w:divBdr>
      <w:divsChild>
        <w:div w:id="1170295705">
          <w:marLeft w:val="547"/>
          <w:marRight w:val="0"/>
          <w:marTop w:val="0"/>
          <w:marBottom w:val="0"/>
          <w:divBdr>
            <w:top w:val="none" w:sz="0" w:space="0" w:color="auto"/>
            <w:left w:val="none" w:sz="0" w:space="0" w:color="auto"/>
            <w:bottom w:val="none" w:sz="0" w:space="0" w:color="auto"/>
            <w:right w:val="none" w:sz="0" w:space="0" w:color="auto"/>
          </w:divBdr>
        </w:div>
      </w:divsChild>
    </w:div>
    <w:div w:id="1353605530">
      <w:bodyDiv w:val="1"/>
      <w:marLeft w:val="0"/>
      <w:marRight w:val="0"/>
      <w:marTop w:val="0"/>
      <w:marBottom w:val="0"/>
      <w:divBdr>
        <w:top w:val="none" w:sz="0" w:space="0" w:color="auto"/>
        <w:left w:val="none" w:sz="0" w:space="0" w:color="auto"/>
        <w:bottom w:val="none" w:sz="0" w:space="0" w:color="auto"/>
        <w:right w:val="none" w:sz="0" w:space="0" w:color="auto"/>
      </w:divBdr>
    </w:div>
    <w:div w:id="1824659021">
      <w:bodyDiv w:val="1"/>
      <w:marLeft w:val="0"/>
      <w:marRight w:val="0"/>
      <w:marTop w:val="0"/>
      <w:marBottom w:val="0"/>
      <w:divBdr>
        <w:top w:val="none" w:sz="0" w:space="0" w:color="auto"/>
        <w:left w:val="none" w:sz="0" w:space="0" w:color="auto"/>
        <w:bottom w:val="none" w:sz="0" w:space="0" w:color="auto"/>
        <w:right w:val="none" w:sz="0" w:space="0" w:color="auto"/>
      </w:divBdr>
      <w:divsChild>
        <w:div w:id="591355327">
          <w:marLeft w:val="547"/>
          <w:marRight w:val="0"/>
          <w:marTop w:val="0"/>
          <w:marBottom w:val="0"/>
          <w:divBdr>
            <w:top w:val="none" w:sz="0" w:space="0" w:color="auto"/>
            <w:left w:val="none" w:sz="0" w:space="0" w:color="auto"/>
            <w:bottom w:val="none" w:sz="0" w:space="0" w:color="auto"/>
            <w:right w:val="none" w:sz="0" w:space="0" w:color="auto"/>
          </w:divBdr>
        </w:div>
        <w:div w:id="1155561366">
          <w:marLeft w:val="547"/>
          <w:marRight w:val="0"/>
          <w:marTop w:val="0"/>
          <w:marBottom w:val="0"/>
          <w:divBdr>
            <w:top w:val="none" w:sz="0" w:space="0" w:color="auto"/>
            <w:left w:val="none" w:sz="0" w:space="0" w:color="auto"/>
            <w:bottom w:val="none" w:sz="0" w:space="0" w:color="auto"/>
            <w:right w:val="none" w:sz="0" w:space="0" w:color="auto"/>
          </w:divBdr>
        </w:div>
      </w:divsChild>
    </w:div>
    <w:div w:id="1889300571">
      <w:bodyDiv w:val="1"/>
      <w:marLeft w:val="0"/>
      <w:marRight w:val="0"/>
      <w:marTop w:val="0"/>
      <w:marBottom w:val="0"/>
      <w:divBdr>
        <w:top w:val="none" w:sz="0" w:space="0" w:color="auto"/>
        <w:left w:val="none" w:sz="0" w:space="0" w:color="auto"/>
        <w:bottom w:val="none" w:sz="0" w:space="0" w:color="auto"/>
        <w:right w:val="none" w:sz="0" w:space="0" w:color="auto"/>
      </w:divBdr>
      <w:divsChild>
        <w:div w:id="582299367">
          <w:marLeft w:val="547"/>
          <w:marRight w:val="0"/>
          <w:marTop w:val="0"/>
          <w:marBottom w:val="0"/>
          <w:divBdr>
            <w:top w:val="none" w:sz="0" w:space="0" w:color="auto"/>
            <w:left w:val="none" w:sz="0" w:space="0" w:color="auto"/>
            <w:bottom w:val="none" w:sz="0" w:space="0" w:color="auto"/>
            <w:right w:val="none" w:sz="0" w:space="0" w:color="auto"/>
          </w:divBdr>
        </w:div>
      </w:divsChild>
    </w:div>
    <w:div w:id="2009559431">
      <w:bodyDiv w:val="1"/>
      <w:marLeft w:val="0"/>
      <w:marRight w:val="0"/>
      <w:marTop w:val="0"/>
      <w:marBottom w:val="0"/>
      <w:divBdr>
        <w:top w:val="none" w:sz="0" w:space="0" w:color="auto"/>
        <w:left w:val="none" w:sz="0" w:space="0" w:color="auto"/>
        <w:bottom w:val="none" w:sz="0" w:space="0" w:color="auto"/>
        <w:right w:val="none" w:sz="0" w:space="0" w:color="auto"/>
      </w:divBdr>
    </w:div>
    <w:div w:id="2062248191">
      <w:bodyDiv w:val="1"/>
      <w:marLeft w:val="0"/>
      <w:marRight w:val="0"/>
      <w:marTop w:val="0"/>
      <w:marBottom w:val="0"/>
      <w:divBdr>
        <w:top w:val="none" w:sz="0" w:space="0" w:color="auto"/>
        <w:left w:val="none" w:sz="0" w:space="0" w:color="auto"/>
        <w:bottom w:val="none" w:sz="0" w:space="0" w:color="auto"/>
        <w:right w:val="none" w:sz="0" w:space="0" w:color="auto"/>
      </w:divBdr>
      <w:divsChild>
        <w:div w:id="368838826">
          <w:marLeft w:val="547"/>
          <w:marRight w:val="0"/>
          <w:marTop w:val="0"/>
          <w:marBottom w:val="0"/>
          <w:divBdr>
            <w:top w:val="none" w:sz="0" w:space="0" w:color="auto"/>
            <w:left w:val="none" w:sz="0" w:space="0" w:color="auto"/>
            <w:bottom w:val="none" w:sz="0" w:space="0" w:color="auto"/>
            <w:right w:val="none" w:sz="0" w:space="0" w:color="auto"/>
          </w:divBdr>
        </w:div>
      </w:divsChild>
    </w:div>
    <w:div w:id="2108453037">
      <w:bodyDiv w:val="1"/>
      <w:marLeft w:val="0"/>
      <w:marRight w:val="0"/>
      <w:marTop w:val="0"/>
      <w:marBottom w:val="0"/>
      <w:divBdr>
        <w:top w:val="none" w:sz="0" w:space="0" w:color="auto"/>
        <w:left w:val="none" w:sz="0" w:space="0" w:color="auto"/>
        <w:bottom w:val="none" w:sz="0" w:space="0" w:color="auto"/>
        <w:right w:val="none" w:sz="0" w:space="0" w:color="auto"/>
      </w:divBdr>
      <w:divsChild>
        <w:div w:id="19512037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_____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_________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_____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______________Microsoft_Office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plotArea>
      <c:layout>
        <c:manualLayout>
          <c:layoutTarget val="inner"/>
          <c:xMode val="edge"/>
          <c:yMode val="edge"/>
          <c:x val="2.0924944478094096E-2"/>
          <c:y val="3.0610728022583449E-2"/>
          <c:w val="0.95750978917269458"/>
          <c:h val="0.73920413873885604"/>
        </c:manualLayout>
      </c:layout>
      <c:barChart>
        <c:barDir val="col"/>
        <c:grouping val="stacked"/>
        <c:ser>
          <c:idx val="1"/>
          <c:order val="0"/>
          <c:tx>
            <c:strRef>
              <c:f>Sheet1!$A$2</c:f>
              <c:strCache>
                <c:ptCount val="1"/>
                <c:pt idx="0">
                  <c:v>Uncovered</c:v>
                </c:pt>
              </c:strCache>
            </c:strRef>
          </c:tx>
          <c:spPr>
            <a:solidFill>
              <a:srgbClr val="008080"/>
            </a:solidFill>
            <a:ln>
              <a:solidFill>
                <a:srgbClr val="008080"/>
              </a:solidFill>
            </a:ln>
          </c:spPr>
          <c:dPt>
            <c:idx val="4"/>
            <c:spPr>
              <a:solidFill>
                <a:srgbClr val="FF7415"/>
              </a:solidFill>
              <a:ln>
                <a:solidFill>
                  <a:srgbClr val="FF7415"/>
                </a:solidFill>
              </a:ln>
            </c:spPr>
          </c:dPt>
          <c:dPt>
            <c:idx val="5"/>
            <c:spPr>
              <a:solidFill>
                <a:srgbClr val="FF7415"/>
              </a:solidFill>
              <a:ln>
                <a:solidFill>
                  <a:srgbClr val="FF7415"/>
                </a:solidFill>
              </a:ln>
            </c:spPr>
          </c:dPt>
          <c:dLbls>
            <c:dLbl>
              <c:idx val="0"/>
              <c:layout>
                <c:manualLayout>
                  <c:x val="-5.0000000000000036E-3"/>
                  <c:y val="-3.6457608496612476E-2"/>
                </c:manualLayout>
              </c:layout>
              <c:tx>
                <c:rich>
                  <a:bodyPr/>
                  <a:lstStyle/>
                  <a:p>
                    <a:r>
                      <a:rPr lang="en-US" sz="600" dirty="0" smtClean="0"/>
                      <a:t>57%</a:t>
                    </a:r>
                    <a:endParaRPr lang="en-US" dirty="0"/>
                  </a:p>
                </c:rich>
              </c:tx>
              <c:dLblPos val="ctr"/>
              <c:extLst>
                <c:ext xmlns:c15="http://schemas.microsoft.com/office/drawing/2012/chart" uri="{CE6537A1-D6FC-4f65-9D91-7224C49458BB}">
                  <c15:layout/>
                </c:ext>
              </c:extLst>
            </c:dLbl>
            <c:dLbl>
              <c:idx val="1"/>
              <c:tx>
                <c:rich>
                  <a:bodyPr/>
                  <a:lstStyle/>
                  <a:p>
                    <a:r>
                      <a:rPr lang="en-US" sz="600" dirty="0" smtClean="0"/>
                      <a:t>118%</a:t>
                    </a:r>
                    <a:endParaRPr lang="en-US" dirty="0"/>
                  </a:p>
                </c:rich>
              </c:tx>
              <c:dLblPos val="inEnd"/>
              <c:extLst>
                <c:ext xmlns:c15="http://schemas.microsoft.com/office/drawing/2012/chart" uri="{CE6537A1-D6FC-4f65-9D91-7224C49458BB}">
                  <c15:layout/>
                </c:ext>
              </c:extLst>
            </c:dLbl>
            <c:dLbl>
              <c:idx val="2"/>
              <c:tx>
                <c:rich>
                  <a:bodyPr/>
                  <a:lstStyle/>
                  <a:p>
                    <a:r>
                      <a:rPr lang="en-US" sz="600" dirty="0" smtClean="0"/>
                      <a:t>106%</a:t>
                    </a:r>
                    <a:endParaRPr lang="en-US" dirty="0"/>
                  </a:p>
                </c:rich>
              </c:tx>
              <c:dLblPos val="inEnd"/>
              <c:extLst>
                <c:ext xmlns:c15="http://schemas.microsoft.com/office/drawing/2012/chart" uri="{CE6537A1-D6FC-4f65-9D91-7224C49458BB}">
                  <c15:layout/>
                </c:ext>
              </c:extLst>
            </c:dLbl>
            <c:dLbl>
              <c:idx val="3"/>
              <c:layout>
                <c:manualLayout>
                  <c:x val="-5.0000000000000929E-3"/>
                  <c:y val="-1.32759567844717E-2"/>
                </c:manualLayout>
              </c:layout>
              <c:tx>
                <c:rich>
                  <a:bodyPr/>
                  <a:lstStyle/>
                  <a:p>
                    <a:r>
                      <a:rPr lang="en-US" sz="600" dirty="0" smtClean="0"/>
                      <a:t>133%</a:t>
                    </a:r>
                    <a:endParaRPr lang="en-US" dirty="0"/>
                  </a:p>
                </c:rich>
              </c:tx>
              <c:dLblPos val="ctr"/>
              <c:extLst>
                <c:ext xmlns:c15="http://schemas.microsoft.com/office/drawing/2012/chart" uri="{CE6537A1-D6FC-4f65-9D91-7224C49458BB}">
                  <c15:layout/>
                </c:ext>
              </c:extLst>
            </c:dLbl>
            <c:dLbl>
              <c:idx val="4"/>
              <c:layout>
                <c:manualLayout>
                  <c:x val="0"/>
                  <c:y val="-1.6020875297564581E-2"/>
                </c:manualLayout>
              </c:layout>
              <c:tx>
                <c:rich>
                  <a:bodyPr/>
                  <a:lstStyle/>
                  <a:p>
                    <a:pPr>
                      <a:defRPr lang="el-GR" sz="600" b="1"/>
                    </a:pPr>
                    <a:r>
                      <a:rPr lang="en-US" sz="600" b="1" dirty="0" smtClean="0"/>
                      <a:t>81,9%</a:t>
                    </a:r>
                    <a:endParaRPr lang="en-US" b="1" dirty="0"/>
                  </a:p>
                </c:rich>
              </c:tx>
              <c:numFmt formatCode="0.0%" sourceLinked="0"/>
              <c:spPr>
                <a:solidFill>
                  <a:schemeClr val="bg1"/>
                </a:solidFill>
                <a:ln>
                  <a:solidFill>
                    <a:srgbClr val="FF7415"/>
                  </a:solidFill>
                </a:ln>
              </c:spPr>
              <c:dLblPos val="ctr"/>
              <c:extLst>
                <c:ext xmlns:c15="http://schemas.microsoft.com/office/drawing/2012/chart" uri="{CE6537A1-D6FC-4f65-9D91-7224C49458BB}">
                  <c15:layout/>
                </c:ext>
              </c:extLst>
            </c:dLbl>
            <c:dLbl>
              <c:idx val="5"/>
              <c:layout>
                <c:manualLayout>
                  <c:x val="0"/>
                  <c:y val="-2.9144845266434745E-2"/>
                </c:manualLayout>
              </c:layout>
              <c:tx>
                <c:rich>
                  <a:bodyPr wrap="square" lIns="38100" tIns="19050" rIns="38100" bIns="19050" anchor="ctr">
                    <a:spAutoFit/>
                  </a:bodyPr>
                  <a:lstStyle/>
                  <a:p>
                    <a:pPr>
                      <a:defRPr lang="el-GR" sz="600" b="1"/>
                    </a:pPr>
                    <a:r>
                      <a:rPr lang="en-US" sz="600" dirty="0" smtClean="0"/>
                      <a:t>81,9%</a:t>
                    </a:r>
                    <a:endParaRPr lang="en-US" dirty="0"/>
                  </a:p>
                </c:rich>
              </c:tx>
              <c:numFmt formatCode="0.0%" sourceLinked="0"/>
              <c:spPr>
                <a:solidFill>
                  <a:srgbClr val="FFFFFF"/>
                </a:solidFill>
                <a:ln>
                  <a:solidFill>
                    <a:srgbClr val="FF7415"/>
                  </a:solidFill>
                </a:ln>
                <a:effectLst/>
              </c:spPr>
              <c:dLblPos val="ctr"/>
              <c:showVal val="1"/>
              <c:extLst>
                <c:ext xmlns:c15="http://schemas.microsoft.com/office/drawing/2012/chart" uri="{CE6537A1-D6FC-4f65-9D91-7224C49458BB}">
                  <c15:layout/>
                </c:ext>
              </c:extLst>
            </c:dLbl>
            <c:dLbl>
              <c:idx val="6"/>
              <c:tx>
                <c:rich>
                  <a:bodyPr/>
                  <a:lstStyle/>
                  <a:p>
                    <a:pPr>
                      <a:defRPr lang="el-GR" sz="600" b="1"/>
                    </a:pPr>
                    <a:r>
                      <a:rPr lang="en-US" sz="600" b="1" dirty="0" smtClean="0"/>
                      <a:t>53%</a:t>
                    </a:r>
                    <a:endParaRPr lang="en-US" b="1" dirty="0"/>
                  </a:p>
                </c:rich>
              </c:tx>
              <c:numFmt formatCode="0.0%" sourceLinked="0"/>
              <c:spPr>
                <a:solidFill>
                  <a:schemeClr val="bg1"/>
                </a:solidFill>
                <a:ln>
                  <a:solidFill>
                    <a:srgbClr val="008080"/>
                  </a:solidFill>
                </a:ln>
              </c:spPr>
              <c:dLblPos val="inEnd"/>
              <c:showVal val="1"/>
              <c:extLst>
                <c:ext xmlns:c15="http://schemas.microsoft.com/office/drawing/2012/chart" uri="{CE6537A1-D6FC-4f65-9D91-7224C49458BB}"/>
              </c:extLst>
            </c:dLbl>
            <c:numFmt formatCode="0.0%" sourceLinked="0"/>
            <c:spPr>
              <a:solidFill>
                <a:schemeClr val="bg1"/>
              </a:solidFill>
              <a:ln>
                <a:solidFill>
                  <a:srgbClr val="008080"/>
                </a:solidFill>
              </a:ln>
            </c:spPr>
            <c:txPr>
              <a:bodyPr/>
              <a:lstStyle/>
              <a:p>
                <a:pPr>
                  <a:defRPr lang="el-GR" sz="600"/>
                </a:pPr>
                <a:endParaRPr lang="el-GR"/>
              </a:p>
            </c:txPr>
            <c:dLblPos val="inEnd"/>
            <c:showVal val="1"/>
            <c:extLst>
              <c:ext xmlns:c15="http://schemas.microsoft.com/office/drawing/2012/chart" uri="{CE6537A1-D6FC-4f65-9D91-7224C49458BB}">
                <c15:showLeaderLines val="1"/>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Sheet1!$B$2:$G$2</c:f>
              <c:numCache>
                <c:formatCode>0.0%</c:formatCode>
                <c:ptCount val="6"/>
                <c:pt idx="0">
                  <c:v>0.18264524469482893</c:v>
                </c:pt>
                <c:pt idx="1">
                  <c:v>0.27763123539888235</c:v>
                </c:pt>
                <c:pt idx="2">
                  <c:v>0.45201005684016365</c:v>
                </c:pt>
                <c:pt idx="3">
                  <c:v>0.12150292774482517</c:v>
                </c:pt>
                <c:pt idx="4">
                  <c:v>0.17522769421984014</c:v>
                </c:pt>
                <c:pt idx="5">
                  <c:v>0.17082991524687868</c:v>
                </c:pt>
              </c:numCache>
            </c:numRef>
          </c:val>
        </c:ser>
        <c:ser>
          <c:idx val="0"/>
          <c:order val="1"/>
          <c:tx>
            <c:strRef>
              <c:f>Sheet1!$A$3</c:f>
              <c:strCache>
                <c:ptCount val="1"/>
                <c:pt idx="0">
                  <c:v>Covered</c:v>
                </c:pt>
              </c:strCache>
            </c:strRef>
          </c:tx>
          <c:spPr>
            <a:noFill/>
            <a:ln>
              <a:solidFill>
                <a:srgbClr val="008080"/>
              </a:solidFill>
            </a:ln>
          </c:spPr>
          <c:dPt>
            <c:idx val="4"/>
            <c:spPr>
              <a:noFill/>
              <a:ln>
                <a:solidFill>
                  <a:srgbClr val="FF7415"/>
                </a:solidFill>
              </a:ln>
            </c:spPr>
          </c:dPt>
          <c:dPt>
            <c:idx val="5"/>
            <c:spPr>
              <a:noFill/>
              <a:ln>
                <a:solidFill>
                  <a:srgbClr val="FF7415"/>
                </a:solidFill>
              </a:ln>
            </c:spPr>
          </c:dPt>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Sheet1!$B$3:$G$3</c:f>
              <c:numCache>
                <c:formatCode>0.0%</c:formatCode>
                <c:ptCount val="6"/>
                <c:pt idx="0">
                  <c:v>0.13663960063471978</c:v>
                </c:pt>
                <c:pt idx="1">
                  <c:v>-4.2464179987694563E-2</c:v>
                </c:pt>
                <c:pt idx="2">
                  <c:v>-2.6691361625150251E-2</c:v>
                </c:pt>
                <c:pt idx="3">
                  <c:v>-3.0437224871581039E-2</c:v>
                </c:pt>
                <c:pt idx="4">
                  <c:v>3.8842766574285717E-2</c:v>
                </c:pt>
                <c:pt idx="5">
                  <c:v>3.7748666025593972E-2</c:v>
                </c:pt>
              </c:numCache>
            </c:numRef>
          </c:val>
        </c:ser>
        <c:ser>
          <c:idx val="2"/>
          <c:order val="2"/>
          <c:tx>
            <c:strRef>
              <c:f>Sheet1!$A$4</c:f>
              <c:strCache>
                <c:ptCount val="1"/>
                <c:pt idx="0">
                  <c:v>NPLs</c:v>
                </c:pt>
              </c:strCache>
            </c:strRef>
          </c:tx>
          <c:spPr>
            <a:noFill/>
          </c:spPr>
          <c:dLbls>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
            <c:dLbl>
              <c:idx val="4"/>
              <c:tx>
                <c:rich>
                  <a:bodyPr/>
                  <a:lstStyle/>
                  <a:p>
                    <a:pPr>
                      <a:defRPr lang="el-GR" sz="600" b="1">
                        <a:latin typeface="Segoe UI" pitchFamily="34" charset="0"/>
                        <a:ea typeface="Segoe UI" pitchFamily="34" charset="0"/>
                        <a:cs typeface="Segoe UI" pitchFamily="34" charset="0"/>
                      </a:defRPr>
                    </a:pPr>
                    <a:r>
                      <a:rPr lang="en-US"/>
                      <a:t>21,4%</a:t>
                    </a:r>
                  </a:p>
                </c:rich>
              </c:tx>
              <c:numFmt formatCode="0.0%" sourceLinked="0"/>
              <c:spPr/>
              <c:dLblPos val="inBase"/>
              <c:showVal val="1"/>
              <c:extLst>
                <c:ext xmlns:c15="http://schemas.microsoft.com/office/drawing/2012/chart" uri="{CE6537A1-D6FC-4f65-9D91-7224C49458BB}">
                  <c15:layout/>
                </c:ext>
              </c:extLst>
            </c:dLbl>
            <c:dLbl>
              <c:idx val="5"/>
              <c:tx>
                <c:rich>
                  <a:bodyPr/>
                  <a:lstStyle/>
                  <a:p>
                    <a:pPr>
                      <a:defRPr lang="el-GR" sz="600" b="1">
                        <a:latin typeface="Segoe UI" pitchFamily="34" charset="0"/>
                        <a:ea typeface="Segoe UI" pitchFamily="34" charset="0"/>
                        <a:cs typeface="Segoe UI" pitchFamily="34" charset="0"/>
                      </a:defRPr>
                    </a:pPr>
                    <a:r>
                      <a:rPr lang="en-US"/>
                      <a:t>20,9%</a:t>
                    </a:r>
                  </a:p>
                </c:rich>
              </c:tx>
              <c:numFmt formatCode="0.0%" sourceLinked="0"/>
              <c:spPr>
                <a:noFill/>
                <a:ln>
                  <a:noFill/>
                </a:ln>
                <a:effectLst/>
              </c:spPr>
              <c:dLblPos val="inBase"/>
              <c:showVal val="1"/>
              <c:extLst>
                <c:ext xmlns:c15="http://schemas.microsoft.com/office/drawing/2012/chart" uri="{CE6537A1-D6FC-4f65-9D91-7224C49458BB}">
                  <c15:layout/>
                </c:ext>
              </c:extLst>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Val val="1"/>
            <c:extLst>
              <c:ext xmlns:c15="http://schemas.microsoft.com/office/drawing/2012/chart" uri="{CE6537A1-D6FC-4f65-9D91-7224C49458BB}">
                <c15:layout/>
                <c15:showLeaderLines val="0"/>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Sheet1!$B$4:$G$4</c:f>
              <c:numCache>
                <c:formatCode>0.0%</c:formatCode>
                <c:ptCount val="6"/>
                <c:pt idx="0">
                  <c:v>0.31928484532954893</c:v>
                </c:pt>
                <c:pt idx="1">
                  <c:v>0.23516705541118771</c:v>
                </c:pt>
                <c:pt idx="2">
                  <c:v>0.4253186952150137</c:v>
                </c:pt>
                <c:pt idx="3">
                  <c:v>9.1065702873244198E-2</c:v>
                </c:pt>
                <c:pt idx="4">
                  <c:v>0.21407046079412592</c:v>
                </c:pt>
                <c:pt idx="5">
                  <c:v>0.20857858127247275</c:v>
                </c:pt>
              </c:numCache>
            </c:numRef>
          </c:val>
        </c:ser>
        <c:gapWidth val="500"/>
        <c:overlap val="100"/>
        <c:axId val="172482944"/>
        <c:axId val="172484480"/>
      </c:barChart>
      <c:catAx>
        <c:axId val="172482944"/>
        <c:scaling>
          <c:orientation val="minMax"/>
        </c:scaling>
        <c:axPos val="b"/>
        <c:numFmt formatCode="General" sourceLinked="1"/>
        <c:majorTickMark val="none"/>
        <c:tickLblPos val="nextTo"/>
        <c:spPr>
          <a:ln>
            <a:solidFill>
              <a:schemeClr val="bg1">
                <a:lumMod val="75000"/>
              </a:schemeClr>
            </a:solidFill>
          </a:ln>
        </c:spPr>
        <c:txPr>
          <a:bodyPr/>
          <a:lstStyle/>
          <a:p>
            <a:pPr>
              <a:defRPr lang="el-GR" sz="550"/>
            </a:pPr>
            <a:endParaRPr lang="el-GR"/>
          </a:p>
        </c:txPr>
        <c:crossAx val="172484480"/>
        <c:crosses val="autoZero"/>
        <c:auto val="1"/>
        <c:lblAlgn val="ctr"/>
        <c:lblOffset val="100"/>
      </c:catAx>
      <c:valAx>
        <c:axId val="172484480"/>
        <c:scaling>
          <c:orientation val="minMax"/>
          <c:max val="0.8"/>
          <c:min val="0"/>
        </c:scaling>
        <c:delete val="1"/>
        <c:axPos val="l"/>
        <c:numFmt formatCode="0.0%" sourceLinked="1"/>
        <c:tickLblPos val="none"/>
        <c:crossAx val="172482944"/>
        <c:crosses val="autoZero"/>
        <c:crossBetween val="between"/>
        <c:minorUnit val="4"/>
      </c:valAx>
      <c:spPr>
        <a:noFill/>
        <a:ln w="25400">
          <a:noFill/>
        </a:ln>
      </c:spPr>
    </c:plotArea>
    <c:plotVisOnly val="1"/>
    <c:dispBlanksAs val="gap"/>
  </c:chart>
  <c:spPr>
    <a:ln>
      <a:solidFill>
        <a:sysClr val="window" lastClr="FFFFFF">
          <a:lumMod val="75000"/>
        </a:sysClr>
      </a:solidFill>
    </a:ln>
  </c:spPr>
  <c:txPr>
    <a:bodyPr/>
    <a:lstStyle/>
    <a:p>
      <a:pPr>
        <a:defRPr sz="1797"/>
      </a:pPr>
      <a:endParaRPr lang="el-G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plotArea>
      <c:layout>
        <c:manualLayout>
          <c:layoutTarget val="inner"/>
          <c:xMode val="edge"/>
          <c:yMode val="edge"/>
          <c:x val="2.0924944478094096E-2"/>
          <c:y val="3.0610728022583442E-2"/>
          <c:w val="0.96401967992651361"/>
          <c:h val="0.73155931328256141"/>
        </c:manualLayout>
      </c:layout>
      <c:barChart>
        <c:barDir val="col"/>
        <c:grouping val="stacked"/>
        <c:ser>
          <c:idx val="1"/>
          <c:order val="0"/>
          <c:tx>
            <c:strRef>
              <c:f>Sheet1!$A$2</c:f>
              <c:strCache>
                <c:ptCount val="1"/>
                <c:pt idx="0">
                  <c:v>Uncovered</c:v>
                </c:pt>
              </c:strCache>
            </c:strRef>
          </c:tx>
          <c:spPr>
            <a:solidFill>
              <a:srgbClr val="008080"/>
            </a:solidFill>
            <a:ln>
              <a:solidFill>
                <a:srgbClr val="008080"/>
              </a:solidFill>
            </a:ln>
          </c:spPr>
          <c:dPt>
            <c:idx val="4"/>
            <c:spPr>
              <a:solidFill>
                <a:srgbClr val="FF7415"/>
              </a:solidFill>
              <a:ln>
                <a:solidFill>
                  <a:srgbClr val="FF7415"/>
                </a:solidFill>
              </a:ln>
            </c:spPr>
          </c:dPt>
          <c:dPt>
            <c:idx val="5"/>
            <c:spPr>
              <a:solidFill>
                <a:srgbClr val="FF7415"/>
              </a:solidFill>
              <a:ln>
                <a:solidFill>
                  <a:srgbClr val="FF7415"/>
                </a:solidFill>
              </a:ln>
            </c:spPr>
          </c:dPt>
          <c:dLbls>
            <c:dLbl>
              <c:idx val="0"/>
              <c:layout>
                <c:manualLayout>
                  <c:x val="-5.0000000000000036E-3"/>
                  <c:y val="-3.6457608496612476E-2"/>
                </c:manualLayout>
              </c:layout>
              <c:tx>
                <c:rich>
                  <a:bodyPr/>
                  <a:lstStyle/>
                  <a:p>
                    <a:r>
                      <a:rPr lang="en-US" sz="600" dirty="0" smtClean="0"/>
                      <a:t>42%</a:t>
                    </a:r>
                    <a:endParaRPr lang="en-US" dirty="0"/>
                  </a:p>
                </c:rich>
              </c:tx>
              <c:dLblPos val="ctr"/>
              <c:extLst>
                <c:ext xmlns:c15="http://schemas.microsoft.com/office/drawing/2012/chart" uri="{CE6537A1-D6FC-4f65-9D91-7224C49458BB}">
                  <c15:layout/>
                </c:ext>
              </c:extLst>
            </c:dLbl>
            <c:dLbl>
              <c:idx val="1"/>
              <c:tx>
                <c:rich>
                  <a:bodyPr/>
                  <a:lstStyle/>
                  <a:p>
                    <a:r>
                      <a:rPr lang="en-US" sz="600" dirty="0" smtClean="0"/>
                      <a:t>93%</a:t>
                    </a:r>
                    <a:endParaRPr lang="en-US" dirty="0"/>
                  </a:p>
                </c:rich>
              </c:tx>
              <c:dLblPos val="inEnd"/>
              <c:extLst>
                <c:ext xmlns:c15="http://schemas.microsoft.com/office/drawing/2012/chart" uri="{CE6537A1-D6FC-4f65-9D91-7224C49458BB}">
                  <c15:layout/>
                </c:ext>
              </c:extLst>
            </c:dLbl>
            <c:dLbl>
              <c:idx val="2"/>
              <c:tx>
                <c:rich>
                  <a:bodyPr/>
                  <a:lstStyle/>
                  <a:p>
                    <a:r>
                      <a:rPr lang="en-US" sz="600" dirty="0" smtClean="0"/>
                      <a:t>90%</a:t>
                    </a:r>
                    <a:endParaRPr lang="en-US" dirty="0"/>
                  </a:p>
                </c:rich>
              </c:tx>
              <c:dLblPos val="inEnd"/>
              <c:extLst>
                <c:ext xmlns:c15="http://schemas.microsoft.com/office/drawing/2012/chart" uri="{CE6537A1-D6FC-4f65-9D91-7224C49458BB}">
                  <c15:layout/>
                </c:ext>
              </c:extLst>
            </c:dLbl>
            <c:dLbl>
              <c:idx val="3"/>
              <c:layout>
                <c:manualLayout>
                  <c:x val="-5.000000000000092E-3"/>
                  <c:y val="-1.32759567844717E-2"/>
                </c:manualLayout>
              </c:layout>
              <c:tx>
                <c:rich>
                  <a:bodyPr/>
                  <a:lstStyle/>
                  <a:p>
                    <a:r>
                      <a:rPr lang="en-US" sz="600" dirty="0" smtClean="0"/>
                      <a:t>71%</a:t>
                    </a:r>
                    <a:endParaRPr lang="en-US" dirty="0"/>
                  </a:p>
                </c:rich>
              </c:tx>
              <c:dLblPos val="ctr"/>
              <c:extLst>
                <c:ext xmlns:c15="http://schemas.microsoft.com/office/drawing/2012/chart" uri="{CE6537A1-D6FC-4f65-9D91-7224C49458BB}">
                  <c15:layout/>
                </c:ext>
              </c:extLst>
            </c:dLbl>
            <c:dLbl>
              <c:idx val="4"/>
              <c:layout>
                <c:manualLayout>
                  <c:x val="0"/>
                  <c:y val="-1.6020875297564578E-2"/>
                </c:manualLayout>
              </c:layout>
              <c:tx>
                <c:rich>
                  <a:bodyPr/>
                  <a:lstStyle/>
                  <a:p>
                    <a:pPr>
                      <a:defRPr lang="el-GR" sz="600" b="1"/>
                    </a:pPr>
                    <a:r>
                      <a:rPr lang="en-US" sz="600" b="1" dirty="0" smtClean="0"/>
                      <a:t>56,9%</a:t>
                    </a:r>
                    <a:endParaRPr lang="en-US" b="1" dirty="0"/>
                  </a:p>
                </c:rich>
              </c:tx>
              <c:numFmt formatCode="0.0%" sourceLinked="0"/>
              <c:spPr>
                <a:solidFill>
                  <a:schemeClr val="bg1"/>
                </a:solidFill>
                <a:ln>
                  <a:solidFill>
                    <a:srgbClr val="FF7415"/>
                  </a:solidFill>
                </a:ln>
              </c:spPr>
              <c:dLblPos val="ctr"/>
              <c:extLst>
                <c:ext xmlns:c15="http://schemas.microsoft.com/office/drawing/2012/chart" uri="{CE6537A1-D6FC-4f65-9D91-7224C49458BB}">
                  <c15:layout/>
                </c:ext>
              </c:extLst>
            </c:dLbl>
            <c:dLbl>
              <c:idx val="5"/>
              <c:layout>
                <c:manualLayout>
                  <c:x val="0"/>
                  <c:y val="-2.9144845266434738E-2"/>
                </c:manualLayout>
              </c:layout>
              <c:tx>
                <c:rich>
                  <a:bodyPr wrap="square" lIns="38100" tIns="19050" rIns="38100" bIns="19050" anchor="ctr">
                    <a:spAutoFit/>
                  </a:bodyPr>
                  <a:lstStyle/>
                  <a:p>
                    <a:pPr>
                      <a:defRPr lang="el-GR" sz="600" b="1"/>
                    </a:pPr>
                    <a:r>
                      <a:rPr lang="en-US" sz="600" dirty="0" smtClean="0"/>
                      <a:t>57,2%</a:t>
                    </a:r>
                    <a:endParaRPr lang="en-US" dirty="0"/>
                  </a:p>
                </c:rich>
              </c:tx>
              <c:numFmt formatCode="0.0%" sourceLinked="0"/>
              <c:spPr>
                <a:solidFill>
                  <a:srgbClr val="FFFFFF"/>
                </a:solidFill>
                <a:ln>
                  <a:solidFill>
                    <a:srgbClr val="FF7415"/>
                  </a:solidFill>
                </a:ln>
                <a:effectLst/>
              </c:spPr>
              <c:dLblPos val="ctr"/>
              <c:showVal val="1"/>
              <c:extLst>
                <c:ext xmlns:c15="http://schemas.microsoft.com/office/drawing/2012/chart" uri="{CE6537A1-D6FC-4f65-9D91-7224C49458BB}">
                  <c15:layout/>
                </c:ext>
              </c:extLst>
            </c:dLbl>
            <c:dLbl>
              <c:idx val="6"/>
              <c:tx>
                <c:rich>
                  <a:bodyPr/>
                  <a:lstStyle/>
                  <a:p>
                    <a:pPr>
                      <a:defRPr lang="el-GR" sz="600" b="1"/>
                    </a:pPr>
                    <a:r>
                      <a:rPr lang="en-US" sz="600" b="1" dirty="0" smtClean="0"/>
                      <a:t>53%</a:t>
                    </a:r>
                    <a:endParaRPr lang="en-US" b="1" dirty="0"/>
                  </a:p>
                </c:rich>
              </c:tx>
              <c:numFmt formatCode="0.0%" sourceLinked="0"/>
              <c:spPr>
                <a:solidFill>
                  <a:schemeClr val="bg1"/>
                </a:solidFill>
                <a:ln>
                  <a:solidFill>
                    <a:srgbClr val="008080"/>
                  </a:solidFill>
                </a:ln>
              </c:spPr>
              <c:dLblPos val="inEnd"/>
              <c:showVal val="1"/>
              <c:extLst>
                <c:ext xmlns:c15="http://schemas.microsoft.com/office/drawing/2012/chart" uri="{CE6537A1-D6FC-4f65-9D91-7224C49458BB}"/>
              </c:extLst>
            </c:dLbl>
            <c:numFmt formatCode="0.0%" sourceLinked="0"/>
            <c:spPr>
              <a:solidFill>
                <a:schemeClr val="bg1"/>
              </a:solidFill>
              <a:ln>
                <a:solidFill>
                  <a:srgbClr val="008080"/>
                </a:solidFill>
              </a:ln>
            </c:spPr>
            <c:txPr>
              <a:bodyPr/>
              <a:lstStyle/>
              <a:p>
                <a:pPr>
                  <a:defRPr lang="el-GR" sz="600"/>
                </a:pPr>
                <a:endParaRPr lang="el-GR"/>
              </a:p>
            </c:txPr>
            <c:dLblPos val="inEnd"/>
            <c:showVal val="1"/>
            <c:extLst>
              <c:ext xmlns:c15="http://schemas.microsoft.com/office/drawing/2012/chart" uri="{CE6537A1-D6FC-4f65-9D91-7224C49458BB}">
                <c15:showLeaderLines val="1"/>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Sheet1!$B$2:$G$2</c:f>
              <c:numCache>
                <c:formatCode>0.0%</c:formatCode>
                <c:ptCount val="6"/>
                <c:pt idx="0">
                  <c:v>0.18266600000000005</c:v>
                </c:pt>
                <c:pt idx="1">
                  <c:v>0.27763123539888235</c:v>
                </c:pt>
                <c:pt idx="2">
                  <c:v>0.45188555575969991</c:v>
                </c:pt>
                <c:pt idx="3">
                  <c:v>0.12248272697803439</c:v>
                </c:pt>
                <c:pt idx="4">
                  <c:v>0.17568933847611021</c:v>
                </c:pt>
                <c:pt idx="5">
                  <c:v>0.17102799999999999</c:v>
                </c:pt>
              </c:numCache>
            </c:numRef>
          </c:val>
        </c:ser>
        <c:ser>
          <c:idx val="0"/>
          <c:order val="1"/>
          <c:tx>
            <c:strRef>
              <c:f>Sheet1!$A$3</c:f>
              <c:strCache>
                <c:ptCount val="1"/>
                <c:pt idx="0">
                  <c:v>Covered</c:v>
                </c:pt>
              </c:strCache>
            </c:strRef>
          </c:tx>
          <c:spPr>
            <a:noFill/>
            <a:ln>
              <a:solidFill>
                <a:srgbClr val="008080"/>
              </a:solidFill>
            </a:ln>
          </c:spPr>
          <c:dPt>
            <c:idx val="4"/>
            <c:spPr>
              <a:noFill/>
              <a:ln>
                <a:solidFill>
                  <a:srgbClr val="FF7415"/>
                </a:solidFill>
              </a:ln>
            </c:spPr>
          </c:dPt>
          <c:dPt>
            <c:idx val="5"/>
            <c:spPr>
              <a:noFill/>
              <a:ln>
                <a:solidFill>
                  <a:srgbClr val="FF7415"/>
                </a:solidFill>
              </a:ln>
            </c:spPr>
          </c:dPt>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Sheet1!$B$3:$G$3</c:f>
              <c:numCache>
                <c:formatCode>0.0%</c:formatCode>
                <c:ptCount val="6"/>
                <c:pt idx="0">
                  <c:v>0.254334</c:v>
                </c:pt>
                <c:pt idx="1">
                  <c:v>2.0265850807478614E-2</c:v>
                </c:pt>
                <c:pt idx="2">
                  <c:v>4.8645585207227095E-2</c:v>
                </c:pt>
                <c:pt idx="3">
                  <c:v>4.9302303846698307E-2</c:v>
                </c:pt>
                <c:pt idx="4">
                  <c:v>0.13321571501506071</c:v>
                </c:pt>
                <c:pt idx="5">
                  <c:v>0.127972</c:v>
                </c:pt>
              </c:numCache>
            </c:numRef>
          </c:val>
        </c:ser>
        <c:ser>
          <c:idx val="2"/>
          <c:order val="2"/>
          <c:tx>
            <c:strRef>
              <c:f>Sheet1!$A$4</c:f>
              <c:strCache>
                <c:ptCount val="1"/>
                <c:pt idx="0">
                  <c:v>NPEs</c:v>
                </c:pt>
              </c:strCache>
            </c:strRef>
          </c:tx>
          <c:spPr>
            <a:noFill/>
          </c:spPr>
          <c:dLbls>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
            <c:dLbl>
              <c:idx val="4"/>
              <c:tx>
                <c:rich>
                  <a:bodyPr/>
                  <a:lstStyle/>
                  <a:p>
                    <a:pPr>
                      <a:defRPr lang="el-GR" sz="600" b="1">
                        <a:latin typeface="Segoe UI" pitchFamily="34" charset="0"/>
                        <a:ea typeface="Segoe UI" pitchFamily="34" charset="0"/>
                        <a:cs typeface="Segoe UI" pitchFamily="34" charset="0"/>
                      </a:defRPr>
                    </a:pPr>
                    <a:r>
                      <a:rPr lang="en-US"/>
                      <a:t>30,9%</a:t>
                    </a:r>
                  </a:p>
                </c:rich>
              </c:tx>
              <c:numFmt formatCode="0.0%" sourceLinked="0"/>
              <c:spPr/>
              <c:dLblPos val="inBase"/>
              <c:showVal val="1"/>
              <c:extLst>
                <c:ext xmlns:c15="http://schemas.microsoft.com/office/drawing/2012/chart" uri="{CE6537A1-D6FC-4f65-9D91-7224C49458BB}">
                  <c15:layout/>
                </c:ext>
              </c:extLst>
            </c:dLbl>
            <c:dLbl>
              <c:idx val="5"/>
              <c:tx>
                <c:rich>
                  <a:bodyPr/>
                  <a:lstStyle/>
                  <a:p>
                    <a:pPr>
                      <a:defRPr lang="el-GR" sz="600" b="1">
                        <a:latin typeface="Segoe UI" pitchFamily="34" charset="0"/>
                        <a:ea typeface="Segoe UI" pitchFamily="34" charset="0"/>
                        <a:cs typeface="Segoe UI" pitchFamily="34" charset="0"/>
                      </a:defRPr>
                    </a:pPr>
                    <a:r>
                      <a:rPr lang="en-US"/>
                      <a:t>29,9%</a:t>
                    </a:r>
                  </a:p>
                </c:rich>
              </c:tx>
              <c:numFmt formatCode="0.0%" sourceLinked="0"/>
              <c:spPr>
                <a:noFill/>
                <a:ln>
                  <a:noFill/>
                </a:ln>
                <a:effectLst/>
              </c:spPr>
              <c:dLblPos val="inBase"/>
              <c:showVal val="1"/>
              <c:extLst>
                <c:ext xmlns:c15="http://schemas.microsoft.com/office/drawing/2012/chart" uri="{CE6537A1-D6FC-4f65-9D91-7224C49458BB}">
                  <c15:layout/>
                </c:ext>
              </c:extLst>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Val val="1"/>
            <c:extLst>
              <c:ext xmlns:c15="http://schemas.microsoft.com/office/drawing/2012/chart" uri="{CE6537A1-D6FC-4f65-9D91-7224C49458BB}">
                <c15:layout/>
                <c15:showLeaderLines val="0"/>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Sheet1!$B$4:$G$4</c:f>
              <c:numCache>
                <c:formatCode>0.0%</c:formatCode>
                <c:ptCount val="6"/>
                <c:pt idx="0">
                  <c:v>0.43700000000000011</c:v>
                </c:pt>
                <c:pt idx="1">
                  <c:v>0.29789708620636085</c:v>
                </c:pt>
                <c:pt idx="2">
                  <c:v>0.5005311409669263</c:v>
                </c:pt>
                <c:pt idx="3">
                  <c:v>0.17178503082473268</c:v>
                </c:pt>
                <c:pt idx="4">
                  <c:v>0.30890505349117076</c:v>
                </c:pt>
                <c:pt idx="5">
                  <c:v>0.29900000000000015</c:v>
                </c:pt>
              </c:numCache>
            </c:numRef>
          </c:val>
        </c:ser>
        <c:gapWidth val="500"/>
        <c:overlap val="100"/>
        <c:axId val="172544384"/>
        <c:axId val="172545920"/>
      </c:barChart>
      <c:catAx>
        <c:axId val="172544384"/>
        <c:scaling>
          <c:orientation val="minMax"/>
        </c:scaling>
        <c:axPos val="b"/>
        <c:numFmt formatCode="General" sourceLinked="1"/>
        <c:majorTickMark val="none"/>
        <c:tickLblPos val="nextTo"/>
        <c:spPr>
          <a:ln>
            <a:solidFill>
              <a:schemeClr val="bg1">
                <a:lumMod val="75000"/>
              </a:schemeClr>
            </a:solidFill>
          </a:ln>
        </c:spPr>
        <c:txPr>
          <a:bodyPr/>
          <a:lstStyle/>
          <a:p>
            <a:pPr>
              <a:defRPr lang="el-GR" sz="550"/>
            </a:pPr>
            <a:endParaRPr lang="el-GR"/>
          </a:p>
        </c:txPr>
        <c:crossAx val="172545920"/>
        <c:crosses val="autoZero"/>
        <c:auto val="1"/>
        <c:lblAlgn val="ctr"/>
        <c:lblOffset val="100"/>
      </c:catAx>
      <c:valAx>
        <c:axId val="172545920"/>
        <c:scaling>
          <c:orientation val="minMax"/>
          <c:max val="0.8"/>
          <c:min val="0"/>
        </c:scaling>
        <c:delete val="1"/>
        <c:axPos val="l"/>
        <c:numFmt formatCode="0.0%" sourceLinked="1"/>
        <c:tickLblPos val="none"/>
        <c:crossAx val="172544384"/>
        <c:crosses val="autoZero"/>
        <c:crossBetween val="between"/>
        <c:minorUnit val="4"/>
      </c:valAx>
      <c:spPr>
        <a:noFill/>
        <a:ln w="25400">
          <a:noFill/>
        </a:ln>
      </c:spPr>
    </c:plotArea>
    <c:plotVisOnly val="1"/>
    <c:dispBlanksAs val="gap"/>
  </c:chart>
  <c:spPr>
    <a:ln>
      <a:solidFill>
        <a:sysClr val="window" lastClr="FFFFFF">
          <a:lumMod val="75000"/>
        </a:sysClr>
      </a:solidFill>
    </a:ln>
  </c:spPr>
  <c:txPr>
    <a:bodyPr/>
    <a:lstStyle/>
    <a:p>
      <a:pPr>
        <a:defRPr sz="1797"/>
      </a:pPr>
      <a:endParaRPr lang="el-G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1199230954097564E-2"/>
          <c:y val="3.9845955404248179E-2"/>
          <c:w val="0.97111309175754557"/>
          <c:h val="0.53172073859512115"/>
        </c:manualLayout>
      </c:layout>
      <c:barChart>
        <c:barDir val="col"/>
        <c:grouping val="stacked"/>
        <c:ser>
          <c:idx val="0"/>
          <c:order val="0"/>
          <c:tx>
            <c:strRef>
              <c:f>Sheet1!$B$1</c:f>
              <c:strCache>
                <c:ptCount val="1"/>
                <c:pt idx="0">
                  <c:v>Series 1</c:v>
                </c:pt>
              </c:strCache>
            </c:strRef>
          </c:tx>
          <c:spPr>
            <a:noFill/>
            <a:ln>
              <a:noFill/>
            </a:ln>
            <a:effectLst/>
          </c:spPr>
          <c:cat>
            <c:strRef>
              <c:f>Sheet1!$A$2:$A$24</c:f>
              <c:strCache>
                <c:ptCount val="23"/>
                <c:pt idx="0">
                  <c:v>ΜΕΑ 2015</c:v>
                </c:pt>
                <c:pt idx="1">
                  <c:v>Οργανική μείωση ΜΕΑ</c:v>
                </c:pt>
                <c:pt idx="2">
                  <c:v>Λογιστικές διαγραφές</c:v>
                </c:pt>
                <c:pt idx="3">
                  <c:v>ΜΕΑ 2016</c:v>
                </c:pt>
                <c:pt idx="4">
                  <c:v>Οργανική μείωση ΜΕΑ</c:v>
                </c:pt>
                <c:pt idx="5">
                  <c:v>Λογιστικές διαγραφές</c:v>
                </c:pt>
                <c:pt idx="6">
                  <c:v>ΜΕΑ 2017</c:v>
                </c:pt>
                <c:pt idx="7">
                  <c:v>Οργανική μείωση ΜΕΑ</c:v>
                </c:pt>
                <c:pt idx="8">
                  <c:v>Πωλήσεις</c:v>
                </c:pt>
                <c:pt idx="9">
                  <c:v>Λογιστικές διαγραφές</c:v>
                </c:pt>
                <c:pt idx="10">
                  <c:v>ΜΕΑ 2018</c:v>
                </c:pt>
                <c:pt idx="11">
                  <c:v>Οργανική μείωση ΜΕΑ</c:v>
                </c:pt>
                <c:pt idx="12">
                  <c:v>Πωλήσεις</c:v>
                </c:pt>
                <c:pt idx="13">
                  <c:v>Λογιστικές διαγραφές</c:v>
                </c:pt>
                <c:pt idx="14">
                  <c:v>ΜΕΑ 2019 </c:v>
                </c:pt>
                <c:pt idx="15">
                  <c:v>Οργανική μείωση ΜΕΑ</c:v>
                </c:pt>
                <c:pt idx="16">
                  <c:v>Πωλήσεις</c:v>
                </c:pt>
                <c:pt idx="17">
                  <c:v>Λογιστικές διαγραφές</c:v>
                </c:pt>
                <c:pt idx="18">
                  <c:v>ΜΕΑ A' τρίμηνο 2020</c:v>
                </c:pt>
                <c:pt idx="19">
                  <c:v>Οργανική μείωση ΜΕΑ</c:v>
                </c:pt>
                <c:pt idx="20">
                  <c:v>Πωλήσεις</c:v>
                </c:pt>
                <c:pt idx="21">
                  <c:v>Λογιστικές διαγραφές</c:v>
                </c:pt>
                <c:pt idx="22">
                  <c:v>ΜΕΑ B' τρίμηνο 2020</c:v>
                </c:pt>
              </c:strCache>
            </c:strRef>
          </c:cat>
          <c:val>
            <c:numRef>
              <c:f>Sheet1!$B$2:$B$24</c:f>
              <c:numCache>
                <c:formatCode>0.000</c:formatCode>
                <c:ptCount val="23"/>
                <c:pt idx="1">
                  <c:v>20.348000000000003</c:v>
                </c:pt>
                <c:pt idx="2">
                  <c:v>19.147000000000009</c:v>
                </c:pt>
                <c:pt idx="4">
                  <c:v>18.952999999999992</c:v>
                </c:pt>
                <c:pt idx="5">
                  <c:v>17.696999999999996</c:v>
                </c:pt>
                <c:pt idx="7">
                  <c:v>17.073999999999987</c:v>
                </c:pt>
                <c:pt idx="8">
                  <c:v>16.266999999999989</c:v>
                </c:pt>
                <c:pt idx="9" formatCode="0.00">
                  <c:v>15.554999999999998</c:v>
                </c:pt>
                <c:pt idx="11">
                  <c:v>14.151999999999997</c:v>
                </c:pt>
                <c:pt idx="12">
                  <c:v>11.076000000000001</c:v>
                </c:pt>
                <c:pt idx="13">
                  <c:v>10.81</c:v>
                </c:pt>
                <c:pt idx="15">
                  <c:v>10.693999999999997</c:v>
                </c:pt>
                <c:pt idx="16">
                  <c:v>10.647999999999994</c:v>
                </c:pt>
                <c:pt idx="17">
                  <c:v>10.636999999999999</c:v>
                </c:pt>
                <c:pt idx="19">
                  <c:v>10.357000000000003</c:v>
                </c:pt>
                <c:pt idx="20">
                  <c:v>10.346</c:v>
                </c:pt>
                <c:pt idx="21">
                  <c:v>10.296000000000001</c:v>
                </c:pt>
              </c:numCache>
            </c:numRef>
          </c:val>
        </c:ser>
        <c:ser>
          <c:idx val="1"/>
          <c:order val="1"/>
          <c:tx>
            <c:strRef>
              <c:f>Sheet1!$C$1</c:f>
              <c:strCache>
                <c:ptCount val="1"/>
                <c:pt idx="0">
                  <c:v>Series 2</c:v>
                </c:pt>
              </c:strCache>
            </c:strRef>
          </c:tx>
          <c:spPr>
            <a:noFill/>
            <a:ln>
              <a:solidFill>
                <a:srgbClr val="008080"/>
              </a:solidFill>
            </a:ln>
            <a:effectLst/>
          </c:spPr>
          <c:dPt>
            <c:idx val="0"/>
            <c:spPr>
              <a:solidFill>
                <a:srgbClr val="008080"/>
              </a:solidFill>
              <a:ln>
                <a:solidFill>
                  <a:srgbClr val="008080"/>
                </a:solidFill>
              </a:ln>
              <a:effectLst/>
            </c:spPr>
          </c:dPt>
          <c:dPt>
            <c:idx val="3"/>
            <c:spPr>
              <a:solidFill>
                <a:srgbClr val="008080"/>
              </a:solidFill>
              <a:ln>
                <a:solidFill>
                  <a:srgbClr val="008080"/>
                </a:solidFill>
              </a:ln>
              <a:effectLst/>
            </c:spPr>
          </c:dPt>
          <c:dPt>
            <c:idx val="6"/>
            <c:spPr>
              <a:solidFill>
                <a:srgbClr val="008080"/>
              </a:solidFill>
              <a:ln>
                <a:solidFill>
                  <a:srgbClr val="008080"/>
                </a:solidFill>
              </a:ln>
              <a:effectLst/>
            </c:spPr>
          </c:dPt>
          <c:dPt>
            <c:idx val="10"/>
            <c:spPr>
              <a:solidFill>
                <a:srgbClr val="008080"/>
              </a:solidFill>
              <a:ln>
                <a:solidFill>
                  <a:srgbClr val="008080"/>
                </a:solidFill>
              </a:ln>
              <a:effectLst/>
            </c:spPr>
          </c:dPt>
          <c:dPt>
            <c:idx val="14"/>
            <c:spPr>
              <a:solidFill>
                <a:srgbClr val="008080"/>
              </a:solidFill>
              <a:ln>
                <a:solidFill>
                  <a:srgbClr val="008080"/>
                </a:solidFill>
              </a:ln>
              <a:effectLst/>
            </c:spPr>
          </c:dPt>
          <c:dPt>
            <c:idx val="18"/>
            <c:spPr>
              <a:solidFill>
                <a:srgbClr val="008080"/>
              </a:solidFill>
              <a:ln>
                <a:solidFill>
                  <a:srgbClr val="008080"/>
                </a:solidFill>
              </a:ln>
              <a:effectLst/>
            </c:spPr>
          </c:dPt>
          <c:dPt>
            <c:idx val="19"/>
            <c:spPr>
              <a:solidFill>
                <a:srgbClr val="008080"/>
              </a:solidFill>
              <a:ln>
                <a:solidFill>
                  <a:srgbClr val="008080"/>
                </a:solidFill>
              </a:ln>
              <a:effectLst/>
            </c:spPr>
          </c:dPt>
          <c:dPt>
            <c:idx val="22"/>
            <c:spPr>
              <a:solidFill>
                <a:srgbClr val="008080"/>
              </a:solidFill>
              <a:ln>
                <a:noFill/>
              </a:ln>
              <a:effectLst/>
            </c:spPr>
          </c:dPt>
          <c:dPt>
            <c:idx val="26"/>
            <c:spPr>
              <a:solidFill>
                <a:srgbClr val="FF7E10"/>
              </a:solidFill>
              <a:ln>
                <a:noFill/>
              </a:ln>
              <a:effectLst/>
            </c:spPr>
          </c:dPt>
          <c:dLbls>
            <c:dLbl>
              <c:idx val="0"/>
              <c:layout>
                <c:manualLayout>
                  <c:x val="2.4032684450853181E-3"/>
                  <c:y val="-0.27067669172932357"/>
                </c:manualLayout>
              </c:layout>
              <c:tx>
                <c:rich>
                  <a:bodyPr/>
                  <a:lstStyle/>
                  <a:p>
                    <a:r>
                      <a:rPr lang="en-US"/>
                      <a:t>22,0</a:t>
                    </a:r>
                  </a:p>
                </c:rich>
              </c:tx>
              <c:showVal val="1"/>
              <c:separator>. </c:separator>
              <c:extLst>
                <c:ext xmlns:c15="http://schemas.microsoft.com/office/drawing/2012/chart" uri="{CE6537A1-D6FC-4f65-9D91-7224C49458BB}">
                  <c15:layout/>
                </c:ext>
              </c:extLst>
            </c:dLbl>
            <c:dLbl>
              <c:idx val="1"/>
              <c:layout>
                <c:manualLayout>
                  <c:x val="-1.1009802903834954E-17"/>
                  <c:y val="6.7845383753790706E-2"/>
                </c:manualLayout>
              </c:layout>
              <c:tx>
                <c:rich>
                  <a:bodyPr/>
                  <a:lstStyle/>
                  <a:p>
                    <a:r>
                      <a:rPr lang="en-US"/>
                      <a:t>-1,6</a:t>
                    </a:r>
                  </a:p>
                </c:rich>
              </c:tx>
              <c:showVal val="1"/>
              <c:separator>. </c:separator>
              <c:extLst>
                <c:ext xmlns:c15="http://schemas.microsoft.com/office/drawing/2012/chart" uri="{CE6537A1-D6FC-4f65-9D91-7224C49458BB}">
                  <c15:layout/>
                </c:ext>
              </c:extLst>
            </c:dLbl>
            <c:dLbl>
              <c:idx val="2"/>
              <c:layout>
                <c:manualLayout>
                  <c:x val="-2.4021665650947417E-3"/>
                  <c:y val="6.0307007781147337E-2"/>
                </c:manualLayout>
              </c:layout>
              <c:tx>
                <c:rich>
                  <a:bodyPr/>
                  <a:lstStyle/>
                  <a:p>
                    <a:r>
                      <a:rPr lang="en-US"/>
                      <a:t>-1,2</a:t>
                    </a:r>
                  </a:p>
                </c:rich>
              </c:tx>
              <c:showVal val="1"/>
              <c:separator>. </c:separator>
              <c:extLst>
                <c:ext xmlns:c15="http://schemas.microsoft.com/office/drawing/2012/chart" uri="{CE6537A1-D6FC-4f65-9D91-7224C49458BB}">
                  <c15:layout/>
                </c:ext>
              </c:extLst>
            </c:dLbl>
            <c:dLbl>
              <c:idx val="3"/>
              <c:layout>
                <c:manualLayout>
                  <c:x val="-2.4021665650947642E-3"/>
                  <c:y val="-0.24122803112458921"/>
                </c:manualLayout>
              </c:layout>
              <c:tx>
                <c:rich>
                  <a:bodyPr/>
                  <a:lstStyle/>
                  <a:p>
                    <a:r>
                      <a:rPr lang="en-US"/>
                      <a:t>19,2</a:t>
                    </a:r>
                  </a:p>
                </c:rich>
              </c:tx>
              <c:showVal val="1"/>
              <c:separator>. </c:separator>
              <c:extLst>
                <c:ext xmlns:c15="http://schemas.microsoft.com/office/drawing/2012/chart" uri="{CE6537A1-D6FC-4f65-9D91-7224C49458BB}">
                  <c15:layout/>
                </c:ext>
              </c:extLst>
            </c:dLbl>
            <c:dLbl>
              <c:idx val="4"/>
              <c:layout>
                <c:manualLayout>
                  <c:x val="0"/>
                  <c:y val="4.5230255835860482E-2"/>
                </c:manualLayout>
              </c:layout>
              <c:tx>
                <c:rich>
                  <a:bodyPr/>
                  <a:lstStyle/>
                  <a:p>
                    <a:r>
                      <a:rPr lang="en-US"/>
                      <a:t>-0,2</a:t>
                    </a:r>
                  </a:p>
                </c:rich>
              </c:tx>
              <c:showVal val="1"/>
              <c:separator>. </c:separator>
              <c:extLst>
                <c:ext xmlns:c15="http://schemas.microsoft.com/office/drawing/2012/chart" uri="{CE6537A1-D6FC-4f65-9D91-7224C49458BB}">
                  <c15:layout/>
                </c:ext>
              </c:extLst>
            </c:dLbl>
            <c:dLbl>
              <c:idx val="5"/>
              <c:layout>
                <c:manualLayout>
                  <c:x val="0"/>
                  <c:y val="4.5230255835860482E-2"/>
                </c:manualLayout>
              </c:layout>
              <c:tx>
                <c:rich>
                  <a:bodyPr/>
                  <a:lstStyle/>
                  <a:p>
                    <a:r>
                      <a:rPr lang="en-US"/>
                      <a:t>-1,3</a:t>
                    </a:r>
                  </a:p>
                </c:rich>
              </c:tx>
              <c:showVal val="1"/>
              <c:separator>. </c:separator>
              <c:extLst>
                <c:ext xmlns:c15="http://schemas.microsoft.com/office/drawing/2012/chart" uri="{CE6537A1-D6FC-4f65-9D91-7224C49458BB}">
                  <c15:layout/>
                </c:ext>
              </c:extLst>
            </c:dLbl>
            <c:dLbl>
              <c:idx val="6"/>
              <c:layout>
                <c:manualLayout>
                  <c:x val="-2.4021665650947417E-3"/>
                  <c:y val="-0.22615127917930233"/>
                </c:manualLayout>
              </c:layout>
              <c:tx>
                <c:rich>
                  <a:bodyPr/>
                  <a:lstStyle/>
                  <a:p>
                    <a:r>
                      <a:rPr lang="en-US"/>
                      <a:t>17,7</a:t>
                    </a:r>
                  </a:p>
                </c:rich>
              </c:tx>
              <c:showVal val="1"/>
              <c:separator>. </c:separator>
              <c:extLst>
                <c:ext xmlns:c15="http://schemas.microsoft.com/office/drawing/2012/chart" uri="{CE6537A1-D6FC-4f65-9D91-7224C49458BB}">
                  <c15:layout/>
                </c:ext>
              </c:extLst>
            </c:dLbl>
            <c:dLbl>
              <c:idx val="7"/>
              <c:layout>
                <c:manualLayout>
                  <c:x val="-4.403921161533986E-17"/>
                  <c:y val="4.5230255835860482E-2"/>
                </c:manualLayout>
              </c:layout>
              <c:tx>
                <c:rich>
                  <a:bodyPr/>
                  <a:lstStyle/>
                  <a:p>
                    <a:r>
                      <a:rPr lang="en-US"/>
                      <a:t>-0,6</a:t>
                    </a:r>
                  </a:p>
                </c:rich>
              </c:tx>
              <c:showVal val="1"/>
              <c:separator>. </c:separator>
              <c:extLst>
                <c:ext xmlns:c15="http://schemas.microsoft.com/office/drawing/2012/chart" uri="{CE6537A1-D6FC-4f65-9D91-7224C49458BB}">
                  <c15:layout/>
                </c:ext>
              </c:extLst>
            </c:dLbl>
            <c:dLbl>
              <c:idx val="8"/>
              <c:layout>
                <c:manualLayout>
                  <c:x val="4.403921161533986E-17"/>
                  <c:y val="6.0307007781147337E-2"/>
                </c:manualLayout>
              </c:layout>
              <c:tx>
                <c:rich>
                  <a:bodyPr/>
                  <a:lstStyle/>
                  <a:p>
                    <a:r>
                      <a:rPr lang="en-US"/>
                      <a:t>-0,8</a:t>
                    </a:r>
                  </a:p>
                </c:rich>
              </c:tx>
              <c:showVal val="1"/>
              <c:separator>. </c:separator>
              <c:extLst>
                <c:ext xmlns:c15="http://schemas.microsoft.com/office/drawing/2012/chart" uri="{CE6537A1-D6FC-4f65-9D91-7224C49458BB}">
                  <c15:layout/>
                </c:ext>
              </c:extLst>
            </c:dLbl>
            <c:dLbl>
              <c:idx val="9"/>
              <c:layout>
                <c:manualLayout>
                  <c:x val="0"/>
                  <c:y val="5.2768631808503989E-2"/>
                </c:manualLayout>
              </c:layout>
              <c:tx>
                <c:rich>
                  <a:bodyPr/>
                  <a:lstStyle/>
                  <a:p>
                    <a:r>
                      <a:rPr lang="en-US"/>
                      <a:t>-0,7</a:t>
                    </a:r>
                  </a:p>
                </c:rich>
              </c:tx>
              <c:showVal val="1"/>
              <c:separator>. </c:separator>
              <c:extLst>
                <c:ext xmlns:c15="http://schemas.microsoft.com/office/drawing/2012/chart" uri="{CE6537A1-D6FC-4f65-9D91-7224C49458BB}">
                  <c15:layout/>
                </c:ext>
              </c:extLst>
            </c:dLbl>
            <c:dLbl>
              <c:idx val="10"/>
              <c:layout>
                <c:manualLayout>
                  <c:x val="0"/>
                  <c:y val="-0.21107452723401532"/>
                </c:manualLayout>
              </c:layout>
              <c:tx>
                <c:rich>
                  <a:bodyPr/>
                  <a:lstStyle/>
                  <a:p>
                    <a:r>
                      <a:rPr lang="en-US"/>
                      <a:t>15,6</a:t>
                    </a:r>
                  </a:p>
                </c:rich>
              </c:tx>
              <c:showVal val="1"/>
              <c:separator>. </c:separator>
              <c:extLst>
                <c:ext xmlns:c15="http://schemas.microsoft.com/office/drawing/2012/chart" uri="{CE6537A1-D6FC-4f65-9D91-7224C49458BB}">
                  <c15:layout/>
                </c:ext>
              </c:extLst>
            </c:dLbl>
            <c:dLbl>
              <c:idx val="11"/>
              <c:layout>
                <c:manualLayout>
                  <c:x val="0"/>
                  <c:y val="5.2768631808503989E-2"/>
                </c:manualLayout>
              </c:layout>
              <c:tx>
                <c:rich>
                  <a:bodyPr/>
                  <a:lstStyle/>
                  <a:p>
                    <a:r>
                      <a:rPr lang="en-US"/>
                      <a:t>-1,4</a:t>
                    </a:r>
                  </a:p>
                </c:rich>
              </c:tx>
              <c:showVal val="1"/>
              <c:separator>. </c:separator>
              <c:extLst>
                <c:ext xmlns:c15="http://schemas.microsoft.com/office/drawing/2012/chart" uri="{CE6537A1-D6FC-4f65-9D91-7224C49458BB}">
                  <c15:layout/>
                </c:ext>
              </c:extLst>
            </c:dLbl>
            <c:dLbl>
              <c:idx val="12"/>
              <c:layout>
                <c:manualLayout>
                  <c:x val="0"/>
                  <c:y val="6.7791968590283122E-2"/>
                </c:manualLayout>
              </c:layout>
              <c:tx>
                <c:rich>
                  <a:bodyPr/>
                  <a:lstStyle/>
                  <a:p>
                    <a:r>
                      <a:rPr lang="en-US"/>
                      <a:t>-3,1</a:t>
                    </a:r>
                  </a:p>
                </c:rich>
              </c:tx>
              <c:showVal val="1"/>
              <c:separator>. </c:separator>
              <c:extLst>
                <c:ext xmlns:c15="http://schemas.microsoft.com/office/drawing/2012/chart" uri="{CE6537A1-D6FC-4f65-9D91-7224C49458BB}">
                  <c15:layout/>
                </c:ext>
              </c:extLst>
            </c:dLbl>
            <c:dLbl>
              <c:idx val="13"/>
              <c:layout>
                <c:manualLayout>
                  <c:x val="0"/>
                  <c:y val="4.5230255835860496E-2"/>
                </c:manualLayout>
              </c:layout>
              <c:tx>
                <c:rich>
                  <a:bodyPr/>
                  <a:lstStyle/>
                  <a:p>
                    <a:r>
                      <a:rPr lang="en-US"/>
                      <a:t>-0,3</a:t>
                    </a:r>
                  </a:p>
                </c:rich>
              </c:tx>
              <c:showVal val="1"/>
              <c:separator>. </c:separator>
              <c:extLst>
                <c:ext xmlns:c15="http://schemas.microsoft.com/office/drawing/2012/chart" uri="{CE6537A1-D6FC-4f65-9D91-7224C49458BB}">
                  <c15:layout/>
                </c:ext>
              </c:extLst>
            </c:dLbl>
            <c:dLbl>
              <c:idx val="14"/>
              <c:layout>
                <c:manualLayout>
                  <c:x val="-1.9723865877712046E-3"/>
                  <c:y val="-0.17277000414624358"/>
                </c:manualLayout>
              </c:layout>
              <c:tx>
                <c:rich>
                  <a:bodyPr/>
                  <a:lstStyle/>
                  <a:p>
                    <a:r>
                      <a:rPr lang="en-US"/>
                      <a:t>10,8</a:t>
                    </a:r>
                  </a:p>
                </c:rich>
              </c:tx>
              <c:showVal val="1"/>
              <c:extLst>
                <c:ext xmlns:c15="http://schemas.microsoft.com/office/drawing/2012/chart" uri="{CE6537A1-D6FC-4f65-9D91-7224C49458BB}">
                  <c15:layout/>
                </c:ext>
              </c:extLst>
            </c:dLbl>
            <c:dLbl>
              <c:idx val="15"/>
              <c:layout>
                <c:manualLayout>
                  <c:x val="0"/>
                  <c:y val="4.5230255835860482E-2"/>
                </c:manualLayout>
              </c:layout>
              <c:tx>
                <c:rich>
                  <a:bodyPr/>
                  <a:lstStyle/>
                  <a:p>
                    <a:r>
                      <a:rPr lang="en-US"/>
                      <a:t>-0,1</a:t>
                    </a:r>
                  </a:p>
                </c:rich>
              </c:tx>
              <c:showVal val="1"/>
              <c:separator>. </c:separator>
              <c:extLst>
                <c:ext xmlns:c15="http://schemas.microsoft.com/office/drawing/2012/chart" uri="{CE6537A1-D6FC-4f65-9D91-7224C49458BB}">
                  <c15:layout/>
                </c:ext>
              </c:extLst>
            </c:dLbl>
            <c:dLbl>
              <c:idx val="16"/>
              <c:layout>
                <c:manualLayout>
                  <c:x val="8.8078423230679782E-17"/>
                  <c:y val="5.2768631808503989E-2"/>
                </c:manualLayout>
              </c:layout>
              <c:tx>
                <c:rich>
                  <a:bodyPr/>
                  <a:lstStyle/>
                  <a:p>
                    <a:r>
                      <a:rPr lang="en-US"/>
                      <a:t>-0,05</a:t>
                    </a:r>
                  </a:p>
                </c:rich>
              </c:tx>
              <c:showVal val="1"/>
              <c:separator>. </c:separator>
              <c:extLst>
                <c:ext xmlns:c15="http://schemas.microsoft.com/office/drawing/2012/chart" uri="{CE6537A1-D6FC-4f65-9D91-7224C49458BB}">
                  <c15:layout/>
                </c:ext>
              </c:extLst>
            </c:dLbl>
            <c:dLbl>
              <c:idx val="17"/>
              <c:layout>
                <c:manualLayout>
                  <c:x val="0"/>
                  <c:y val="4.5230255835860482E-2"/>
                </c:manualLayout>
              </c:layout>
              <c:tx>
                <c:rich>
                  <a:bodyPr/>
                  <a:lstStyle/>
                  <a:p>
                    <a:r>
                      <a:rPr lang="en-US"/>
                      <a:t>-0,01</a:t>
                    </a:r>
                  </a:p>
                </c:rich>
              </c:tx>
              <c:showVal val="1"/>
              <c:separator>. </c:separator>
              <c:extLst>
                <c:ext xmlns:c15="http://schemas.microsoft.com/office/drawing/2012/chart" uri="{CE6537A1-D6FC-4f65-9D91-7224C49458BB}">
                  <c15:layout/>
                </c:ext>
              </c:extLst>
            </c:dLbl>
            <c:dLbl>
              <c:idx val="18"/>
              <c:layout>
                <c:manualLayout>
                  <c:x val="0"/>
                  <c:y val="-0.18092102334344193"/>
                </c:manualLayout>
              </c:layout>
              <c:tx>
                <c:rich>
                  <a:bodyPr/>
                  <a:lstStyle/>
                  <a:p>
                    <a:pPr>
                      <a:defRPr lang="el-GR" sz="600" b="0"/>
                    </a:pPr>
                    <a:r>
                      <a:rPr lang="en-US" b="0"/>
                      <a:t>10,6</a:t>
                    </a:r>
                  </a:p>
                </c:rich>
              </c:tx>
              <c:numFmt formatCode="#,##0.00" sourceLinked="0"/>
              <c:spPr>
                <a:noFill/>
                <a:ln>
                  <a:noFill/>
                </a:ln>
                <a:effectLst/>
              </c:spPr>
              <c:showVal val="1"/>
              <c:separator>. </c:separator>
              <c:extLst>
                <c:ext xmlns:c15="http://schemas.microsoft.com/office/drawing/2012/chart" uri="{CE6537A1-D6FC-4f65-9D91-7224C49458BB}">
                  <c15:layout/>
                </c:ext>
              </c:extLst>
            </c:dLbl>
            <c:dLbl>
              <c:idx val="19"/>
              <c:layout>
                <c:manualLayout>
                  <c:x val="0"/>
                  <c:y val="4.5230255835860496E-2"/>
                </c:manualLayout>
              </c:layout>
              <c:tx>
                <c:rich>
                  <a:bodyPr/>
                  <a:lstStyle/>
                  <a:p>
                    <a:r>
                      <a:rPr lang="en-US"/>
                      <a:t>-0,3</a:t>
                    </a:r>
                  </a:p>
                </c:rich>
              </c:tx>
              <c:showVal val="1"/>
              <c:separator>. </c:separator>
              <c:extLst>
                <c:ext xmlns:c15="http://schemas.microsoft.com/office/drawing/2012/chart" uri="{CE6537A1-D6FC-4f65-9D91-7224C49458BB}">
                  <c15:layout/>
                </c:ext>
              </c:extLst>
            </c:dLbl>
            <c:dLbl>
              <c:idx val="20"/>
              <c:layout>
                <c:manualLayout>
                  <c:x val="0"/>
                  <c:y val="4.5230255835860482E-2"/>
                </c:manualLayout>
              </c:layout>
              <c:tx>
                <c:rich>
                  <a:bodyPr/>
                  <a:lstStyle/>
                  <a:p>
                    <a:r>
                      <a:rPr lang="en-US"/>
                      <a:t>-0,01</a:t>
                    </a:r>
                  </a:p>
                </c:rich>
              </c:tx>
              <c:showVal val="1"/>
              <c:separator>. </c:separator>
              <c:extLst>
                <c:ext xmlns:c15="http://schemas.microsoft.com/office/drawing/2012/chart" uri="{CE6537A1-D6FC-4f65-9D91-7224C49458BB}">
                  <c15:layout/>
                </c:ext>
              </c:extLst>
            </c:dLbl>
            <c:dLbl>
              <c:idx val="21"/>
              <c:layout>
                <c:manualLayout>
                  <c:x val="0"/>
                  <c:y val="4.5230255835860482E-2"/>
                </c:manualLayout>
              </c:layout>
              <c:tx>
                <c:rich>
                  <a:bodyPr/>
                  <a:lstStyle/>
                  <a:p>
                    <a:r>
                      <a:rPr lang="en-US"/>
                      <a:t>-0,05</a:t>
                    </a:r>
                  </a:p>
                </c:rich>
              </c:tx>
              <c:showVal val="1"/>
              <c:separator>. </c:separator>
              <c:extLst>
                <c:ext xmlns:c15="http://schemas.microsoft.com/office/drawing/2012/chart" uri="{CE6537A1-D6FC-4f65-9D91-7224C49458BB}">
                  <c15:layout/>
                </c:ext>
              </c:extLst>
            </c:dLbl>
            <c:dLbl>
              <c:idx val="22"/>
              <c:layout>
                <c:manualLayout>
                  <c:x val="-8.5808490612647524E-4"/>
                  <c:y val="-0.17338264093500069"/>
                </c:manualLayout>
              </c:layout>
              <c:numFmt formatCode="#,##0.0" sourceLinked="0"/>
              <c:spPr>
                <a:noFill/>
                <a:ln>
                  <a:noFill/>
                </a:ln>
                <a:effectLst/>
              </c:spPr>
              <c:txPr>
                <a:bodyPr/>
                <a:lstStyle/>
                <a:p>
                  <a:pPr>
                    <a:defRPr lang="el-GR" sz="600" b="1"/>
                  </a:pPr>
                  <a:endParaRPr lang="el-GR"/>
                </a:p>
              </c:txPr>
              <c:showVal val="1"/>
              <c:separator>. </c:separator>
              <c:extLst>
                <c:ext xmlns:c15="http://schemas.microsoft.com/office/drawing/2012/chart" uri="{CE6537A1-D6FC-4f65-9D91-7224C49458BB}">
                  <c15:layout/>
                </c:ext>
              </c:extLst>
            </c:dLbl>
            <c:dLbl>
              <c:idx val="23"/>
              <c:layout>
                <c:manualLayout>
                  <c:x val="0"/>
                  <c:y val="4.5230255835860482E-2"/>
                </c:manualLayout>
              </c:layout>
              <c:tx>
                <c:rich>
                  <a:bodyPr/>
                  <a:lstStyle/>
                  <a:p>
                    <a:r>
                      <a:rPr lang="en-US"/>
                      <a:t>-0,5</a:t>
                    </a:r>
                  </a:p>
                </c:rich>
              </c:tx>
              <c:showVal val="1"/>
              <c:separator>. </c:separator>
              <c:extLst>
                <c:ext xmlns:c15="http://schemas.microsoft.com/office/drawing/2012/chart" uri="{CE6537A1-D6FC-4f65-9D91-7224C49458BB}"/>
              </c:extLst>
            </c:dLbl>
            <c:dLbl>
              <c:idx val="24"/>
              <c:layout>
                <c:manualLayout>
                  <c:x val="0"/>
                  <c:y val="5.2768631808503989E-2"/>
                </c:manualLayout>
              </c:layout>
              <c:tx>
                <c:rich>
                  <a:bodyPr/>
                  <a:lstStyle/>
                  <a:p>
                    <a:r>
                      <a:rPr lang="en-US"/>
                      <a:t>-0,2</a:t>
                    </a:r>
                  </a:p>
                </c:rich>
              </c:tx>
              <c:showVal val="1"/>
              <c:separator>. </c:separator>
              <c:extLst>
                <c:ext xmlns:c15="http://schemas.microsoft.com/office/drawing/2012/chart" uri="{CE6537A1-D6FC-4f65-9D91-7224C49458BB}"/>
              </c:extLst>
            </c:dLbl>
            <c:dLbl>
              <c:idx val="25"/>
              <c:layout>
                <c:manualLayout>
                  <c:x val="2.4021665650947417E-3"/>
                  <c:y val="4.5230255835860482E-2"/>
                </c:manualLayout>
              </c:layout>
              <c:tx>
                <c:rich>
                  <a:bodyPr/>
                  <a:lstStyle/>
                  <a:p>
                    <a:r>
                      <a:rPr lang="en-US"/>
                      <a:t>-0,1</a:t>
                    </a:r>
                  </a:p>
                </c:rich>
              </c:tx>
              <c:showVal val="1"/>
              <c:separator>. </c:separator>
              <c:extLst>
                <c:ext xmlns:c15="http://schemas.microsoft.com/office/drawing/2012/chart" uri="{CE6537A1-D6FC-4f65-9D91-7224C49458BB}"/>
              </c:extLst>
            </c:dLbl>
            <c:dLbl>
              <c:idx val="26"/>
              <c:layout>
                <c:manualLayout>
                  <c:x val="0"/>
                  <c:y val="-0.15830589542551171"/>
                </c:manualLayout>
              </c:layout>
              <c:tx>
                <c:rich>
                  <a:bodyPr/>
                  <a:lstStyle/>
                  <a:p>
                    <a:pPr>
                      <a:defRPr lang="el-GR" sz="600" b="1"/>
                    </a:pPr>
                    <a:r>
                      <a:rPr lang="en-US"/>
                      <a:t>10,8</a:t>
                    </a:r>
                  </a:p>
                </c:rich>
              </c:tx>
              <c:numFmt formatCode="#,##0.00" sourceLinked="0"/>
              <c:spPr/>
              <c:showVal val="1"/>
              <c:separator>. </c:separator>
              <c:extLst>
                <c:ext xmlns:c15="http://schemas.microsoft.com/office/drawing/2012/chart" uri="{CE6537A1-D6FC-4f65-9D91-7224C49458BB}"/>
              </c:extLst>
            </c:dLbl>
            <c:numFmt formatCode="#,##0.00" sourceLinked="0"/>
            <c:spPr>
              <a:noFill/>
              <a:ln>
                <a:noFill/>
              </a:ln>
              <a:effectLst/>
            </c:spPr>
            <c:txPr>
              <a:bodyPr/>
              <a:lstStyle/>
              <a:p>
                <a:pPr>
                  <a:defRPr lang="el-GR" sz="600"/>
                </a:pPr>
                <a:endParaRPr lang="el-GR"/>
              </a:p>
            </c:txPr>
            <c:showVal val="1"/>
            <c:separator>. </c:separator>
            <c:extLst>
              <c:ext xmlns:c15="http://schemas.microsoft.com/office/drawing/2012/chart" uri="{CE6537A1-D6FC-4f65-9D91-7224C49458BB}">
                <c15:showLeaderLines val="0"/>
              </c:ext>
            </c:extLst>
          </c:dLbls>
          <c:cat>
            <c:strRef>
              <c:f>Sheet1!$A$2:$A$24</c:f>
              <c:strCache>
                <c:ptCount val="23"/>
                <c:pt idx="0">
                  <c:v>ΜΕΑ 2015</c:v>
                </c:pt>
                <c:pt idx="1">
                  <c:v>Οργανική μείωση ΜΕΑ</c:v>
                </c:pt>
                <c:pt idx="2">
                  <c:v>Λογιστικές διαγραφές</c:v>
                </c:pt>
                <c:pt idx="3">
                  <c:v>ΜΕΑ 2016</c:v>
                </c:pt>
                <c:pt idx="4">
                  <c:v>Οργανική μείωση ΜΕΑ</c:v>
                </c:pt>
                <c:pt idx="5">
                  <c:v>Λογιστικές διαγραφές</c:v>
                </c:pt>
                <c:pt idx="6">
                  <c:v>ΜΕΑ 2017</c:v>
                </c:pt>
                <c:pt idx="7">
                  <c:v>Οργανική μείωση ΜΕΑ</c:v>
                </c:pt>
                <c:pt idx="8">
                  <c:v>Πωλήσεις</c:v>
                </c:pt>
                <c:pt idx="9">
                  <c:v>Λογιστικές διαγραφές</c:v>
                </c:pt>
                <c:pt idx="10">
                  <c:v>ΜΕΑ 2018</c:v>
                </c:pt>
                <c:pt idx="11">
                  <c:v>Οργανική μείωση ΜΕΑ</c:v>
                </c:pt>
                <c:pt idx="12">
                  <c:v>Πωλήσεις</c:v>
                </c:pt>
                <c:pt idx="13">
                  <c:v>Λογιστικές διαγραφές</c:v>
                </c:pt>
                <c:pt idx="14">
                  <c:v>ΜΕΑ 2019 </c:v>
                </c:pt>
                <c:pt idx="15">
                  <c:v>Οργανική μείωση ΜΕΑ</c:v>
                </c:pt>
                <c:pt idx="16">
                  <c:v>Πωλήσεις</c:v>
                </c:pt>
                <c:pt idx="17">
                  <c:v>Λογιστικές διαγραφές</c:v>
                </c:pt>
                <c:pt idx="18">
                  <c:v>ΜΕΑ A' τρίμηνο 2020</c:v>
                </c:pt>
                <c:pt idx="19">
                  <c:v>Οργανική μείωση ΜΕΑ</c:v>
                </c:pt>
                <c:pt idx="20">
                  <c:v>Πωλήσεις</c:v>
                </c:pt>
                <c:pt idx="21">
                  <c:v>Λογιστικές διαγραφές</c:v>
                </c:pt>
                <c:pt idx="22">
                  <c:v>ΜΕΑ B' τρίμηνο 2020</c:v>
                </c:pt>
              </c:strCache>
            </c:strRef>
          </c:cat>
          <c:val>
            <c:numRef>
              <c:f>Sheet1!$C$2:$C$24</c:f>
              <c:numCache>
                <c:formatCode>0.000</c:formatCode>
                <c:ptCount val="23"/>
                <c:pt idx="0">
                  <c:v>21.981000000000002</c:v>
                </c:pt>
                <c:pt idx="1">
                  <c:v>1.633</c:v>
                </c:pt>
                <c:pt idx="2">
                  <c:v>1.2009999999999996</c:v>
                </c:pt>
                <c:pt idx="3">
                  <c:v>19.189</c:v>
                </c:pt>
                <c:pt idx="4">
                  <c:v>0.23600000000000004</c:v>
                </c:pt>
                <c:pt idx="5" formatCode="0.00">
                  <c:v>1.2560000000000029</c:v>
                </c:pt>
                <c:pt idx="6">
                  <c:v>17.696999999999996</c:v>
                </c:pt>
                <c:pt idx="7">
                  <c:v>0.62300000000000022</c:v>
                </c:pt>
                <c:pt idx="8">
                  <c:v>0.80699999999999994</c:v>
                </c:pt>
                <c:pt idx="9">
                  <c:v>0.70700000000000018</c:v>
                </c:pt>
                <c:pt idx="10">
                  <c:v>15.554999999999998</c:v>
                </c:pt>
                <c:pt idx="11">
                  <c:v>1.4029999999999996</c:v>
                </c:pt>
                <c:pt idx="12">
                  <c:v>3.0759999999999987</c:v>
                </c:pt>
                <c:pt idx="13">
                  <c:v>0.26700000000000002</c:v>
                </c:pt>
                <c:pt idx="14">
                  <c:v>10.81</c:v>
                </c:pt>
                <c:pt idx="15">
                  <c:v>0.11600000000000002</c:v>
                </c:pt>
                <c:pt idx="16">
                  <c:v>4.5999999999999999E-2</c:v>
                </c:pt>
                <c:pt idx="17">
                  <c:v>1.0999999999999998E-2</c:v>
                </c:pt>
                <c:pt idx="18">
                  <c:v>10.636999999999999</c:v>
                </c:pt>
                <c:pt idx="19">
                  <c:v>0.28000000000000008</c:v>
                </c:pt>
                <c:pt idx="20">
                  <c:v>1.0999999999999998E-2</c:v>
                </c:pt>
                <c:pt idx="21">
                  <c:v>0.05</c:v>
                </c:pt>
                <c:pt idx="22">
                  <c:v>10.296000000000001</c:v>
                </c:pt>
              </c:numCache>
            </c:numRef>
          </c:val>
        </c:ser>
        <c:overlap val="100"/>
        <c:axId val="172675072"/>
        <c:axId val="172676608"/>
      </c:barChart>
      <c:catAx>
        <c:axId val="172675072"/>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l-GR" sz="55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l-GR"/>
          </a:p>
        </c:txPr>
        <c:crossAx val="172676608"/>
        <c:crosses val="autoZero"/>
        <c:auto val="1"/>
        <c:lblAlgn val="ctr"/>
        <c:lblOffset val="100"/>
      </c:catAx>
      <c:valAx>
        <c:axId val="172676608"/>
        <c:scaling>
          <c:orientation val="minMax"/>
          <c:min val="0"/>
        </c:scaling>
        <c:delete val="1"/>
        <c:axPos val="l"/>
        <c:numFmt formatCode="General" sourceLinked="1"/>
        <c:tickLblPos val="none"/>
        <c:crossAx val="172675072"/>
        <c:crosses val="autoZero"/>
        <c:crossBetween val="between"/>
      </c:valAx>
      <c:spPr>
        <a:noFill/>
        <a:ln>
          <a:noFill/>
        </a:ln>
        <a:effectLst/>
      </c:spPr>
    </c:plotArea>
    <c:plotVisOnly val="1"/>
    <c:dispBlanksAs val="gap"/>
  </c:chart>
  <c:spPr>
    <a:solidFill>
      <a:schemeClr val="bg1"/>
    </a:solidFill>
    <a:ln w="9525" cap="flat" cmpd="sng" algn="ctr">
      <a:solidFill>
        <a:sysClr val="window" lastClr="FFFFFF">
          <a:lumMod val="75000"/>
        </a:sysClr>
      </a:solidFill>
      <a:round/>
    </a:ln>
    <a:effectLst/>
  </c:spPr>
  <c:txPr>
    <a:bodyPr/>
    <a:lstStyle/>
    <a:p>
      <a:pPr>
        <a:defRPr>
          <a:latin typeface="Segoe UI" panose="020B0502040204020203" pitchFamily="34" charset="0"/>
          <a:cs typeface="Segoe UI" panose="020B0502040204020203" pitchFamily="34" charset="0"/>
        </a:defRPr>
      </a:pPr>
      <a:endParaRPr lang="el-GR"/>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1907583716983838E-2"/>
          <c:y val="0.27949830381874213"/>
          <c:w val="0.97558413319713799"/>
          <c:h val="0.51000624677025341"/>
        </c:manualLayout>
      </c:layout>
      <c:barChart>
        <c:barDir val="col"/>
        <c:grouping val="stacked"/>
        <c:ser>
          <c:idx val="0"/>
          <c:order val="0"/>
          <c:tx>
            <c:strRef>
              <c:f>Sheet1!$B$1</c:f>
              <c:strCache>
                <c:ptCount val="1"/>
                <c:pt idx="0">
                  <c:v>Series 1</c:v>
                </c:pt>
              </c:strCache>
            </c:strRef>
          </c:tx>
          <c:spPr>
            <a:noFill/>
            <a:ln>
              <a:noFill/>
            </a:ln>
            <a:effectLst/>
          </c:spPr>
          <c:cat>
            <c:strRef>
              <c:f>Sheet1!$A$2:$A$11</c:f>
              <c:strCache>
                <c:ptCount val="10"/>
                <c:pt idx="0">
                  <c:v>Δείκτης CET1 A' τριμήνου 2020</c:v>
                </c:pt>
                <c:pt idx="1">
                  <c:v>Αποτέλεσμα μετά φόρων B' τριμήνου 2020 </c:v>
                </c:pt>
                <c:pt idx="2">
                  <c:v>Αναβαλλόμενες φορολογικές απαιτήσεις                                   (DTA/DTC)</c:v>
                </c:pt>
                <c:pt idx="3">
                  <c:v>Αποτέλεσμα αποτίμησης ομολόγων (FVTOCI) </c:v>
                </c:pt>
                <c:pt idx="4">
                  <c:v>Σημαντικές επενδύσεις (SI) &amp; λοιπά</c:v>
                </c:pt>
                <c:pt idx="5">
                  <c:v>Δείκτης CET1 Β' τριμήνου 2020 </c:v>
                </c:pt>
                <c:pt idx="6">
                  <c:v>Συμφωνηθείσες πωλήσεις διεθνών θυγατρικών</c:v>
                </c:pt>
                <c:pt idx="7">
                  <c:v>Δείκτης CET1  Β' τριμήνου 2020 ενσωμ/ντας τις πωλήσεις διεθνών θυγατρικών </c:v>
                </c:pt>
                <c:pt idx="9">
                  <c:v>Νέες κεφαλαικές απαιτήσεις 2020 </c:v>
                </c:pt>
              </c:strCache>
            </c:strRef>
          </c:cat>
          <c:val>
            <c:numRef>
              <c:f>Sheet1!$B$2:$B$11</c:f>
              <c:numCache>
                <c:formatCode>0.00%</c:formatCode>
                <c:ptCount val="10"/>
                <c:pt idx="1">
                  <c:v>0.15470000000000006</c:v>
                </c:pt>
                <c:pt idx="2">
                  <c:v>0.15489800000000006</c:v>
                </c:pt>
                <c:pt idx="3">
                  <c:v>0.15489800000000006</c:v>
                </c:pt>
                <c:pt idx="4">
                  <c:v>0.15835800000000005</c:v>
                </c:pt>
                <c:pt idx="6" formatCode="0.0%">
                  <c:v>0.15908300000000006</c:v>
                </c:pt>
              </c:numCache>
            </c:numRef>
          </c:val>
        </c:ser>
        <c:ser>
          <c:idx val="1"/>
          <c:order val="1"/>
          <c:tx>
            <c:strRef>
              <c:f>Sheet1!$C$1</c:f>
              <c:strCache>
                <c:ptCount val="1"/>
                <c:pt idx="0">
                  <c:v>Series 2</c:v>
                </c:pt>
              </c:strCache>
            </c:strRef>
          </c:tx>
          <c:spPr>
            <a:solidFill>
              <a:srgbClr val="008080"/>
            </a:solidFill>
            <a:ln>
              <a:solidFill>
                <a:srgbClr val="008080"/>
              </a:solidFill>
            </a:ln>
            <a:effectLst/>
          </c:spPr>
          <c:dPt>
            <c:idx val="1"/>
            <c:spPr>
              <a:noFill/>
              <a:ln>
                <a:solidFill>
                  <a:srgbClr val="008080"/>
                </a:solidFill>
              </a:ln>
              <a:effectLst/>
            </c:spPr>
          </c:dPt>
          <c:dPt>
            <c:idx val="2"/>
            <c:spPr>
              <a:noFill/>
              <a:ln>
                <a:solidFill>
                  <a:srgbClr val="FF0000"/>
                </a:solidFill>
              </a:ln>
              <a:effectLst/>
            </c:spPr>
          </c:dPt>
          <c:dPt>
            <c:idx val="3"/>
            <c:spPr>
              <a:noFill/>
              <a:ln>
                <a:solidFill>
                  <a:srgbClr val="008080"/>
                </a:solidFill>
              </a:ln>
              <a:effectLst/>
            </c:spPr>
          </c:dPt>
          <c:dPt>
            <c:idx val="4"/>
            <c:spPr>
              <a:noFill/>
              <a:ln>
                <a:solidFill>
                  <a:srgbClr val="008080"/>
                </a:solidFill>
              </a:ln>
              <a:effectLst/>
            </c:spPr>
          </c:dPt>
          <c:dPt>
            <c:idx val="7"/>
            <c:spPr>
              <a:pattFill prst="dkDnDiag">
                <a:fgClr>
                  <a:srgbClr val="008080"/>
                </a:fgClr>
                <a:bgClr>
                  <a:sysClr val="window" lastClr="FFFFFF"/>
                </a:bgClr>
              </a:pattFill>
              <a:ln>
                <a:solidFill>
                  <a:srgbClr val="008080"/>
                </a:solidFill>
              </a:ln>
              <a:effectLst/>
            </c:spPr>
          </c:dPt>
          <c:dPt>
            <c:idx val="8"/>
            <c:spPr>
              <a:noFill/>
              <a:ln>
                <a:solidFill>
                  <a:srgbClr val="008080"/>
                </a:solidFill>
              </a:ln>
              <a:effectLst/>
            </c:spPr>
          </c:dPt>
          <c:dPt>
            <c:idx val="9"/>
            <c:spPr>
              <a:solidFill>
                <a:srgbClr val="FF7415"/>
              </a:solidFill>
              <a:ln>
                <a:solidFill>
                  <a:srgbClr val="FF7415"/>
                </a:solidFill>
              </a:ln>
              <a:effectLst/>
            </c:spPr>
          </c:dPt>
          <c:dPt>
            <c:idx val="10"/>
            <c:spPr>
              <a:solidFill>
                <a:srgbClr val="FF7910"/>
              </a:solidFill>
              <a:ln>
                <a:solidFill>
                  <a:srgbClr val="FF7910"/>
                </a:solidFill>
              </a:ln>
              <a:effectLst/>
            </c:spPr>
          </c:dPt>
          <c:dLbls>
            <c:dLbl>
              <c:idx val="0"/>
              <c:layout>
                <c:manualLayout>
                  <c:x val="1.545031249029528E-6"/>
                  <c:y val="-0.27402235970189831"/>
                </c:manualLayout>
              </c:layout>
              <c:tx>
                <c:rich>
                  <a:bodyPr/>
                  <a:lstStyle/>
                  <a:p>
                    <a:pPr>
                      <a:defRPr sz="600"/>
                    </a:pPr>
                    <a:r>
                      <a:rPr lang="en-US"/>
                      <a:t>15,5%</a:t>
                    </a:r>
                  </a:p>
                </c:rich>
              </c:tx>
              <c:numFmt formatCode="0.0%" sourceLinked="0"/>
              <c:spPr/>
              <c:showVal val="1"/>
              <c:extLst>
                <c:ext xmlns:c15="http://schemas.microsoft.com/office/drawing/2012/chart" uri="{CE6537A1-D6FC-4f65-9D91-7224C49458BB}">
                  <c15:layout/>
                </c:ext>
              </c:extLst>
            </c:dLbl>
            <c:dLbl>
              <c:idx val="1"/>
              <c:layout>
                <c:manualLayout>
                  <c:x val="-1.9636720667648511E-3"/>
                  <c:y val="-3.2863849765258232E-2"/>
                </c:manualLayout>
              </c:layout>
              <c:tx>
                <c:rich>
                  <a:bodyPr/>
                  <a:lstStyle/>
                  <a:p>
                    <a:pPr>
                      <a:defRPr sz="600"/>
                    </a:pPr>
                    <a:r>
                      <a:rPr lang="en-US"/>
                      <a:t>+0,15%</a:t>
                    </a:r>
                  </a:p>
                </c:rich>
              </c:tx>
              <c:spPr/>
              <c:showVal val="1"/>
              <c:extLst>
                <c:ext xmlns:c15="http://schemas.microsoft.com/office/drawing/2012/chart" uri="{CE6537A1-D6FC-4f65-9D91-7224C49458BB}">
                  <c15:layout/>
                </c:ext>
              </c:extLst>
            </c:dLbl>
            <c:dLbl>
              <c:idx val="2"/>
              <c:layout>
                <c:manualLayout>
                  <c:x val="-1.9636720667648511E-3"/>
                  <c:y val="3.2863849765258232E-2"/>
                </c:manualLayout>
              </c:layout>
              <c:tx>
                <c:rich>
                  <a:bodyPr/>
                  <a:lstStyle/>
                  <a:p>
                    <a:pPr>
                      <a:defRPr sz="600"/>
                    </a:pPr>
                    <a:r>
                      <a:rPr lang="en-US"/>
                      <a:t>-0,13%</a:t>
                    </a:r>
                  </a:p>
                </c:rich>
              </c:tx>
              <c:spPr/>
              <c:showVal val="1"/>
              <c:extLst>
                <c:ext xmlns:c15="http://schemas.microsoft.com/office/drawing/2012/chart" uri="{CE6537A1-D6FC-4f65-9D91-7224C49458BB}">
                  <c15:layout/>
                </c:ext>
              </c:extLst>
            </c:dLbl>
            <c:dLbl>
              <c:idx val="3"/>
              <c:layout>
                <c:manualLayout>
                  <c:x val="-7.2000477359052841E-17"/>
                  <c:y val="-5.2032823960246131E-2"/>
                </c:manualLayout>
              </c:layout>
              <c:tx>
                <c:rich>
                  <a:bodyPr/>
                  <a:lstStyle/>
                  <a:p>
                    <a:pPr>
                      <a:defRPr sz="600"/>
                    </a:pPr>
                    <a:r>
                      <a:rPr lang="en-US"/>
                      <a:t>+0,35%</a:t>
                    </a:r>
                  </a:p>
                </c:rich>
              </c:tx>
              <c:spPr/>
              <c:showVal val="1"/>
              <c:extLst>
                <c:ext xmlns:c15="http://schemas.microsoft.com/office/drawing/2012/chart" uri="{CE6537A1-D6FC-4f65-9D91-7224C49458BB}">
                  <c15:layout/>
                </c:ext>
              </c:extLst>
            </c:dLbl>
            <c:dLbl>
              <c:idx val="4"/>
              <c:layout>
                <c:manualLayout>
                  <c:x val="0"/>
                  <c:y val="-4.6354448876870097E-2"/>
                </c:manualLayout>
              </c:layout>
              <c:tx>
                <c:rich>
                  <a:bodyPr/>
                  <a:lstStyle/>
                  <a:p>
                    <a:pPr>
                      <a:defRPr sz="600"/>
                    </a:pPr>
                    <a:r>
                      <a:rPr lang="en-US"/>
                      <a:t>+0,07%</a:t>
                    </a:r>
                  </a:p>
                </c:rich>
              </c:tx>
              <c:spPr/>
              <c:showVal val="1"/>
              <c:extLst>
                <c:ext xmlns:c15="http://schemas.microsoft.com/office/drawing/2012/chart" uri="{CE6537A1-D6FC-4f65-9D91-7224C49458BB}">
                  <c15:layout/>
                </c:ext>
              </c:extLst>
            </c:dLbl>
            <c:dLbl>
              <c:idx val="5"/>
              <c:layout>
                <c:manualLayout>
                  <c:x val="9.6147294627107457E-2"/>
                  <c:y val="-0.26892200668674221"/>
                </c:manualLayout>
              </c:layout>
              <c:tx>
                <c:rich>
                  <a:bodyPr/>
                  <a:lstStyle/>
                  <a:p>
                    <a:pPr>
                      <a:defRPr sz="600" b="0"/>
                    </a:pPr>
                    <a:r>
                      <a:rPr lang="en-US" b="0"/>
                      <a:t>+0,17%</a:t>
                    </a:r>
                  </a:p>
                </c:rich>
              </c:tx>
              <c:spPr/>
              <c:showVal val="1"/>
              <c:extLst>
                <c:ext xmlns:c15="http://schemas.microsoft.com/office/drawing/2012/chart" uri="{CE6537A1-D6FC-4f65-9D91-7224C49458BB}">
                  <c15:layout/>
                </c:ext>
              </c:extLst>
            </c:dLbl>
            <c:dLbl>
              <c:idx val="6"/>
              <c:layout>
                <c:manualLayout>
                  <c:x val="-9.8109540431157508E-2"/>
                  <c:y val="-4.1371053914703367E-2"/>
                </c:manualLayout>
              </c:layout>
              <c:tx>
                <c:rich>
                  <a:bodyPr/>
                  <a:lstStyle/>
                  <a:p>
                    <a:pPr>
                      <a:defRPr sz="600" b="1"/>
                    </a:pPr>
                    <a:r>
                      <a:rPr lang="en-US" b="1"/>
                      <a:t>15,9%</a:t>
                    </a:r>
                  </a:p>
                </c:rich>
              </c:tx>
              <c:numFmt formatCode="0.0%" sourceLinked="0"/>
              <c:spPr/>
              <c:showVal val="1"/>
              <c:extLst>
                <c:ext xmlns:c15="http://schemas.microsoft.com/office/drawing/2012/chart" uri="{CE6537A1-D6FC-4f65-9D91-7224C49458BB}">
                  <c15:layout/>
                </c:ext>
              </c:extLst>
            </c:dLbl>
            <c:dLbl>
              <c:idx val="7"/>
              <c:layout>
                <c:manualLayout>
                  <c:x val="0"/>
                  <c:y val="-0.26422758997113205"/>
                </c:manualLayout>
              </c:layout>
              <c:tx>
                <c:rich>
                  <a:bodyPr/>
                  <a:lstStyle/>
                  <a:p>
                    <a:pPr>
                      <a:defRPr sz="600" b="1"/>
                    </a:pPr>
                    <a:r>
                      <a:rPr lang="en-US"/>
                      <a:t>16,1%</a:t>
                    </a:r>
                  </a:p>
                </c:rich>
              </c:tx>
              <c:numFmt formatCode="0.0%" sourceLinked="0"/>
              <c:spPr/>
              <c:showVal val="1"/>
              <c:extLst>
                <c:ext xmlns:c15="http://schemas.microsoft.com/office/drawing/2012/chart" uri="{CE6537A1-D6FC-4f65-9D91-7224C49458BB}">
                  <c15:layout/>
                </c:ext>
              </c:extLst>
            </c:dLbl>
            <c:dLbl>
              <c:idx val="8"/>
              <c:layout>
                <c:manualLayout>
                  <c:x val="0"/>
                  <c:y val="-0.28571701264614641"/>
                </c:manualLayout>
              </c:layout>
              <c:tx>
                <c:rich>
                  <a:bodyPr/>
                  <a:lstStyle/>
                  <a:p>
                    <a:pPr>
                      <a:defRPr sz="600" b="1"/>
                    </a:pPr>
                    <a:r>
                      <a:rPr lang="en-US" b="1"/>
                      <a:t>15,6%</a:t>
                    </a:r>
                  </a:p>
                </c:rich>
              </c:tx>
              <c:numFmt formatCode="0.0%" sourceLinked="0"/>
              <c:spPr/>
              <c:showVal val="1"/>
              <c:extLst>
                <c:ext xmlns:c15="http://schemas.microsoft.com/office/drawing/2012/chart" uri="{CE6537A1-D6FC-4f65-9D91-7224C49458BB}"/>
              </c:extLst>
            </c:dLbl>
            <c:dLbl>
              <c:idx val="9"/>
              <c:layout>
                <c:manualLayout>
                  <c:x val="-1.4400095471810561E-16"/>
                  <c:y val="-0.18972332015810281"/>
                </c:manualLayout>
              </c:layout>
              <c:tx>
                <c:rich>
                  <a:bodyPr wrap="square" lIns="38100" tIns="19050" rIns="38100" bIns="19050" anchor="ctr">
                    <a:spAutoFit/>
                  </a:bodyPr>
                  <a:lstStyle/>
                  <a:p>
                    <a:pPr>
                      <a:defRPr sz="600" b="1"/>
                    </a:pPr>
                    <a:r>
                      <a:rPr lang="en-US" sz="600" b="1"/>
                      <a:t>11,5%</a:t>
                    </a:r>
                  </a:p>
                </c:rich>
              </c:tx>
              <c:spPr>
                <a:noFill/>
                <a:ln>
                  <a:noFill/>
                </a:ln>
                <a:effectLst/>
              </c:spPr>
              <c:showVal val="1"/>
              <c:extLst>
                <c:ext xmlns:c15="http://schemas.microsoft.com/office/drawing/2012/chart" uri="{CE6537A1-D6FC-4f65-9D91-7224C49458BB}">
                  <c15:layout/>
                </c:ext>
              </c:extLst>
            </c:dLbl>
            <c:dLbl>
              <c:idx val="10"/>
              <c:layout>
                <c:manualLayout>
                  <c:x val="-1.9636720667648511E-3"/>
                  <c:y val="-0.23407384353635641"/>
                </c:manualLayout>
              </c:layout>
              <c:tx>
                <c:rich>
                  <a:bodyPr/>
                  <a:lstStyle/>
                  <a:p>
                    <a:pPr>
                      <a:defRPr sz="600"/>
                    </a:pPr>
                    <a:r>
                      <a:rPr lang="en-US"/>
                      <a:t>11,50%</a:t>
                    </a:r>
                  </a:p>
                </c:rich>
              </c:tx>
              <c:spPr/>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Sheet1!$A$2:$A$11</c:f>
              <c:strCache>
                <c:ptCount val="10"/>
                <c:pt idx="0">
                  <c:v>Δείκτης CET1 A' τριμήνου 2020</c:v>
                </c:pt>
                <c:pt idx="1">
                  <c:v>Αποτέλεσμα μετά φόρων B' τριμήνου 2020 </c:v>
                </c:pt>
                <c:pt idx="2">
                  <c:v>Αναβαλλόμενες φορολογικές απαιτήσεις                                   (DTA/DTC)</c:v>
                </c:pt>
                <c:pt idx="3">
                  <c:v>Αποτέλεσμα αποτίμησης ομολόγων (FVTOCI) </c:v>
                </c:pt>
                <c:pt idx="4">
                  <c:v>Σημαντικές επενδύσεις (SI) &amp; λοιπά</c:v>
                </c:pt>
                <c:pt idx="5">
                  <c:v>Δείκτης CET1 Β' τριμήνου 2020 </c:v>
                </c:pt>
                <c:pt idx="6">
                  <c:v>Συμφωνηθείσες πωλήσεις διεθνών θυγατρικών</c:v>
                </c:pt>
                <c:pt idx="7">
                  <c:v>Δείκτης CET1  Β' τριμήνου 2020 ενσωμ/ντας τις πωλήσεις διεθνών θυγατρικών </c:v>
                </c:pt>
                <c:pt idx="9">
                  <c:v>Νέες κεφαλαικές απαιτήσεις 2020 </c:v>
                </c:pt>
              </c:strCache>
            </c:strRef>
          </c:cat>
          <c:val>
            <c:numRef>
              <c:f>Sheet1!$C$2:$C$11</c:f>
              <c:numCache>
                <c:formatCode>0.00%</c:formatCode>
                <c:ptCount val="10"/>
                <c:pt idx="0">
                  <c:v>0.15470000000000006</c:v>
                </c:pt>
                <c:pt idx="1">
                  <c:v>1.5340000000000004E-3</c:v>
                </c:pt>
                <c:pt idx="2">
                  <c:v>1.3359999999999999E-3</c:v>
                </c:pt>
                <c:pt idx="3">
                  <c:v>3.4600000000000008E-3</c:v>
                </c:pt>
                <c:pt idx="4">
                  <c:v>7.2500000000000038E-4</c:v>
                </c:pt>
                <c:pt idx="5">
                  <c:v>0.15908300000000006</c:v>
                </c:pt>
                <c:pt idx="6">
                  <c:v>1.7400000000000004E-3</c:v>
                </c:pt>
                <c:pt idx="7" formatCode="0.0%">
                  <c:v>0.16082299999999997</c:v>
                </c:pt>
                <c:pt idx="9">
                  <c:v>0.115</c:v>
                </c:pt>
              </c:numCache>
            </c:numRef>
          </c:val>
        </c:ser>
        <c:gapWidth val="317"/>
        <c:overlap val="100"/>
        <c:axId val="69198208"/>
        <c:axId val="69199744"/>
      </c:barChart>
      <c:catAx>
        <c:axId val="691982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l-GR" sz="5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l-GR"/>
          </a:p>
        </c:txPr>
        <c:crossAx val="69199744"/>
        <c:crosses val="autoZero"/>
        <c:auto val="1"/>
        <c:lblAlgn val="ctr"/>
        <c:lblOffset val="100"/>
      </c:catAx>
      <c:valAx>
        <c:axId val="69199744"/>
        <c:scaling>
          <c:orientation val="minMax"/>
        </c:scaling>
        <c:delete val="1"/>
        <c:axPos val="l"/>
        <c:numFmt formatCode="General" sourceLinked="1"/>
        <c:tickLblPos val="none"/>
        <c:crossAx val="691982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500">
          <a:latin typeface="Segoe UI" panose="020B0502040204020203" pitchFamily="34" charset="0"/>
          <a:cs typeface="Segoe UI" panose="020B0502040204020203" pitchFamily="34" charset="0"/>
        </a:defRPr>
      </a:pPr>
      <a:endParaRPr lang="el-GR"/>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plotArea>
      <c:layout>
        <c:manualLayout>
          <c:layoutTarget val="inner"/>
          <c:xMode val="edge"/>
          <c:yMode val="edge"/>
          <c:x val="4.3829273440210294E-2"/>
          <c:y val="1.8661049468644303E-2"/>
          <c:w val="0.90161406359420004"/>
          <c:h val="0.86227112151521601"/>
        </c:manualLayout>
      </c:layout>
      <c:barChart>
        <c:barDir val="col"/>
        <c:grouping val="stacked"/>
        <c:ser>
          <c:idx val="4"/>
          <c:order val="0"/>
          <c:tx>
            <c:strRef>
              <c:f>Sheet1!$A$2</c:f>
              <c:strCache>
                <c:ptCount val="1"/>
                <c:pt idx="0">
                  <c:v>ECB</c:v>
                </c:pt>
              </c:strCache>
            </c:strRef>
          </c:tx>
          <c:spPr>
            <a:solidFill>
              <a:srgbClr val="008080"/>
            </a:solidFill>
            <a:ln w="9524">
              <a:solidFill>
                <a:srgbClr val="008080"/>
              </a:solidFill>
              <a:prstDash val="solid"/>
            </a:ln>
          </c:spPr>
          <c:invertIfNegative val="1"/>
          <c:dPt>
            <c:idx val="0"/>
            <c:invertIfNegative val="1"/>
          </c:dPt>
          <c:dPt>
            <c:idx val="1"/>
            <c:invertIfNegative val="1"/>
          </c:dPt>
          <c:dPt>
            <c:idx val="2"/>
            <c:invertIfNegative val="1"/>
          </c:dPt>
          <c:dPt>
            <c:idx val="3"/>
            <c:invertIfNegative val="1"/>
          </c:dPt>
          <c:dPt>
            <c:idx val="4"/>
            <c:invertIfNegative val="1"/>
          </c:dPt>
          <c:dPt>
            <c:idx val="5"/>
            <c:invertIfNegative val="1"/>
          </c:dPt>
          <c:dPt>
            <c:idx val="6"/>
            <c:invertIfNegative val="1"/>
          </c:dPt>
          <c:dPt>
            <c:idx val="7"/>
            <c:invertIfNegative val="1"/>
            <c:spPr>
              <a:solidFill>
                <a:srgbClr val="008080"/>
              </a:solidFill>
              <a:ln w="12700">
                <a:noFill/>
                <a:prstDash val="sysDash"/>
              </a:ln>
            </c:spPr>
          </c:dPt>
          <c:dPt>
            <c:idx val="8"/>
            <c:invertIfNegative val="1"/>
            <c:spPr>
              <a:noFill/>
              <a:ln w="12700">
                <a:solidFill>
                  <a:srgbClr val="008080"/>
                </a:solidFill>
                <a:prstDash val="sysDash"/>
              </a:ln>
            </c:spPr>
          </c:dPt>
          <c:dLbls>
            <c:dLbl>
              <c:idx val="0"/>
              <c:tx>
                <c:rich>
                  <a:bodyPr/>
                  <a:lstStyle/>
                  <a:p>
                    <a:pPr>
                      <a:defRPr sz="600"/>
                    </a:pPr>
                    <a:r>
                      <a:rPr lang="en-US" sz="600"/>
                      <a:t>10,0</a:t>
                    </a:r>
                    <a:endParaRPr lang="en-US" sz="700"/>
                  </a:p>
                </c:rich>
              </c:tx>
              <c:spPr>
                <a:solidFill>
                  <a:sysClr val="window" lastClr="FFFFFF"/>
                </a:solidFill>
                <a:ln>
                  <a:solidFill>
                    <a:srgbClr val="008080"/>
                  </a:solidFill>
                </a:ln>
              </c:spPr>
              <c:showVal val="1"/>
              <c:extLst>
                <c:ext xmlns:c15="http://schemas.microsoft.com/office/drawing/2012/chart" uri="{CE6537A1-D6FC-4f65-9D91-7224C49458BB}">
                  <c15:layout/>
                </c:ext>
              </c:extLst>
            </c:dLbl>
            <c:dLbl>
              <c:idx val="1"/>
              <c:tx>
                <c:rich>
                  <a:bodyPr/>
                  <a:lstStyle/>
                  <a:p>
                    <a:pPr>
                      <a:defRPr sz="600"/>
                    </a:pPr>
                    <a:r>
                      <a:rPr lang="en-US" sz="600"/>
                      <a:t>12,5</a:t>
                    </a:r>
                    <a:endParaRPr lang="en-US" sz="700"/>
                  </a:p>
                </c:rich>
              </c:tx>
              <c:spPr>
                <a:solidFill>
                  <a:sysClr val="window" lastClr="FFFFFF"/>
                </a:solidFill>
                <a:ln>
                  <a:solidFill>
                    <a:srgbClr val="008080"/>
                  </a:solidFill>
                </a:ln>
              </c:spPr>
              <c:showVal val="1"/>
              <c:extLst>
                <c:ext xmlns:c15="http://schemas.microsoft.com/office/drawing/2012/chart" uri="{CE6537A1-D6FC-4f65-9D91-7224C49458BB}">
                  <c15:layout/>
                </c:ext>
              </c:extLst>
            </c:dLbl>
            <c:dLbl>
              <c:idx val="2"/>
              <c:tx>
                <c:rich>
                  <a:bodyPr/>
                  <a:lstStyle/>
                  <a:p>
                    <a:pPr>
                      <a:defRPr sz="600"/>
                    </a:pPr>
                    <a:r>
                      <a:rPr lang="en-US" sz="600"/>
                      <a:t>6,7</a:t>
                    </a:r>
                    <a:endParaRPr lang="en-US" sz="700"/>
                  </a:p>
                </c:rich>
              </c:tx>
              <c:spPr>
                <a:solidFill>
                  <a:sysClr val="window" lastClr="FFFFFF"/>
                </a:solidFill>
                <a:ln>
                  <a:solidFill>
                    <a:srgbClr val="008080"/>
                  </a:solidFill>
                </a:ln>
              </c:spPr>
              <c:showVal val="1"/>
              <c:extLst>
                <c:ext xmlns:c15="http://schemas.microsoft.com/office/drawing/2012/chart" uri="{CE6537A1-D6FC-4f65-9D91-7224C49458BB}">
                  <c15:layout/>
                </c:ext>
              </c:extLst>
            </c:dLbl>
            <c:delete val="1"/>
            <c:spPr>
              <a:noFill/>
              <a:ln>
                <a:noFill/>
              </a:ln>
              <a:effectLst/>
            </c:spPr>
            <c:txPr>
              <a:bodyPr/>
              <a:lstStyle/>
              <a:p>
                <a:pPr>
                  <a:defRPr sz="600"/>
                </a:pPr>
                <a:endParaRPr lang="el-GR"/>
              </a:p>
            </c:txPr>
            <c:extLst>
              <c:ext xmlns:c15="http://schemas.microsoft.com/office/drawing/2012/chart" uri="{CE6537A1-D6FC-4f65-9D91-7224C49458BB}">
                <c15:showLeaderLines val="0"/>
              </c:ext>
            </c:extLst>
          </c:dLbls>
          <c:cat>
            <c:strRef>
              <c:f>Sheet1!$B$1:$AS$1</c:f>
              <c:strCache>
                <c:ptCount val="9"/>
                <c:pt idx="0">
                  <c:v>B' τρίμηνο 2015</c:v>
                </c:pt>
                <c:pt idx="1">
                  <c:v>Δ' τρίμηνο 2015</c:v>
                </c:pt>
                <c:pt idx="2">
                  <c:v>Δ' τρίμηνο 2016</c:v>
                </c:pt>
                <c:pt idx="3">
                  <c:v>Δ' τρίμηνο 2017</c:v>
                </c:pt>
                <c:pt idx="4">
                  <c:v>Δ' τρίμηνο 2018</c:v>
                </c:pt>
                <c:pt idx="5">
                  <c:v>Δ' τρίμηνο 2019</c:v>
                </c:pt>
                <c:pt idx="6">
                  <c:v>Α' τρίμηνο 2020</c:v>
                </c:pt>
                <c:pt idx="7">
                  <c:v>Β' τρίμηνο 2020</c:v>
                </c:pt>
                <c:pt idx="8">
                  <c:v>Ιούλιος 2020</c:v>
                </c:pt>
              </c:strCache>
            </c:strRef>
          </c:cat>
          <c:val>
            <c:numRef>
              <c:f>Sheet1!$B$2:$AS$2</c:f>
              <c:numCache>
                <c:formatCode>0.0</c:formatCode>
                <c:ptCount val="9"/>
                <c:pt idx="0">
                  <c:v>10</c:v>
                </c:pt>
                <c:pt idx="1">
                  <c:v>12.529</c:v>
                </c:pt>
                <c:pt idx="2" formatCode="General">
                  <c:v>6.7</c:v>
                </c:pt>
                <c:pt idx="3" formatCode="General">
                  <c:v>2.75</c:v>
                </c:pt>
                <c:pt idx="4">
                  <c:v>2.2490000000000001</c:v>
                </c:pt>
                <c:pt idx="5">
                  <c:v>2.2490000000000001</c:v>
                </c:pt>
                <c:pt idx="6" formatCode="General">
                  <c:v>3.4</c:v>
                </c:pt>
                <c:pt idx="7" formatCode="General">
                  <c:v>10.5</c:v>
                </c:pt>
                <c:pt idx="8">
                  <c:v>10.5</c:v>
                </c:pt>
              </c:numCache>
            </c:numRef>
          </c:val>
          <c:extLst>
            <c:ext xmlns:c14="http://schemas.microsoft.com/office/drawing/2007/8/2/chart" uri="{6F2FDCE9-48DA-4B69-8628-5D25D57E5C99}">
              <c14:invertSolidFillFmt>
                <c14:spPr xmlns:c14="http://schemas.microsoft.com/office/drawing/2007/8/2/chart">
                  <a:solidFill>
                    <a:srgbClr val="FFFFFF"/>
                  </a:solidFill>
                  <a:ln w="9524">
                    <a:solidFill>
                      <a:srgbClr val="008080"/>
                    </a:solidFill>
                    <a:prstDash val="solid"/>
                  </a:ln>
                </c14:spPr>
              </c14:invertSolidFillFmt>
            </c:ext>
          </c:extLst>
        </c:ser>
        <c:ser>
          <c:idx val="0"/>
          <c:order val="1"/>
          <c:tx>
            <c:strRef>
              <c:f>Sheet1!$A$3</c:f>
              <c:strCache>
                <c:ptCount val="1"/>
                <c:pt idx="0">
                  <c:v>ELA</c:v>
                </c:pt>
              </c:strCache>
            </c:strRef>
          </c:tx>
          <c:spPr>
            <a:noFill/>
            <a:ln>
              <a:solidFill>
                <a:srgbClr val="008080"/>
              </a:solidFill>
            </a:ln>
          </c:spPr>
          <c:dLbls>
            <c:dLbl>
              <c:idx val="0"/>
              <c:tx>
                <c:rich>
                  <a:bodyPr/>
                  <a:lstStyle/>
                  <a:p>
                    <a:pPr>
                      <a:defRPr sz="600"/>
                    </a:pPr>
                    <a:r>
                      <a:rPr lang="en-US"/>
                      <a:t>17,6</a:t>
                    </a:r>
                  </a:p>
                </c:rich>
              </c:tx>
              <c:spPr>
                <a:solidFill>
                  <a:sysClr val="window" lastClr="FFFFFF"/>
                </a:solidFill>
                <a:ln>
                  <a:solidFill>
                    <a:srgbClr val="008080"/>
                  </a:solidFill>
                </a:ln>
              </c:spPr>
              <c:showVal val="1"/>
              <c:extLst>
                <c:ext xmlns:c15="http://schemas.microsoft.com/office/drawing/2012/chart" uri="{CE6537A1-D6FC-4f65-9D91-7224C49458BB}">
                  <c15:layout/>
                </c:ext>
              </c:extLst>
            </c:dLbl>
            <c:dLbl>
              <c:idx val="1"/>
              <c:tx>
                <c:rich>
                  <a:bodyPr/>
                  <a:lstStyle/>
                  <a:p>
                    <a:pPr>
                      <a:defRPr sz="600"/>
                    </a:pPr>
                    <a:r>
                      <a:rPr lang="en-US"/>
                      <a:t>11,5</a:t>
                    </a:r>
                  </a:p>
                </c:rich>
              </c:tx>
              <c:spPr>
                <a:solidFill>
                  <a:sysClr val="window" lastClr="FFFFFF"/>
                </a:solidFill>
                <a:ln>
                  <a:solidFill>
                    <a:srgbClr val="008080"/>
                  </a:solidFill>
                </a:ln>
              </c:spPr>
              <c:showVal val="1"/>
              <c:extLst>
                <c:ext xmlns:c15="http://schemas.microsoft.com/office/drawing/2012/chart" uri="{CE6537A1-D6FC-4f65-9D91-7224C49458BB}">
                  <c15:layout/>
                </c:ext>
              </c:extLst>
            </c:dLbl>
            <c:dLbl>
              <c:idx val="2"/>
              <c:tx>
                <c:rich>
                  <a:bodyPr/>
                  <a:lstStyle/>
                  <a:p>
                    <a:pPr>
                      <a:defRPr sz="600"/>
                    </a:pPr>
                    <a:r>
                      <a:rPr lang="en-US"/>
                      <a:t>5,6</a:t>
                    </a:r>
                  </a:p>
                </c:rich>
              </c:tx>
              <c:spPr>
                <a:solidFill>
                  <a:sysClr val="window" lastClr="FFFFFF"/>
                </a:solidFill>
                <a:ln>
                  <a:solidFill>
                    <a:srgbClr val="008080"/>
                  </a:solidFill>
                </a:ln>
              </c:spPr>
              <c:showVal val="1"/>
              <c:extLst>
                <c:ext xmlns:c15="http://schemas.microsoft.com/office/drawing/2012/chart" uri="{CE6537A1-D6FC-4f65-9D91-7224C49458BB}">
                  <c15:layout/>
                </c:ext>
              </c:extLst>
            </c:dLbl>
            <c:delete val="1"/>
            <c:spPr>
              <a:solidFill>
                <a:sysClr val="window" lastClr="FFFFFF"/>
              </a:solidFill>
            </c:spPr>
            <c:txPr>
              <a:bodyPr/>
              <a:lstStyle/>
              <a:p>
                <a:pPr>
                  <a:defRPr sz="600"/>
                </a:pPr>
                <a:endParaRPr lang="el-GR"/>
              </a:p>
            </c:txPr>
            <c:extLst>
              <c:ext xmlns:c15="http://schemas.microsoft.com/office/drawing/2012/chart" uri="{CE6537A1-D6FC-4f65-9D91-7224C49458BB}">
                <c15:showLeaderLines val="0"/>
              </c:ext>
            </c:extLst>
          </c:dLbls>
          <c:cat>
            <c:strRef>
              <c:f>Sheet1!$B$1:$AS$1</c:f>
              <c:strCache>
                <c:ptCount val="9"/>
                <c:pt idx="0">
                  <c:v>B' τρίμηνο 2015</c:v>
                </c:pt>
                <c:pt idx="1">
                  <c:v>Δ' τρίμηνο 2015</c:v>
                </c:pt>
                <c:pt idx="2">
                  <c:v>Δ' τρίμηνο 2016</c:v>
                </c:pt>
                <c:pt idx="3">
                  <c:v>Δ' τρίμηνο 2017</c:v>
                </c:pt>
                <c:pt idx="4">
                  <c:v>Δ' τρίμηνο 2018</c:v>
                </c:pt>
                <c:pt idx="5">
                  <c:v>Δ' τρίμηνο 2019</c:v>
                </c:pt>
                <c:pt idx="6">
                  <c:v>Α' τρίμηνο 2020</c:v>
                </c:pt>
                <c:pt idx="7">
                  <c:v>Β' τρίμηνο 2020</c:v>
                </c:pt>
                <c:pt idx="8">
                  <c:v>Ιούλιος 2020</c:v>
                </c:pt>
              </c:strCache>
            </c:strRef>
          </c:cat>
          <c:val>
            <c:numRef>
              <c:f>Sheet1!$B$3:$AS$3</c:f>
              <c:numCache>
                <c:formatCode>0.0</c:formatCode>
                <c:ptCount val="9"/>
                <c:pt idx="0">
                  <c:v>17.600000000000001</c:v>
                </c:pt>
                <c:pt idx="1">
                  <c:v>11.5</c:v>
                </c:pt>
                <c:pt idx="2" formatCode="General">
                  <c:v>5.6</c:v>
                </c:pt>
                <c:pt idx="3" formatCode="General">
                  <c:v>0</c:v>
                </c:pt>
                <c:pt idx="4">
                  <c:v>0</c:v>
                </c:pt>
                <c:pt idx="5">
                  <c:v>0</c:v>
                </c:pt>
                <c:pt idx="6" formatCode="General">
                  <c:v>0</c:v>
                </c:pt>
                <c:pt idx="7" formatCode="General">
                  <c:v>0</c:v>
                </c:pt>
                <c:pt idx="8" formatCode="General">
                  <c:v>0</c:v>
                </c:pt>
              </c:numCache>
            </c:numRef>
          </c:val>
        </c:ser>
        <c:ser>
          <c:idx val="1"/>
          <c:order val="2"/>
          <c:tx>
            <c:strRef>
              <c:f>Sheet1!$A$4</c:f>
              <c:strCache>
                <c:ptCount val="1"/>
              </c:strCache>
            </c:strRef>
          </c:tx>
          <c:spPr>
            <a:noFill/>
            <a:ln>
              <a:noFill/>
            </a:ln>
          </c:spPr>
          <c:dLbls>
            <c:dLbl>
              <c:idx val="0"/>
              <c:tx>
                <c:rich>
                  <a:bodyPr/>
                  <a:lstStyle/>
                  <a:p>
                    <a:r>
                      <a:rPr lang="en-US"/>
                      <a:t>27,6</a:t>
                    </a:r>
                  </a:p>
                </c:rich>
              </c:tx>
              <c:dLblPos val="inBase"/>
              <c:showVal val="1"/>
              <c:extLst>
                <c:ext xmlns:c15="http://schemas.microsoft.com/office/drawing/2012/chart" uri="{CE6537A1-D6FC-4f65-9D91-7224C49458BB}">
                  <c15:layout/>
                </c:ext>
              </c:extLst>
            </c:dLbl>
            <c:dLbl>
              <c:idx val="1"/>
              <c:tx>
                <c:rich>
                  <a:bodyPr/>
                  <a:lstStyle/>
                  <a:p>
                    <a:r>
                      <a:rPr lang="en-US"/>
                      <a:t>24,0</a:t>
                    </a:r>
                  </a:p>
                </c:rich>
              </c:tx>
              <c:dLblPos val="inBase"/>
              <c:showVal val="1"/>
              <c:extLst>
                <c:ext xmlns:c15="http://schemas.microsoft.com/office/drawing/2012/chart" uri="{CE6537A1-D6FC-4f65-9D91-7224C49458BB}">
                  <c15:layout/>
                </c:ext>
              </c:extLst>
            </c:dLbl>
            <c:dLbl>
              <c:idx val="2"/>
              <c:tx>
                <c:rich>
                  <a:bodyPr/>
                  <a:lstStyle/>
                  <a:p>
                    <a:r>
                      <a:rPr lang="en-US"/>
                      <a:t>12,3</a:t>
                    </a:r>
                  </a:p>
                </c:rich>
              </c:tx>
              <c:dLblPos val="inBase"/>
              <c:showVal val="1"/>
              <c:extLst>
                <c:ext xmlns:c15="http://schemas.microsoft.com/office/drawing/2012/chart" uri="{CE6537A1-D6FC-4f65-9D91-7224C49458BB}">
                  <c15:layout/>
                </c:ext>
              </c:extLst>
            </c:dLbl>
            <c:dLbl>
              <c:idx val="3"/>
              <c:layout>
                <c:manualLayout>
                  <c:x val="-1.5576687928845694E-7"/>
                  <c:y val="-6.8821263496077209E-3"/>
                </c:manualLayout>
              </c:layout>
              <c:tx>
                <c:rich>
                  <a:bodyPr/>
                  <a:lstStyle/>
                  <a:p>
                    <a:r>
                      <a:rPr lang="en-US"/>
                      <a:t>2,8</a:t>
                    </a:r>
                  </a:p>
                </c:rich>
              </c:tx>
              <c:dLblPos val="ctr"/>
              <c:showVal val="1"/>
              <c:extLst>
                <c:ext xmlns:c15="http://schemas.microsoft.com/office/drawing/2012/chart" uri="{CE6537A1-D6FC-4f65-9D91-7224C49458BB}">
                  <c15:layout/>
                </c:ext>
              </c:extLst>
            </c:dLbl>
            <c:dLbl>
              <c:idx val="4"/>
              <c:layout>
                <c:manualLayout>
                  <c:x val="7.2534605529372187E-17"/>
                  <c:y val="-1.4065558387042949E-2"/>
                </c:manualLayout>
              </c:layout>
              <c:tx>
                <c:rich>
                  <a:bodyPr/>
                  <a:lstStyle/>
                  <a:p>
                    <a:r>
                      <a:rPr lang="en-US"/>
                      <a:t>2,2</a:t>
                    </a:r>
                  </a:p>
                </c:rich>
              </c:tx>
              <c:dLblPos val="ctr"/>
              <c:showVal val="1"/>
              <c:extLst>
                <c:ext xmlns:c15="http://schemas.microsoft.com/office/drawing/2012/chart" uri="{CE6537A1-D6FC-4f65-9D91-7224C49458BB}">
                  <c15:layout/>
                </c:ext>
              </c:extLst>
            </c:dLbl>
            <c:dLbl>
              <c:idx val="5"/>
              <c:layout>
                <c:manualLayout>
                  <c:x val="0"/>
                  <c:y val="-1.4065558387043053E-2"/>
                </c:manualLayout>
              </c:layout>
              <c:tx>
                <c:rich>
                  <a:bodyPr/>
                  <a:lstStyle/>
                  <a:p>
                    <a:r>
                      <a:rPr lang="en-US"/>
                      <a:t>2,2</a:t>
                    </a:r>
                  </a:p>
                </c:rich>
              </c:tx>
              <c:dLblPos val="ctr"/>
              <c:showVal val="1"/>
              <c:extLst>
                <c:ext xmlns:c15="http://schemas.microsoft.com/office/drawing/2012/chart" uri="{CE6537A1-D6FC-4f65-9D91-7224C49458BB}">
                  <c15:layout/>
                </c:ext>
              </c:extLst>
            </c:dLbl>
            <c:dLbl>
              <c:idx val="6"/>
              <c:layout>
                <c:manualLayout>
                  <c:x val="0"/>
                  <c:y val="2.493718694204723E-3"/>
                </c:manualLayout>
              </c:layout>
              <c:dLblPos val="ctr"/>
              <c:showVal val="1"/>
              <c:extLst>
                <c:ext xmlns:c15="http://schemas.microsoft.com/office/drawing/2012/chart" uri="{CE6537A1-D6FC-4f65-9D91-7224C49458BB}">
                  <c15:layout/>
                </c:ext>
              </c:extLst>
            </c:dLbl>
            <c:dLbl>
              <c:idx val="7"/>
              <c:tx>
                <c:rich>
                  <a:bodyPr/>
                  <a:lstStyle/>
                  <a:p>
                    <a:r>
                      <a:rPr lang="en-US"/>
                      <a:t>10,5</a:t>
                    </a:r>
                  </a:p>
                </c:rich>
              </c:tx>
              <c:dLblPos val="inBase"/>
              <c:showVal val="1"/>
              <c:extLst>
                <c:ext xmlns:c15="http://schemas.microsoft.com/office/drawing/2012/chart" uri="{CE6537A1-D6FC-4f65-9D91-7224C49458BB}">
                  <c15:layout/>
                </c:ext>
              </c:extLst>
            </c:dLbl>
            <c:dLbl>
              <c:idx val="8"/>
              <c:tx>
                <c:rich>
                  <a:bodyPr/>
                  <a:lstStyle/>
                  <a:p>
                    <a:r>
                      <a:rPr lang="en-US"/>
                      <a:t>10,5</a:t>
                    </a:r>
                  </a:p>
                </c:rich>
              </c:tx>
              <c:dLblPos val="inBase"/>
              <c:showVal val="1"/>
              <c:extLst>
                <c:ext xmlns:c15="http://schemas.microsoft.com/office/drawing/2012/chart" uri="{CE6537A1-D6FC-4f65-9D91-7224C49458BB}">
                  <c15:layout/>
                </c:ext>
              </c:extLst>
            </c:dLbl>
            <c:dLbl>
              <c:idx val="12"/>
              <c:layout>
                <c:manualLayout>
                  <c:x val="-1.9206430101420045E-3"/>
                  <c:y val="-8.5256710476247968E-3"/>
                </c:manualLayout>
              </c:layout>
              <c:dLblPos val="ctr"/>
              <c:showVal val="1"/>
              <c:extLst>
                <c:ext xmlns:c15="http://schemas.microsoft.com/office/drawing/2012/chart" uri="{CE6537A1-D6FC-4f65-9D91-7224C49458BB}"/>
              </c:extLst>
            </c:dLbl>
            <c:dLbl>
              <c:idx val="13"/>
              <c:layout>
                <c:manualLayout>
                  <c:x val="2.8560261477063756E-3"/>
                  <c:y val="-2.0510411808670847E-3"/>
                </c:manualLayout>
              </c:layout>
              <c:dLblPos val="ctr"/>
              <c:showVal val="1"/>
              <c:extLst>
                <c:ext xmlns:c15="http://schemas.microsoft.com/office/drawing/2012/chart" uri="{CE6537A1-D6FC-4f65-9D91-7224C49458BB}"/>
              </c:extLst>
            </c:dLbl>
            <c:dLbl>
              <c:idx val="14"/>
              <c:layout>
                <c:manualLayout>
                  <c:x val="-1.0471974901776118E-16"/>
                  <c:y val="6.406174077902717E-3"/>
                </c:manualLayout>
              </c:layout>
              <c:dLblPos val="ctr"/>
              <c:showVal val="1"/>
              <c:extLst>
                <c:ext xmlns:c15="http://schemas.microsoft.com/office/drawing/2012/chart" uri="{CE6537A1-D6FC-4f65-9D91-7224C49458BB}"/>
              </c:extLst>
            </c:dLbl>
            <c:numFmt formatCode="#,##0.0" sourceLinked="0"/>
            <c:spPr>
              <a:noFill/>
              <a:ln>
                <a:noFill/>
              </a:ln>
              <a:effectLst/>
            </c:spPr>
            <c:txPr>
              <a:bodyPr/>
              <a:lstStyle/>
              <a:p>
                <a:pPr>
                  <a:defRPr lang="el-GR" sz="700"/>
                </a:pPr>
                <a:endParaRPr lang="el-GR"/>
              </a:p>
            </c:txPr>
            <c:dLblPos val="inBase"/>
            <c:showVal val="1"/>
            <c:extLst>
              <c:ext xmlns:c15="http://schemas.microsoft.com/office/drawing/2012/chart" uri="{CE6537A1-D6FC-4f65-9D91-7224C49458BB}">
                <c15:showLeaderLines val="1"/>
              </c:ext>
            </c:extLst>
          </c:dLbls>
          <c:cat>
            <c:strRef>
              <c:f>Sheet1!$B$1:$AS$1</c:f>
              <c:strCache>
                <c:ptCount val="9"/>
                <c:pt idx="0">
                  <c:v>B' τρίμηνο 2015</c:v>
                </c:pt>
                <c:pt idx="1">
                  <c:v>Δ' τρίμηνο 2015</c:v>
                </c:pt>
                <c:pt idx="2">
                  <c:v>Δ' τρίμηνο 2016</c:v>
                </c:pt>
                <c:pt idx="3">
                  <c:v>Δ' τρίμηνο 2017</c:v>
                </c:pt>
                <c:pt idx="4">
                  <c:v>Δ' τρίμηνο 2018</c:v>
                </c:pt>
                <c:pt idx="5">
                  <c:v>Δ' τρίμηνο 2019</c:v>
                </c:pt>
                <c:pt idx="6">
                  <c:v>Α' τρίμηνο 2020</c:v>
                </c:pt>
                <c:pt idx="7">
                  <c:v>Β' τρίμηνο 2020</c:v>
                </c:pt>
                <c:pt idx="8">
                  <c:v>Ιούλιος 2020</c:v>
                </c:pt>
              </c:strCache>
            </c:strRef>
          </c:cat>
          <c:val>
            <c:numRef>
              <c:f>Sheet1!$B$4:$AS$4</c:f>
              <c:numCache>
                <c:formatCode>0.0</c:formatCode>
                <c:ptCount val="9"/>
                <c:pt idx="0">
                  <c:v>27.6</c:v>
                </c:pt>
                <c:pt idx="1">
                  <c:v>24.029</c:v>
                </c:pt>
                <c:pt idx="2" formatCode="General">
                  <c:v>12.3</c:v>
                </c:pt>
                <c:pt idx="3" formatCode="General">
                  <c:v>2.75</c:v>
                </c:pt>
                <c:pt idx="4">
                  <c:v>2.2490000000000001</c:v>
                </c:pt>
                <c:pt idx="5">
                  <c:v>2.2490000000000001</c:v>
                </c:pt>
                <c:pt idx="6" formatCode="General">
                  <c:v>3.4</c:v>
                </c:pt>
                <c:pt idx="7" formatCode="General">
                  <c:v>10.5</c:v>
                </c:pt>
                <c:pt idx="8">
                  <c:v>10.5</c:v>
                </c:pt>
              </c:numCache>
            </c:numRef>
          </c:val>
        </c:ser>
        <c:gapWidth val="500"/>
        <c:overlap val="100"/>
        <c:axId val="194845312"/>
        <c:axId val="194871680"/>
      </c:barChart>
      <c:catAx>
        <c:axId val="194845312"/>
        <c:scaling>
          <c:orientation val="minMax"/>
        </c:scaling>
        <c:axPos val="b"/>
        <c:numFmt formatCode="General" sourceLinked="1"/>
        <c:majorTickMark val="none"/>
        <c:tickLblPos val="nextTo"/>
        <c:spPr>
          <a:ln w="9526">
            <a:solidFill>
              <a:schemeClr val="bg1">
                <a:lumMod val="75000"/>
              </a:schemeClr>
            </a:solidFill>
          </a:ln>
        </c:spPr>
        <c:txPr>
          <a:bodyPr rot="0" vert="horz"/>
          <a:lstStyle/>
          <a:p>
            <a:pPr>
              <a:defRPr lang="el-GR" sz="600"/>
            </a:pPr>
            <a:endParaRPr lang="el-GR"/>
          </a:p>
        </c:txPr>
        <c:crossAx val="194871680"/>
        <c:crosses val="autoZero"/>
        <c:auto val="1"/>
        <c:lblAlgn val="ctr"/>
        <c:lblOffset val="100"/>
      </c:catAx>
      <c:valAx>
        <c:axId val="194871680"/>
        <c:scaling>
          <c:orientation val="minMax"/>
          <c:max val="30"/>
          <c:min val="0"/>
        </c:scaling>
        <c:delete val="1"/>
        <c:axPos val="l"/>
        <c:numFmt formatCode="0.0" sourceLinked="1"/>
        <c:tickLblPos val="none"/>
        <c:crossAx val="194845312"/>
        <c:crosses val="autoZero"/>
        <c:crossBetween val="between"/>
      </c:valAx>
      <c:spPr>
        <a:noFill/>
        <a:ln w="25361">
          <a:noFill/>
        </a:ln>
      </c:spPr>
    </c:plotArea>
    <c:plotVisOnly val="1"/>
    <c:dispBlanksAs val="zero"/>
  </c:chart>
  <c:spPr>
    <a:noFill/>
    <a:ln>
      <a:solidFill>
        <a:sysClr val="window" lastClr="FFFFFF">
          <a:lumMod val="75000"/>
        </a:sysClr>
      </a:solidFill>
    </a:ln>
  </c:spPr>
  <c:txPr>
    <a:bodyPr/>
    <a:lstStyle/>
    <a:p>
      <a:pPr>
        <a:defRPr sz="801" b="0" i="0" u="none" strike="noStrike" baseline="0">
          <a:solidFill>
            <a:schemeClr val="tx1"/>
          </a:solidFill>
          <a:latin typeface="Segoe UI" panose="020B0502040204020203" pitchFamily="34" charset="0"/>
          <a:ea typeface="Calibri"/>
          <a:cs typeface="Segoe UI" panose="020B0502040204020203" pitchFamily="34" charset="0"/>
        </a:defRPr>
      </a:pPr>
      <a:endParaRPr lang="el-G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157861875195128E-2"/>
          <c:y val="9.3851132686084235E-2"/>
          <c:w val="0.95407214066754287"/>
          <c:h val="0.6941095034182585"/>
        </c:manualLayout>
      </c:layout>
      <c:barChart>
        <c:barDir val="col"/>
        <c:grouping val="stacked"/>
        <c:ser>
          <c:idx val="0"/>
          <c:order val="0"/>
          <c:tx>
            <c:strRef>
              <c:f>Sheet1!$A$3</c:f>
              <c:strCache>
                <c:ptCount val="1"/>
                <c:pt idx="0">
                  <c:v>Depos</c:v>
                </c:pt>
              </c:strCache>
            </c:strRef>
          </c:tx>
          <c:dLbls>
            <c:spPr>
              <a:noFill/>
              <a:ln>
                <a:noFill/>
              </a:ln>
              <a:effectLst/>
            </c:spPr>
            <c:txPr>
              <a:bodyPr/>
              <a:lstStyle/>
              <a:p>
                <a:pPr>
                  <a:defRPr sz="799">
                    <a:solidFill>
                      <a:schemeClr val="bg1"/>
                    </a:solidFill>
                  </a:defRPr>
                </a:pPr>
                <a:endParaRPr lang="el-GR"/>
              </a:p>
            </c:txPr>
            <c:showVal val="1"/>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Α' εξάμηνο 2020</c:v>
                </c:pt>
              </c:strCache>
            </c:strRef>
          </c:cat>
          <c:val>
            <c:numRef>
              <c:f>Sheet1!$B$3:$W$3</c:f>
            </c:numRef>
          </c:val>
        </c:ser>
        <c:ser>
          <c:idx val="1"/>
          <c:order val="1"/>
          <c:tx>
            <c:strRef>
              <c:f>Sheet1!$A$4</c:f>
              <c:strCache>
                <c:ptCount val="1"/>
                <c:pt idx="0">
                  <c:v>Sight</c:v>
                </c:pt>
              </c:strCache>
            </c:strRef>
          </c:tx>
          <c:dLbls>
            <c:spPr>
              <a:noFill/>
              <a:ln>
                <a:noFill/>
              </a:ln>
              <a:effectLst/>
            </c:spPr>
            <c:txPr>
              <a:bodyPr/>
              <a:lstStyle/>
              <a:p>
                <a:pPr>
                  <a:defRPr sz="799">
                    <a:solidFill>
                      <a:schemeClr val="bg1"/>
                    </a:solidFill>
                  </a:defRPr>
                </a:pPr>
                <a:endParaRPr lang="el-GR"/>
              </a:p>
            </c:txPr>
            <c:showVal val="1"/>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Α' εξάμηνο 2020</c:v>
                </c:pt>
              </c:strCache>
            </c:strRef>
          </c:cat>
          <c:val>
            <c:numRef>
              <c:f>Sheet1!$B$4:$W$4</c:f>
            </c:numRef>
          </c:val>
        </c:ser>
        <c:ser>
          <c:idx val="2"/>
          <c:order val="2"/>
          <c:tx>
            <c:strRef>
              <c:f>Sheet1!$A$5</c:f>
              <c:strCache>
                <c:ptCount val="1"/>
                <c:pt idx="0">
                  <c:v>Time &amp; other</c:v>
                </c:pt>
              </c:strCache>
            </c:strRef>
          </c:tx>
          <c:dLbls>
            <c:spPr>
              <a:noFill/>
              <a:ln>
                <a:noFill/>
              </a:ln>
              <a:effectLst/>
            </c:spPr>
            <c:txPr>
              <a:bodyPr/>
              <a:lstStyle/>
              <a:p>
                <a:pPr>
                  <a:defRPr sz="799"/>
                </a:pPr>
                <a:endParaRPr lang="el-GR"/>
              </a:p>
            </c:txPr>
            <c:showVal val="1"/>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Α' εξάμηνο 2020</c:v>
                </c:pt>
              </c:strCache>
            </c:strRef>
          </c:cat>
          <c:val>
            <c:numRef>
              <c:f>Sheet1!$B$5:$W$5</c:f>
            </c:numRef>
          </c:val>
        </c:ser>
        <c:ser>
          <c:idx val="3"/>
          <c:order val="3"/>
          <c:tx>
            <c:strRef>
              <c:f>Sheet1!$A$6</c:f>
              <c:strCache>
                <c:ptCount val="1"/>
                <c:pt idx="0">
                  <c:v>Total</c:v>
                </c:pt>
              </c:strCache>
            </c:strRef>
          </c:tx>
          <c:spPr>
            <a:solidFill>
              <a:schemeClr val="bg1"/>
            </a:solidFill>
            <a:ln>
              <a:solidFill>
                <a:srgbClr val="008080"/>
              </a:solidFill>
            </a:ln>
          </c:spPr>
          <c:dPt>
            <c:idx val="0"/>
            <c:spPr>
              <a:solidFill>
                <a:schemeClr val="bg1"/>
              </a:solidFill>
              <a:ln>
                <a:solidFill>
                  <a:srgbClr val="FF0000"/>
                </a:solidFill>
              </a:ln>
            </c:spPr>
          </c:dPt>
          <c:dPt>
            <c:idx val="1"/>
            <c:spPr>
              <a:solidFill>
                <a:schemeClr val="bg1"/>
              </a:solidFill>
              <a:ln>
                <a:solidFill>
                  <a:srgbClr val="FF0000"/>
                </a:solidFill>
              </a:ln>
            </c:spPr>
          </c:dPt>
          <c:dPt>
            <c:idx val="2"/>
            <c:spPr>
              <a:solidFill>
                <a:schemeClr val="bg1"/>
              </a:solidFill>
              <a:ln>
                <a:solidFill>
                  <a:srgbClr val="FF0000"/>
                </a:solidFill>
              </a:ln>
            </c:spPr>
          </c:dPt>
          <c:dPt>
            <c:idx val="3"/>
            <c:spPr>
              <a:noFill/>
              <a:ln>
                <a:solidFill>
                  <a:srgbClr val="008080"/>
                </a:solidFill>
              </a:ln>
            </c:spPr>
          </c:dPt>
          <c:dPt>
            <c:idx val="4"/>
            <c:spPr>
              <a:noFill/>
              <a:ln>
                <a:solidFill>
                  <a:srgbClr val="008080"/>
                </a:solidFill>
              </a:ln>
            </c:spPr>
          </c:dPt>
          <c:dPt>
            <c:idx val="5"/>
            <c:spPr>
              <a:noFill/>
              <a:ln>
                <a:solidFill>
                  <a:srgbClr val="008080"/>
                </a:solidFill>
              </a:ln>
            </c:spPr>
          </c:dPt>
          <c:dPt>
            <c:idx val="6"/>
            <c:spPr>
              <a:noFill/>
              <a:ln>
                <a:solidFill>
                  <a:srgbClr val="008080"/>
                </a:solidFill>
              </a:ln>
            </c:spPr>
          </c:dPt>
          <c:dPt>
            <c:idx val="10"/>
            <c:spPr>
              <a:solidFill>
                <a:schemeClr val="bg1"/>
              </a:solidFill>
              <a:ln>
                <a:solidFill>
                  <a:srgbClr val="FF0000"/>
                </a:solidFill>
              </a:ln>
            </c:spPr>
          </c:dPt>
          <c:dLbls>
            <c:dLbl>
              <c:idx val="0"/>
              <c:layout>
                <c:manualLayout>
                  <c:x val="3.1523644470876906E-3"/>
                  <c:y val="-0.14715965920897675"/>
                </c:manualLayout>
              </c:layout>
              <c:tx>
                <c:rich>
                  <a:bodyPr/>
                  <a:lstStyle/>
                  <a:p>
                    <a:r>
                      <a:rPr lang="en-US"/>
                      <a:t>-2,2</a:t>
                    </a:r>
                  </a:p>
                </c:rich>
              </c:tx>
              <c:dLblPos val="ctr"/>
              <c:showVal val="1"/>
              <c:extLst>
                <c:ext xmlns:c15="http://schemas.microsoft.com/office/drawing/2012/chart" uri="{CE6537A1-D6FC-4f65-9D91-7224C49458BB}">
                  <c15:layout/>
                </c:ext>
              </c:extLst>
            </c:dLbl>
            <c:dLbl>
              <c:idx val="1"/>
              <c:layout>
                <c:manualLayout>
                  <c:x val="-7.1258329564561664E-3"/>
                  <c:y val="-0.20277287525109092"/>
                </c:manualLayout>
              </c:layout>
              <c:tx>
                <c:rich>
                  <a:bodyPr/>
                  <a:lstStyle/>
                  <a:p>
                    <a:r>
                      <a:rPr lang="en-US"/>
                      <a:t>-4,8</a:t>
                    </a:r>
                  </a:p>
                </c:rich>
              </c:tx>
              <c:dLblPos val="ctr"/>
              <c:showVal val="1"/>
              <c:extLst>
                <c:ext xmlns:c15="http://schemas.microsoft.com/office/drawing/2012/chart" uri="{CE6537A1-D6FC-4f65-9D91-7224C49458BB}">
                  <c15:layout>
                    <c:manualLayout>
                      <c:w val="7.9012897886724373E-2"/>
                      <c:h val="0.10469820599847614"/>
                    </c:manualLayout>
                  </c15:layout>
                </c:ext>
              </c:extLst>
            </c:dLbl>
            <c:dLbl>
              <c:idx val="2"/>
              <c:layout>
                <c:manualLayout>
                  <c:x val="-2.7790450668971466E-3"/>
                  <c:y val="-0.18118224007757841"/>
                </c:manualLayout>
              </c:layout>
              <c:tx>
                <c:rich>
                  <a:bodyPr/>
                  <a:lstStyle/>
                  <a:p>
                    <a:r>
                      <a:rPr lang="en-US"/>
                      <a:t>-3,6</a:t>
                    </a:r>
                  </a:p>
                </c:rich>
              </c:tx>
              <c:dLblPos val="ctr"/>
              <c:showVal val="1"/>
              <c:extLst>
                <c:ext xmlns:c15="http://schemas.microsoft.com/office/drawing/2012/chart" uri="{CE6537A1-D6FC-4f65-9D91-7224C49458BB}">
                  <c15:layout/>
                </c:ext>
              </c:extLst>
            </c:dLbl>
            <c:dLbl>
              <c:idx val="3"/>
              <c:layout>
                <c:manualLayout>
                  <c:x val="-5.3796216269080196E-3"/>
                  <c:y val="-9.8127311768373068E-2"/>
                </c:manualLayout>
              </c:layout>
              <c:dLblPos val="ctr"/>
              <c:showVal val="1"/>
              <c:extLst>
                <c:ext xmlns:c15="http://schemas.microsoft.com/office/drawing/2012/chart" uri="{CE6537A1-D6FC-4f65-9D91-7224C49458BB}"/>
              </c:extLst>
            </c:dLbl>
            <c:dLbl>
              <c:idx val="4"/>
              <c:layout>
                <c:manualLayout>
                  <c:x val="3.6655493850672842E-3"/>
                  <c:y val="-8.0440057153559161E-2"/>
                </c:manualLayout>
              </c:layout>
              <c:tx>
                <c:rich>
                  <a:bodyPr/>
                  <a:lstStyle/>
                  <a:p>
                    <a:r>
                      <a:rPr lang="en-US"/>
                      <a:t>1,1</a:t>
                    </a:r>
                  </a:p>
                </c:rich>
              </c:tx>
              <c:dLblPos val="ctr"/>
              <c:showVal val="1"/>
              <c:extLst>
                <c:ext xmlns:c15="http://schemas.microsoft.com/office/drawing/2012/chart" uri="{CE6537A1-D6FC-4f65-9D91-7224C49458BB}">
                  <c15:layout>
                    <c:manualLayout>
                      <c:w val="6.6196426559092428E-2"/>
                      <c:h val="8.3585786520745303E-2"/>
                    </c:manualLayout>
                  </c15:layout>
                </c:ext>
              </c:extLst>
            </c:dLbl>
            <c:dLbl>
              <c:idx val="5"/>
              <c:layout>
                <c:manualLayout>
                  <c:x val="3.2416140648375696E-3"/>
                  <c:y val="-6.6146406543619571E-2"/>
                </c:manualLayout>
              </c:layout>
              <c:tx>
                <c:rich>
                  <a:bodyPr/>
                  <a:lstStyle/>
                  <a:p>
                    <a:r>
                      <a:rPr lang="en-US"/>
                      <a:t>0,2</a:t>
                    </a:r>
                  </a:p>
                </c:rich>
              </c:tx>
              <c:dLblPos val="ctr"/>
              <c:showVal val="1"/>
              <c:extLst>
                <c:ext xmlns:c15="http://schemas.microsoft.com/office/drawing/2012/chart" uri="{CE6537A1-D6FC-4f65-9D91-7224C49458BB}">
                  <c15:layout/>
                </c:ext>
              </c:extLst>
            </c:dLbl>
            <c:dLbl>
              <c:idx val="6"/>
              <c:layout>
                <c:manualLayout>
                  <c:x val="-1.2567058602357367E-3"/>
                  <c:y val="-8.3464503136501528E-2"/>
                </c:manualLayout>
              </c:layout>
              <c:tx>
                <c:rich>
                  <a:bodyPr/>
                  <a:lstStyle/>
                  <a:p>
                    <a:r>
                      <a:rPr lang="en-US"/>
                      <a:t>1,5</a:t>
                    </a:r>
                  </a:p>
                </c:rich>
              </c:tx>
              <c:dLblPos val="ctr"/>
              <c:showVal val="1"/>
              <c:extLst>
                <c:ext xmlns:c15="http://schemas.microsoft.com/office/drawing/2012/chart" uri="{CE6537A1-D6FC-4f65-9D91-7224C49458BB}">
                  <c15:layout/>
                </c:ext>
              </c:extLst>
            </c:dLbl>
            <c:dLbl>
              <c:idx val="7"/>
              <c:layout>
                <c:manualLayout>
                  <c:x val="-2.1121265509218812E-3"/>
                  <c:y val="-0.11779504262317171"/>
                </c:manualLayout>
              </c:layout>
              <c:tx>
                <c:rich>
                  <a:bodyPr/>
                  <a:lstStyle/>
                  <a:p>
                    <a:r>
                      <a:rPr lang="en-US"/>
                      <a:t>3,4</a:t>
                    </a:r>
                  </a:p>
                </c:rich>
              </c:tx>
              <c:dLblPos val="ctr"/>
              <c:showVal val="1"/>
              <c:extLst>
                <c:ext xmlns:c15="http://schemas.microsoft.com/office/drawing/2012/chart" uri="{CE6537A1-D6FC-4f65-9D91-7224C49458BB}">
                  <c15:layout/>
                </c:ext>
              </c:extLst>
            </c:dLbl>
            <c:dLbl>
              <c:idx val="8"/>
              <c:layout>
                <c:manualLayout>
                  <c:x val="-2.5245480445558683E-3"/>
                  <c:y val="-7.0727529455336752E-2"/>
                </c:manualLayout>
              </c:layout>
              <c:tx>
                <c:rich>
                  <a:bodyPr/>
                  <a:lstStyle/>
                  <a:p>
                    <a:r>
                      <a:rPr lang="en-US"/>
                      <a:t>0,5</a:t>
                    </a:r>
                  </a:p>
                </c:rich>
              </c:tx>
              <c:dLblPos val="ctr"/>
              <c:showVal val="1"/>
              <c:extLst>
                <c:ext xmlns:c15="http://schemas.microsoft.com/office/drawing/2012/chart" uri="{CE6537A1-D6FC-4f65-9D91-7224C49458BB}">
                  <c15:layout/>
                </c:ext>
              </c:extLst>
            </c:dLbl>
            <c:dLbl>
              <c:idx val="9"/>
              <c:layout>
                <c:manualLayout>
                  <c:x val="0"/>
                  <c:y val="-8.1505021818937443E-2"/>
                </c:manualLayout>
              </c:layout>
              <c:tx>
                <c:rich>
                  <a:bodyPr/>
                  <a:lstStyle/>
                  <a:p>
                    <a:r>
                      <a:rPr lang="en-US"/>
                      <a:t>1,0</a:t>
                    </a:r>
                  </a:p>
                </c:rich>
              </c:tx>
              <c:dLblPos val="ctr"/>
              <c:showVal val="1"/>
              <c:extLst>
                <c:ext xmlns:c15="http://schemas.microsoft.com/office/drawing/2012/chart" uri="{CE6537A1-D6FC-4f65-9D91-7224C49458BB}">
                  <c15:layout/>
                </c:ext>
              </c:extLst>
            </c:dLbl>
            <c:dLbl>
              <c:idx val="10"/>
              <c:layout>
                <c:manualLayout>
                  <c:x val="-6.8177072752308111E-4"/>
                  <c:y val="-7.9694539561557351E-2"/>
                </c:manualLayout>
              </c:layout>
              <c:dLblPos val="ctr"/>
              <c:showVal val="1"/>
              <c:extLst>
                <c:ext xmlns:c15="http://schemas.microsoft.com/office/drawing/2012/chart" uri="{CE6537A1-D6FC-4f65-9D91-7224C49458BB}">
                  <c15:layout>
                    <c:manualLayout>
                      <c:w val="8.1006656982702527E-2"/>
                      <c:h val="9.820821500311698E-2"/>
                    </c:manualLayout>
                  </c15:layout>
                </c:ext>
              </c:extLst>
            </c:dLbl>
            <c:dLbl>
              <c:idx val="11"/>
              <c:layout>
                <c:manualLayout>
                  <c:x val="-2.6764611539638918E-3"/>
                  <c:y val="-8.2896446630186416E-2"/>
                </c:manualLayout>
              </c:layout>
              <c:dLblPos val="ctr"/>
              <c:showVal val="1"/>
              <c:extLst>
                <c:ext xmlns:c15="http://schemas.microsoft.com/office/drawing/2012/chart" uri="{CE6537A1-D6FC-4f65-9D91-7224C49458BB}"/>
              </c:extLst>
            </c:dLbl>
            <c:dLbl>
              <c:idx val="12"/>
              <c:layout>
                <c:manualLayout>
                  <c:x val="3.2414902585560725E-3"/>
                  <c:y val="-0.11708914594444828"/>
                </c:manualLayout>
              </c:layout>
              <c:dLblPos val="ctr"/>
              <c:showVal val="1"/>
              <c:extLst>
                <c:ext xmlns:c15="http://schemas.microsoft.com/office/drawing/2012/chart" uri="{CE6537A1-D6FC-4f65-9D91-7224C49458BB}"/>
              </c:extLst>
            </c:dLbl>
            <c:dLbl>
              <c:idx val="13"/>
              <c:layout>
                <c:manualLayout>
                  <c:x val="3.1003068881690883E-3"/>
                  <c:y val="-9.6323058807231451E-2"/>
                </c:manualLayout>
              </c:layout>
              <c:dLblPos val="ctr"/>
              <c:showVal val="1"/>
              <c:extLst>
                <c:ext xmlns:c15="http://schemas.microsoft.com/office/drawing/2012/chart" uri="{CE6537A1-D6FC-4f65-9D91-7224C49458BB}"/>
              </c:extLst>
            </c:dLbl>
            <c:dLbl>
              <c:idx val="14"/>
              <c:layout>
                <c:manualLayout>
                  <c:x val="-2.9783583570155816E-3"/>
                  <c:y val="-7.5619588557179471E-2"/>
                </c:manualLayout>
              </c:layout>
              <c:dLblPos val="ctr"/>
              <c:showVal val="1"/>
              <c:extLst>
                <c:ext xmlns:c15="http://schemas.microsoft.com/office/drawing/2012/chart" uri="{CE6537A1-D6FC-4f65-9D91-7224C49458BB}"/>
              </c:extLst>
            </c:dLbl>
            <c:dLbl>
              <c:idx val="15"/>
              <c:layout>
                <c:manualLayout>
                  <c:x val="-2.9783583570156926E-3"/>
                  <c:y val="-8.9694534875666782E-2"/>
                </c:manualLayout>
              </c:layout>
              <c:dLblPos val="ctr"/>
              <c:showVal val="1"/>
              <c:extLst>
                <c:ext xmlns:c15="http://schemas.microsoft.com/office/drawing/2012/chart" uri="{CE6537A1-D6FC-4f65-9D91-7224C49458BB}"/>
              </c:extLst>
            </c:dLbl>
            <c:dLbl>
              <c:idx val="16"/>
              <c:layout>
                <c:manualLayout>
                  <c:x val="2.9783583570155816E-3"/>
                  <c:y val="-8.2657061716423202E-2"/>
                </c:manualLayout>
              </c:layout>
              <c:dLblPos val="ctr"/>
              <c:showVal val="1"/>
              <c:extLst>
                <c:ext xmlns:c15="http://schemas.microsoft.com/office/drawing/2012/chart" uri="{CE6537A1-D6FC-4f65-9D91-7224C49458BB}"/>
              </c:extLst>
            </c:dLbl>
            <c:dLbl>
              <c:idx val="17"/>
              <c:layout>
                <c:manualLayout>
                  <c:x val="-2.9862004619911858E-3"/>
                  <c:y val="-9.4586250488825532E-2"/>
                </c:manualLayout>
              </c:layout>
              <c:dLblPos val="ctr"/>
              <c:showVal val="1"/>
              <c:extLst>
                <c:ext xmlns:c15="http://schemas.microsoft.com/office/drawing/2012/chart" uri="{CE6537A1-D6FC-4f65-9D91-7224C49458BB}"/>
              </c:extLst>
            </c:dLbl>
            <c:dLbl>
              <c:idx val="18"/>
              <c:layout>
                <c:manualLayout>
                  <c:x val="-5.5248607365117781E-3"/>
                  <c:y val="-7.878134305965237E-2"/>
                </c:manualLayout>
              </c:layout>
              <c:dLblPos val="ctr"/>
              <c:showVal val="1"/>
              <c:extLst>
                <c:ext xmlns:c15="http://schemas.microsoft.com/office/drawing/2012/chart" uri="{CE6537A1-D6FC-4f65-9D91-7224C49458BB}"/>
              </c:extLst>
            </c:dLbl>
            <c:dLbl>
              <c:idx val="19"/>
              <c:layout>
                <c:manualLayout>
                  <c:x val="0"/>
                  <c:y val="-9.7303091327233124E-2"/>
                </c:manualLayout>
              </c:layout>
              <c:dLblPos val="ctr"/>
              <c:showVal val="1"/>
              <c:extLst>
                <c:ext xmlns:c15="http://schemas.microsoft.com/office/drawing/2012/chart" uri="{CE6537A1-D6FC-4f65-9D91-7224C49458BB}"/>
              </c:extLst>
            </c:dLbl>
            <c:dLbl>
              <c:idx val="20"/>
              <c:layout>
                <c:manualLayout>
                  <c:x val="-1.0499922387384899E-2"/>
                  <c:y val="-6.3018141520542595E-2"/>
                </c:manualLayout>
              </c:layout>
              <c:dLblPos val="ctr"/>
              <c:showVal val="1"/>
              <c:extLst>
                <c:ext xmlns:c15="http://schemas.microsoft.com/office/drawing/2012/chart" uri="{CE6537A1-D6FC-4f65-9D91-7224C49458BB}"/>
              </c:extLst>
            </c:dLbl>
            <c:spPr>
              <a:solidFill>
                <a:schemeClr val="bg1"/>
              </a:solidFill>
              <a:ln>
                <a:noFill/>
              </a:ln>
              <a:effectLst/>
            </c:spPr>
            <c:txPr>
              <a:bodyPr/>
              <a:lstStyle/>
              <a:p>
                <a:pPr>
                  <a:defRPr lang="el-GR" sz="700"/>
                </a:pPr>
                <a:endParaRPr lang="el-GR"/>
              </a:p>
            </c:txPr>
            <c:dLblPos val="inEnd"/>
            <c:showVal val="1"/>
            <c:extLst>
              <c:ext xmlns:c15="http://schemas.microsoft.com/office/drawing/2012/chart" uri="{CE6537A1-D6FC-4f65-9D91-7224C49458BB}">
                <c15:showLeaderLines val="0"/>
              </c:ext>
            </c:extLst>
          </c:dLbls>
          <c:cat>
            <c:strRef>
              <c:f>Sheet1!$B$2:$AE$2</c:f>
              <c:strCache>
                <c:ptCount val="10"/>
                <c:pt idx="0">
                  <c:v>Δ' τρίμηνο                      2014</c:v>
                </c:pt>
                <c:pt idx="1">
                  <c:v>Α' τρίμηνο                      2015</c:v>
                </c:pt>
                <c:pt idx="2">
                  <c:v>Β' τρίμηνο                      2015</c:v>
                </c:pt>
                <c:pt idx="4">
                  <c:v>Β' εξάμηνο                       2015</c:v>
                </c:pt>
                <c:pt idx="5">
                  <c:v>2016</c:v>
                </c:pt>
                <c:pt idx="6">
                  <c:v>2017</c:v>
                </c:pt>
                <c:pt idx="7">
                  <c:v>2018</c:v>
                </c:pt>
                <c:pt idx="8">
                  <c:v>2019</c:v>
                </c:pt>
                <c:pt idx="9">
                  <c:v>Α' εξάμηνο 2020</c:v>
                </c:pt>
              </c:strCache>
            </c:strRef>
          </c:cat>
          <c:val>
            <c:numRef>
              <c:f>Sheet1!$B$6:$AE$6</c:f>
              <c:numCache>
                <c:formatCode>0.0</c:formatCode>
                <c:ptCount val="10"/>
                <c:pt idx="0" formatCode="General">
                  <c:v>-2.2000000000000002</c:v>
                </c:pt>
                <c:pt idx="1">
                  <c:v>-4.8049999999999979</c:v>
                </c:pt>
                <c:pt idx="2">
                  <c:v>-3.5609999999999999</c:v>
                </c:pt>
                <c:pt idx="4">
                  <c:v>1.1379999999999995</c:v>
                </c:pt>
                <c:pt idx="5">
                  <c:v>0.22600000000000001</c:v>
                </c:pt>
                <c:pt idx="6">
                  <c:v>1.5389999999999995</c:v>
                </c:pt>
                <c:pt idx="7">
                  <c:v>3.3568800499999991</c:v>
                </c:pt>
                <c:pt idx="8">
                  <c:v>0.49611994999999992</c:v>
                </c:pt>
                <c:pt idx="9">
                  <c:v>1</c:v>
                </c:pt>
              </c:numCache>
            </c:numRef>
          </c:val>
        </c:ser>
        <c:gapWidth val="500"/>
        <c:overlap val="100"/>
        <c:axId val="194980096"/>
        <c:axId val="195010560"/>
      </c:barChart>
      <c:catAx>
        <c:axId val="194980096"/>
        <c:scaling>
          <c:orientation val="minMax"/>
        </c:scaling>
        <c:axPos val="b"/>
        <c:numFmt formatCode="General" sourceLinked="1"/>
        <c:majorTickMark val="none"/>
        <c:tickLblPos val="low"/>
        <c:txPr>
          <a:bodyPr/>
          <a:lstStyle/>
          <a:p>
            <a:pPr>
              <a:defRPr lang="el-GR" sz="700"/>
            </a:pPr>
            <a:endParaRPr lang="el-GR"/>
          </a:p>
        </c:txPr>
        <c:crossAx val="195010560"/>
        <c:crosses val="autoZero"/>
        <c:auto val="1"/>
        <c:lblAlgn val="ctr"/>
        <c:lblOffset val="100"/>
      </c:catAx>
      <c:valAx>
        <c:axId val="195010560"/>
        <c:scaling>
          <c:orientation val="minMax"/>
          <c:min val="-10"/>
        </c:scaling>
        <c:delete val="1"/>
        <c:axPos val="l"/>
        <c:numFmt formatCode="General" sourceLinked="1"/>
        <c:tickLblPos val="none"/>
        <c:crossAx val="194980096"/>
        <c:crosses val="autoZero"/>
        <c:crossBetween val="between"/>
      </c:valAx>
      <c:spPr>
        <a:noFill/>
        <a:ln w="25375">
          <a:noFill/>
        </a:ln>
      </c:spPr>
    </c:plotArea>
    <c:plotVisOnly val="1"/>
    <c:dispBlanksAs val="gap"/>
  </c:chart>
  <c:spPr>
    <a:ln>
      <a:noFill/>
    </a:ln>
  </c:spPr>
  <c:txPr>
    <a:bodyPr/>
    <a:lstStyle/>
    <a:p>
      <a:pPr>
        <a:defRPr sz="600">
          <a:latin typeface="Segoe UI" pitchFamily="34" charset="0"/>
          <a:ea typeface="Segoe UI" pitchFamily="34" charset="0"/>
          <a:cs typeface="Segoe UI" pitchFamily="34" charset="0"/>
        </a:defRPr>
      </a:pPr>
      <a:endParaRPr lang="el-GR"/>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0.11412</cdr:x>
      <cdr:y>0.4585</cdr:y>
    </cdr:from>
    <cdr:to>
      <cdr:x>0.18648</cdr:x>
      <cdr:y>0.57787</cdr:y>
    </cdr:to>
    <cdr:sp macro="" textlink="">
      <cdr:nvSpPr>
        <cdr:cNvPr id="2" name="Rectangular Callout 1"/>
        <cdr:cNvSpPr>
          <a:spLocks xmlns:a="http://schemas.openxmlformats.org/drawingml/2006/main"/>
        </cdr:cNvSpPr>
      </cdr:nvSpPr>
      <cdr:spPr>
        <a:xfrm xmlns:a="http://schemas.openxmlformats.org/drawingml/2006/main">
          <a:off x="738050" y="1104900"/>
          <a:ext cx="467987" cy="287661"/>
        </a:xfrm>
        <a:prstGeom xmlns:a="http://schemas.openxmlformats.org/drawingml/2006/main" prst="wedgeRectCallout">
          <a:avLst>
            <a:gd name="adj1" fmla="val -67662"/>
            <a:gd name="adj2" fmla="val -35514"/>
          </a:avLst>
        </a:prstGeom>
        <a:solidFill xmlns:a="http://schemas.openxmlformats.org/drawingml/2006/main">
          <a:sysClr val="window" lastClr="FFFFFF"/>
        </a:solidFill>
        <a:ln xmlns:a="http://schemas.openxmlformats.org/drawingml/2006/main" w="12700" cap="flat" cmpd="sng" algn="ctr">
          <a:solidFill>
            <a:schemeClr val="bg1">
              <a:lumMod val="50000"/>
            </a:schemeClr>
          </a:solidFill>
          <a:prstDash val="solid"/>
        </a:ln>
        <a:effectLst xmlns:a="http://schemas.openxmlformats.org/drawingml/2006/main"/>
      </cdr:spPr>
      <cdr:txBody>
        <a:bodyPr xmlns:a="http://schemas.openxmlformats.org/drawingml/2006/main" wrap="square" anchor="ctr">
          <a:noAutofit/>
        </a:bodyPr>
        <a:lstStyle xmlns:a="http://schemas.openxmlformats.org/drawingml/2006/main"/>
        <a:p xmlns:a="http://schemas.openxmlformats.org/drawingml/2006/main">
          <a:pPr algn="ctr"/>
          <a:r>
            <a:rPr lang="en-GB" sz="600">
              <a:latin typeface="Calibri" pitchFamily="34" charset="0"/>
            </a:rPr>
            <a:t>CET1</a:t>
          </a:r>
          <a:r>
            <a:rPr lang="en-GB" sz="600" baseline="0">
              <a:latin typeface="Calibri" pitchFamily="34" charset="0"/>
            </a:rPr>
            <a:t> FL: 12</a:t>
          </a:r>
          <a:r>
            <a:rPr lang="el-GR" sz="600" baseline="0">
              <a:latin typeface="Calibri" pitchFamily="34" charset="0"/>
            </a:rPr>
            <a:t>,6</a:t>
          </a:r>
          <a:r>
            <a:rPr lang="en-GB" sz="600" baseline="0">
              <a:latin typeface="Calibri" pitchFamily="34" charset="0"/>
            </a:rPr>
            <a:t>%</a:t>
          </a:r>
          <a:endParaRPr lang="el-GR" sz="600">
            <a:latin typeface="Calibri"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0.66593</cdr:x>
      <cdr:y>0.61205</cdr:y>
    </cdr:from>
    <cdr:to>
      <cdr:x>0.73468</cdr:x>
      <cdr:y>0.70914</cdr:y>
    </cdr:to>
    <cdr:sp macro="" textlink="">
      <cdr:nvSpPr>
        <cdr:cNvPr id="2" name="TextBox 1"/>
        <cdr:cNvSpPr txBox="1"/>
      </cdr:nvSpPr>
      <cdr:spPr>
        <a:xfrm xmlns:a="http://schemas.openxmlformats.org/drawingml/2006/main">
          <a:off x="2398712" y="2401887"/>
          <a:ext cx="2476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l-G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2026-3F75-48B5-A749-A394CF07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6089</Words>
  <Characters>32881</Characters>
  <Application>Microsoft Office Word</Application>
  <DocSecurity>0</DocSecurity>
  <Lines>274</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NBG</Company>
  <LinksUpToDate>false</LinksUpToDate>
  <CharactersWithSpaces>38893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Anastasia Kyrianidi Nikolaidi</cp:lastModifiedBy>
  <cp:revision>2</cp:revision>
  <cp:lastPrinted>2020-08-06T10:23:00Z</cp:lastPrinted>
  <dcterms:created xsi:type="dcterms:W3CDTF">2020-08-06T14:44:00Z</dcterms:created>
  <dcterms:modified xsi:type="dcterms:W3CDTF">2020-08-06T14:44:00Z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BANK\e40915</vt:lpwstr>
  </property>
  <property fmtid="{D5CDD505-2E9C-101B-9397-08002B2CF9AE}" pid="4" name="DLPManualFileClassificationLastModificationDate">
    <vt:lpwstr>1584462117</vt:lpwstr>
  </property>
  <property fmtid="{D5CDD505-2E9C-101B-9397-08002B2CF9AE}" pid="5" name="DLPManualFileClassificationVersion">
    <vt:lpwstr>10.0.300.68</vt:lpwstr>
  </property>
</Properties>
</file>