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2E1" w:rsidRPr="00D612E1" w:rsidRDefault="00601F99" w:rsidP="002D431B">
      <w:pPr>
        <w:ind w:right="-2"/>
        <w:rPr>
          <w:rFonts w:cs="Calibri"/>
          <w:lang w:val="en-US"/>
        </w:rPr>
      </w:pPr>
      <w:r w:rsidRPr="00601F99">
        <w:rPr>
          <w:rFonts w:eastAsia="Times New Roman" w:cs="Calibri"/>
          <w:noProof/>
          <w:sz w:val="24"/>
          <w:szCs w:val="24"/>
          <w:lang w:eastAsia="el-GR"/>
        </w:rPr>
        <w:pict>
          <v:roundrect id="Rounded Rectangle 1" o:spid="_x0000_s1026" style="position:absolute;margin-left:106.9pt;margin-top:-99.95pt;width:300.15pt;height:40.7pt;z-index:2517596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" filled="f" stroked="f" strokeweight="2pt"/>
        </w:pict>
      </w:r>
      <w:r w:rsidRPr="00601F99">
        <w:rPr>
          <w:rFonts w:eastAsia="Times New Roman" w:cs="Calibri"/>
          <w:noProof/>
          <w:sz w:val="24"/>
          <w:szCs w:val="24"/>
          <w:lang w:eastAsia="el-GR"/>
        </w:rPr>
        <w:pict>
          <v:rect id="Rectangle 30" o:spid="_x0000_s1043" style="position:absolute;margin-left:72.4pt;margin-top:-15.45pt;width:497.2pt;height:26.95pt;z-index:25173094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" filled="f" stroked="f">
            <v:path arrowok="t"/>
            <o:lock v:ext="edit" aspectratio="t"/>
            <v:textbox style="mso-fit-shape-to-text:t">
              <w:txbxContent>
                <w:p w:rsidR="00B23D70" w:rsidRPr="00370D02" w:rsidRDefault="00B23D70" w:rsidP="007126B2">
                  <w:pPr>
                    <w:shd w:val="clear" w:color="auto" w:fill="FFFFFF" w:themeFill="background1"/>
                    <w:tabs>
                      <w:tab w:val="left" w:pos="9214"/>
                    </w:tabs>
                    <w:spacing w:after="40" w:line="280" w:lineRule="exact"/>
                    <w:ind w:left="-142" w:right="284"/>
                    <w:jc w:val="right"/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</w:pPr>
                  <w:r>
                    <w:rPr>
                      <w:rFonts w:eastAsia="Times New Roman" w:cs="Calibri"/>
                      <w:b/>
                      <w:color w:val="003C96" w:themeColor="text2"/>
                      <w:sz w:val="26"/>
                      <w:szCs w:val="26"/>
                    </w:rPr>
                    <w:t>Επιταχυνόμενη Συρρίκνωση Προβληματικού Χαρτοφυλακίου</w:t>
                  </w:r>
                </w:p>
                <w:p w:rsidR="00B23D70" w:rsidRPr="00261920" w:rsidRDefault="00B23D70" w:rsidP="00261920">
                  <w:pPr>
                    <w:shd w:val="clear" w:color="auto" w:fill="FFFFFF" w:themeFill="background1"/>
                    <w:tabs>
                      <w:tab w:val="left" w:pos="9214"/>
                    </w:tabs>
                    <w:spacing w:after="40" w:line="280" w:lineRule="exact"/>
                    <w:ind w:left="-142" w:right="284"/>
                    <w:jc w:val="right"/>
                    <w:rPr>
                      <w:rFonts w:eastAsia="Times New Roman" w:cs="Calibri"/>
                      <w:b/>
                      <w:color w:val="003C96" w:themeColor="text2"/>
                      <w:sz w:val="26"/>
                      <w:szCs w:val="26"/>
                    </w:rPr>
                  </w:pPr>
                  <w:r w:rsidRPr="00261920">
                    <w:rPr>
                      <w:rFonts w:eastAsia="Times New Roman" w:cs="Calibri"/>
                      <w:b/>
                      <w:color w:val="003C96" w:themeColor="text2"/>
                      <w:sz w:val="26"/>
                      <w:szCs w:val="26"/>
                    </w:rPr>
                    <w:t>Συνεχής Βελτίωση Ρευστότητας</w:t>
                  </w:r>
                </w:p>
                <w:p w:rsidR="00B23D70" w:rsidRPr="00261920" w:rsidRDefault="00B23D70" w:rsidP="00261920">
                  <w:pPr>
                    <w:shd w:val="clear" w:color="auto" w:fill="FFFFFF" w:themeFill="background1"/>
                    <w:tabs>
                      <w:tab w:val="left" w:pos="9214"/>
                    </w:tabs>
                    <w:spacing w:after="40" w:line="280" w:lineRule="exact"/>
                    <w:ind w:left="-142" w:right="284"/>
                    <w:jc w:val="right"/>
                    <w:rPr>
                      <w:rFonts w:eastAsia="Times New Roman" w:cs="Calibri"/>
                      <w:b/>
                      <w:color w:val="003C96" w:themeColor="text2"/>
                      <w:sz w:val="26"/>
                      <w:szCs w:val="26"/>
                    </w:rPr>
                  </w:pPr>
                  <w:r w:rsidRPr="00261920">
                    <w:rPr>
                      <w:rFonts w:eastAsia="Times New Roman" w:cs="Calibri"/>
                      <w:b/>
                      <w:color w:val="003C96" w:themeColor="text2"/>
                      <w:sz w:val="26"/>
                      <w:szCs w:val="26"/>
                    </w:rPr>
                    <w:t xml:space="preserve"> Δραστική Μείωση Κόστους </w:t>
                  </w:r>
                </w:p>
              </w:txbxContent>
            </v:textbox>
            <w10:wrap anchorx="page"/>
          </v:rect>
        </w:pict>
      </w:r>
    </w:p>
    <w:p w:rsidR="001B40EF" w:rsidRDefault="001B40EF" w:rsidP="0032433C">
      <w:pPr>
        <w:spacing w:after="240" w:line="240" w:lineRule="auto"/>
        <w:ind w:right="-143"/>
        <w:rPr>
          <w:rFonts w:eastAsia="Times New Roman" w:cs="Calibri"/>
          <w:color w:val="003C96" w:themeColor="text2"/>
          <w:sz w:val="28"/>
          <w:szCs w:val="28"/>
          <w:lang w:val="en-US"/>
        </w:rPr>
      </w:pPr>
    </w:p>
    <w:p w:rsidR="003F5AA8" w:rsidRPr="00630D01" w:rsidRDefault="00601F99" w:rsidP="00261920">
      <w:pPr>
        <w:spacing w:after="240" w:line="240" w:lineRule="auto"/>
        <w:ind w:left="-567" w:right="-285"/>
        <w:rPr>
          <w:rFonts w:eastAsia="Times New Roman" w:cs="Calibri"/>
          <w:sz w:val="28"/>
          <w:szCs w:val="28"/>
        </w:rPr>
      </w:pPr>
      <w:r w:rsidRPr="00601F99">
        <w:rPr>
          <w:rFonts w:eastAsia="Times New Roman" w:cs="Calibri"/>
          <w:noProof/>
          <w:color w:val="003C96" w:themeColor="text2"/>
          <w:sz w:val="28"/>
          <w:szCs w:val="28"/>
          <w:lang w:eastAsia="el-GR"/>
        </w:rPr>
        <w:pict>
          <v:rect id="Rectangle 37" o:spid="_x0000_s1042" style="position:absolute;left:0;text-align:left;margin-left:0;margin-top:22.5pt;width:550.65pt;height:588.9pt;z-index:-251586560;visibility:visible;mso-position-horizontal:lef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" fillcolor="#e6e6e1" stroked="f">
            <o:lock v:ext="edit" aspectratio="t"/>
            <w10:wrap anchorx="page"/>
          </v:rect>
        </w:pict>
      </w:r>
      <w:r w:rsidR="004069DD" w:rsidRPr="00337847">
        <w:rPr>
          <w:rFonts w:eastAsia="Times New Roman" w:cs="Calibri"/>
          <w:color w:val="003C96" w:themeColor="text2"/>
          <w:sz w:val="28"/>
          <w:szCs w:val="28"/>
        </w:rPr>
        <w:t>Δ</w:t>
      </w:r>
      <w:r w:rsidR="004069DD">
        <w:rPr>
          <w:rFonts w:eastAsia="Times New Roman" w:cs="Calibri"/>
          <w:color w:val="003C96" w:themeColor="text2"/>
          <w:sz w:val="28"/>
          <w:szCs w:val="28"/>
        </w:rPr>
        <w:t>ήλωσηΔιοίκησης</w:t>
      </w:r>
    </w:p>
    <w:p w:rsidR="00AB7C26" w:rsidRPr="006F374C" w:rsidRDefault="002A5721" w:rsidP="00D8644D">
      <w:pPr>
        <w:spacing w:after="0" w:line="240" w:lineRule="exact"/>
        <w:ind w:left="-567"/>
        <w:jc w:val="both"/>
        <w:rPr>
          <w:rFonts w:cs="Segoe UI"/>
          <w:iCs/>
          <w:color w:val="000000" w:themeColor="text1"/>
          <w:sz w:val="16"/>
          <w:szCs w:val="16"/>
        </w:rPr>
      </w:pPr>
      <w:r w:rsidRPr="002A5721">
        <w:rPr>
          <w:rFonts w:cs="Segoe UI"/>
          <w:iCs/>
          <w:color w:val="000000" w:themeColor="text1"/>
          <w:sz w:val="16"/>
          <w:szCs w:val="16"/>
        </w:rPr>
        <w:t>«</w:t>
      </w:r>
      <w:r w:rsidR="009B695F" w:rsidRPr="002A5721">
        <w:rPr>
          <w:rFonts w:cs="Segoe UI"/>
          <w:iCs/>
          <w:color w:val="000000" w:themeColor="text1"/>
          <w:sz w:val="16"/>
          <w:szCs w:val="16"/>
        </w:rPr>
        <w:t>Έπειτα</w:t>
      </w:r>
      <w:r w:rsidR="004069DD" w:rsidRPr="002A5721">
        <w:rPr>
          <w:rFonts w:cs="Segoe UI"/>
          <w:iCs/>
          <w:color w:val="000000" w:themeColor="text1"/>
          <w:sz w:val="16"/>
          <w:szCs w:val="16"/>
        </w:rPr>
        <w:t xml:space="preserve"> από μια πε</w:t>
      </w:r>
      <w:r w:rsidR="009B695F" w:rsidRPr="002A5721">
        <w:rPr>
          <w:rFonts w:cs="Segoe UI"/>
          <w:iCs/>
          <w:color w:val="000000" w:themeColor="text1"/>
          <w:sz w:val="16"/>
          <w:szCs w:val="16"/>
        </w:rPr>
        <w:t xml:space="preserve">ρίοδο 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>αβεβαιότητας στην αρχή του έτους</w:t>
      </w:r>
      <w:r w:rsidR="00AB7C26" w:rsidRPr="006F374C">
        <w:rPr>
          <w:rFonts w:cs="Segoe UI"/>
          <w:iCs/>
          <w:color w:val="000000" w:themeColor="text1"/>
          <w:sz w:val="16"/>
          <w:szCs w:val="16"/>
        </w:rPr>
        <w:t>,</w:t>
      </w:r>
      <w:r w:rsidR="004069DD" w:rsidRPr="006F374C">
        <w:rPr>
          <w:rFonts w:cs="Segoe UI"/>
          <w:iCs/>
          <w:color w:val="000000" w:themeColor="text1"/>
          <w:sz w:val="16"/>
          <w:szCs w:val="16"/>
        </w:rPr>
        <w:t xml:space="preserve"> η ελλην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>ική οικονομία επανήλθε σε ανοδική</w:t>
      </w:r>
      <w:r w:rsidR="001129E4">
        <w:rPr>
          <w:rFonts w:cs="Segoe UI"/>
          <w:iCs/>
          <w:color w:val="000000" w:themeColor="text1"/>
          <w:sz w:val="16"/>
          <w:szCs w:val="16"/>
        </w:rPr>
        <w:t>τροχιά</w:t>
      </w:r>
      <w:r w:rsidR="004069DD" w:rsidRPr="006F374C">
        <w:rPr>
          <w:rFonts w:cs="Segoe UI"/>
          <w:iCs/>
          <w:color w:val="000000" w:themeColor="text1"/>
          <w:sz w:val="16"/>
          <w:szCs w:val="16"/>
        </w:rPr>
        <w:t>.</w:t>
      </w:r>
      <w:r w:rsidR="006C07B3" w:rsidRPr="006F374C">
        <w:rPr>
          <w:rFonts w:cs="Segoe UI"/>
          <w:iCs/>
          <w:color w:val="000000" w:themeColor="text1"/>
          <w:sz w:val="16"/>
          <w:szCs w:val="16"/>
        </w:rPr>
        <w:t xml:space="preserve">Οι 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 xml:space="preserve">κύριοι </w:t>
      </w:r>
      <w:r w:rsidR="006C07B3" w:rsidRPr="006F374C">
        <w:rPr>
          <w:rFonts w:cs="Segoe UI"/>
          <w:iCs/>
          <w:color w:val="000000" w:themeColor="text1"/>
          <w:sz w:val="16"/>
          <w:szCs w:val="16"/>
        </w:rPr>
        <w:t>δείκτες σε</w:t>
      </w:r>
      <w:r w:rsidR="001E2FE2">
        <w:rPr>
          <w:rFonts w:cs="Segoe UI"/>
          <w:iCs/>
          <w:color w:val="000000" w:themeColor="text1"/>
          <w:sz w:val="16"/>
          <w:szCs w:val="16"/>
        </w:rPr>
        <w:t xml:space="preserve">βασικούς </w:t>
      </w:r>
      <w:r w:rsidR="006C07B3" w:rsidRPr="006F374C">
        <w:rPr>
          <w:rFonts w:cs="Segoe UI"/>
          <w:iCs/>
          <w:color w:val="000000" w:themeColor="text1"/>
          <w:sz w:val="16"/>
          <w:szCs w:val="16"/>
        </w:rPr>
        <w:t>τομείς της οικονομίας επισ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 xml:space="preserve">τρέφουν σε θετικό έδαφος </w:t>
      </w:r>
      <w:r w:rsidR="006C07B3" w:rsidRPr="006F374C">
        <w:rPr>
          <w:rFonts w:cs="Segoe UI"/>
          <w:iCs/>
          <w:color w:val="000000" w:themeColor="text1"/>
          <w:sz w:val="16"/>
          <w:szCs w:val="16"/>
        </w:rPr>
        <w:t>και το οικονομικό κλίμα βελτιώνεται.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 xml:space="preserve"> Η αύξηση του ΑΕΠ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 αναμένεται να ξεπεράσει το 1% φέτος και το 2% το2018, ενώ η αγορά εργασίας 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>έχει αρχί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>σει να ανακάμπτει, με την ανεργ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 xml:space="preserve">ία να </w:t>
      </w:r>
      <w:r w:rsidR="00090844">
        <w:rPr>
          <w:rFonts w:cs="Segoe UI"/>
          <w:iCs/>
          <w:color w:val="000000" w:themeColor="text1"/>
          <w:sz w:val="16"/>
          <w:szCs w:val="16"/>
        </w:rPr>
        <w:t>υποχωρεί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 xml:space="preserve"> στο επίπεδο του</w:t>
      </w:r>
      <w:r w:rsidR="00BA6382" w:rsidRPr="006F374C">
        <w:rPr>
          <w:rFonts w:cs="Segoe UI"/>
          <w:iCs/>
          <w:color w:val="000000" w:themeColor="text1"/>
          <w:sz w:val="16"/>
          <w:szCs w:val="16"/>
        </w:rPr>
        <w:t xml:space="preserve"> 20% από τα υψηλά </w:t>
      </w:r>
      <w:r w:rsidR="008606A8">
        <w:rPr>
          <w:rFonts w:cs="Segoe UI"/>
          <w:iCs/>
          <w:color w:val="000000" w:themeColor="text1"/>
          <w:sz w:val="16"/>
          <w:szCs w:val="16"/>
        </w:rPr>
        <w:t>του 2</w:t>
      </w:r>
      <w:r w:rsidR="005D1697">
        <w:rPr>
          <w:rFonts w:cs="Segoe UI"/>
          <w:iCs/>
          <w:color w:val="000000" w:themeColor="text1"/>
          <w:sz w:val="16"/>
          <w:szCs w:val="16"/>
        </w:rPr>
        <w:t>8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%. Αυτές οι εξελίξεις τροφοδοτούν 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 xml:space="preserve">σταδιακά 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και την τραπεζική αγορά. </w:t>
      </w:r>
    </w:p>
    <w:p w:rsidR="00630D01" w:rsidRPr="006F374C" w:rsidRDefault="00630D01" w:rsidP="00D8644D">
      <w:pPr>
        <w:autoSpaceDE w:val="0"/>
        <w:autoSpaceDN w:val="0"/>
        <w:adjustRightInd w:val="0"/>
        <w:spacing w:after="0" w:line="220" w:lineRule="exact"/>
        <w:ind w:left="-567"/>
        <w:jc w:val="both"/>
        <w:rPr>
          <w:rFonts w:cs="Segoe UI"/>
          <w:iCs/>
          <w:color w:val="000000" w:themeColor="text1"/>
          <w:sz w:val="16"/>
          <w:szCs w:val="16"/>
        </w:rPr>
      </w:pPr>
    </w:p>
    <w:p w:rsidR="006C0316" w:rsidRPr="006F374C" w:rsidRDefault="0030452D" w:rsidP="00D8644D">
      <w:pPr>
        <w:autoSpaceDE w:val="0"/>
        <w:autoSpaceDN w:val="0"/>
        <w:adjustRightInd w:val="0"/>
        <w:spacing w:after="0" w:line="220" w:lineRule="exact"/>
        <w:ind w:left="-567"/>
        <w:jc w:val="both"/>
        <w:rPr>
          <w:rFonts w:cs="Segoe UI"/>
          <w:iCs/>
          <w:color w:val="000000" w:themeColor="text1"/>
          <w:sz w:val="16"/>
          <w:szCs w:val="16"/>
        </w:rPr>
      </w:pPr>
      <w:r>
        <w:rPr>
          <w:rFonts w:cs="Segoe UI"/>
          <w:iCs/>
          <w:sz w:val="16"/>
          <w:szCs w:val="16"/>
        </w:rPr>
        <w:t xml:space="preserve">Τηρώντας </w:t>
      </w:r>
      <w:r w:rsidR="009B695F" w:rsidRPr="006F374C">
        <w:rPr>
          <w:rFonts w:cs="Segoe UI"/>
          <w:iCs/>
          <w:sz w:val="16"/>
          <w:szCs w:val="16"/>
        </w:rPr>
        <w:t xml:space="preserve">τη δέσμευσή μας να </w:t>
      </w:r>
      <w:r>
        <w:rPr>
          <w:rFonts w:cs="Segoe UI"/>
          <w:iCs/>
          <w:sz w:val="16"/>
          <w:szCs w:val="16"/>
        </w:rPr>
        <w:t xml:space="preserve">υλοποιήσουμε </w:t>
      </w:r>
      <w:r w:rsidR="00BA6382" w:rsidRPr="006F374C">
        <w:rPr>
          <w:rFonts w:cs="Segoe UI"/>
          <w:iCs/>
          <w:sz w:val="16"/>
          <w:szCs w:val="16"/>
        </w:rPr>
        <w:t xml:space="preserve">τους στόχους μείωσης </w:t>
      </w:r>
      <w:r>
        <w:rPr>
          <w:rFonts w:cs="Segoe UI"/>
          <w:iCs/>
          <w:sz w:val="16"/>
          <w:szCs w:val="16"/>
        </w:rPr>
        <w:t xml:space="preserve">των </w:t>
      </w:r>
      <w:r w:rsidR="009B695F" w:rsidRPr="006F374C">
        <w:rPr>
          <w:rFonts w:cs="Segoe UI"/>
          <w:iCs/>
          <w:sz w:val="16"/>
          <w:szCs w:val="16"/>
        </w:rPr>
        <w:t>μη εξυπηρετούμεν</w:t>
      </w:r>
      <w:r>
        <w:rPr>
          <w:rFonts w:cs="Segoe UI"/>
          <w:iCs/>
          <w:sz w:val="16"/>
          <w:szCs w:val="16"/>
        </w:rPr>
        <w:t>ων</w:t>
      </w:r>
      <w:r w:rsidRPr="006F374C">
        <w:rPr>
          <w:rFonts w:cs="Segoe UI"/>
          <w:iCs/>
          <w:sz w:val="16"/>
          <w:szCs w:val="16"/>
        </w:rPr>
        <w:t>ανο</w:t>
      </w:r>
      <w:r>
        <w:rPr>
          <w:rFonts w:cs="Segoe UI"/>
          <w:iCs/>
          <w:sz w:val="16"/>
          <w:szCs w:val="16"/>
        </w:rPr>
        <w:t>ιγμάτων</w:t>
      </w:r>
      <w:r w:rsidR="009B695F" w:rsidRPr="006F374C">
        <w:rPr>
          <w:rFonts w:cs="Segoe UI"/>
          <w:iCs/>
          <w:sz w:val="16"/>
          <w:szCs w:val="16"/>
        </w:rPr>
        <w:t>(</w:t>
      </w:r>
      <w:r w:rsidR="009B695F" w:rsidRPr="006F374C">
        <w:rPr>
          <w:rFonts w:cs="Segoe UI"/>
          <w:iCs/>
          <w:sz w:val="16"/>
          <w:szCs w:val="16"/>
          <w:lang w:val="en-US"/>
        </w:rPr>
        <w:t>NPE</w:t>
      </w:r>
      <w:r w:rsidR="00633FAD">
        <w:rPr>
          <w:rFonts w:cs="Segoe UI"/>
          <w:iCs/>
          <w:sz w:val="16"/>
          <w:szCs w:val="16"/>
          <w:lang w:val="en-US"/>
        </w:rPr>
        <w:t>s</w:t>
      </w:r>
      <w:r w:rsidR="00BA6382" w:rsidRPr="006F374C">
        <w:rPr>
          <w:rFonts w:cs="Segoe UI"/>
          <w:iCs/>
          <w:sz w:val="16"/>
          <w:szCs w:val="16"/>
        </w:rPr>
        <w:t>) που έχουμε συμφωνήσει</w:t>
      </w:r>
      <w:r w:rsidR="009B695F" w:rsidRPr="006F374C">
        <w:rPr>
          <w:rFonts w:cs="Segoe UI"/>
          <w:iCs/>
          <w:sz w:val="16"/>
          <w:szCs w:val="16"/>
        </w:rPr>
        <w:t xml:space="preserve"> με τις εποπτικές αρχές,</w:t>
      </w:r>
      <w:r>
        <w:rPr>
          <w:rFonts w:cs="Segoe UI"/>
          <w:iCs/>
          <w:color w:val="000000" w:themeColor="text1"/>
          <w:sz w:val="16"/>
          <w:szCs w:val="16"/>
        </w:rPr>
        <w:t xml:space="preserve">πετύχαμε καλύτερες επιδόσεις 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>σε σχέση με τις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 xml:space="preserve"> τάσεις της αγοράς 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στη μείωση 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 xml:space="preserve">τόσο 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των </w:t>
      </w:r>
      <w:r w:rsidR="009B695F" w:rsidRPr="006F374C">
        <w:rPr>
          <w:rFonts w:cs="Segoe UI"/>
          <w:iCs/>
          <w:color w:val="000000" w:themeColor="text1"/>
          <w:sz w:val="16"/>
          <w:szCs w:val="16"/>
          <w:lang w:val="en-US"/>
        </w:rPr>
        <w:t>NP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>Ε</w:t>
      </w:r>
      <w:r w:rsidR="00633FAD">
        <w:rPr>
          <w:rFonts w:cs="Segoe UI"/>
          <w:iCs/>
          <w:color w:val="000000" w:themeColor="text1"/>
          <w:sz w:val="16"/>
          <w:szCs w:val="16"/>
          <w:lang w:val="en-US"/>
        </w:rPr>
        <w:t>s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>όσο και</w:t>
      </w:r>
      <w:r w:rsidR="009B695F" w:rsidRPr="006F374C">
        <w:rPr>
          <w:rFonts w:cs="Segoe UI"/>
          <w:iCs/>
          <w:sz w:val="16"/>
          <w:szCs w:val="16"/>
        </w:rPr>
        <w:t>των δανείων σε καθυστέρηση άνω των 90 ημερών (</w:t>
      </w:r>
      <w:r w:rsidR="009B695F" w:rsidRPr="006F374C">
        <w:rPr>
          <w:rFonts w:cs="Segoe UI"/>
          <w:iCs/>
          <w:color w:val="000000" w:themeColor="text1"/>
          <w:sz w:val="16"/>
          <w:szCs w:val="16"/>
          <w:lang w:val="en-US"/>
        </w:rPr>
        <w:t>NPL</w:t>
      </w:r>
      <w:r w:rsidR="00633FAD">
        <w:rPr>
          <w:rFonts w:cs="Segoe UI"/>
          <w:iCs/>
          <w:color w:val="000000" w:themeColor="text1"/>
          <w:sz w:val="16"/>
          <w:szCs w:val="16"/>
          <w:lang w:val="en-US"/>
        </w:rPr>
        <w:t>s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>)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. </w:t>
      </w:r>
      <w:r>
        <w:rPr>
          <w:rFonts w:cs="Segoe UI"/>
          <w:iCs/>
          <w:color w:val="000000" w:themeColor="text1"/>
          <w:sz w:val="16"/>
          <w:szCs w:val="16"/>
        </w:rPr>
        <w:t xml:space="preserve">Τα </w:t>
      </w:r>
      <w:r>
        <w:rPr>
          <w:rFonts w:cs="Segoe UI"/>
          <w:iCs/>
          <w:color w:val="000000" w:themeColor="text1"/>
          <w:sz w:val="16"/>
          <w:szCs w:val="16"/>
          <w:lang w:val="en-US"/>
        </w:rPr>
        <w:t>NPEs</w:t>
      </w:r>
      <w:r>
        <w:rPr>
          <w:rFonts w:cs="Segoe UI"/>
          <w:iCs/>
          <w:color w:val="000000" w:themeColor="text1"/>
          <w:sz w:val="16"/>
          <w:szCs w:val="16"/>
        </w:rPr>
        <w:t>,</w:t>
      </w:r>
      <w:r w:rsidR="001E2FE2">
        <w:rPr>
          <w:rFonts w:cs="Segoe UI"/>
          <w:iCs/>
          <w:color w:val="000000" w:themeColor="text1"/>
          <w:sz w:val="16"/>
          <w:szCs w:val="16"/>
        </w:rPr>
        <w:t>στο 3</w:t>
      </w:r>
      <w:r w:rsidR="001E2FE2" w:rsidRPr="008640A5">
        <w:rPr>
          <w:rFonts w:cs="Segoe UI"/>
          <w:iCs/>
          <w:color w:val="000000" w:themeColor="text1"/>
          <w:sz w:val="16"/>
          <w:szCs w:val="16"/>
          <w:vertAlign w:val="superscript"/>
        </w:rPr>
        <w:t>ο</w:t>
      </w:r>
      <w:r w:rsidR="001E2FE2" w:rsidRPr="006F374C">
        <w:rPr>
          <w:rFonts w:cs="Segoe UI"/>
          <w:iCs/>
          <w:color w:val="000000" w:themeColor="text1"/>
          <w:sz w:val="16"/>
          <w:szCs w:val="16"/>
        </w:rPr>
        <w:t>3</w:t>
      </w:r>
      <w:r w:rsidR="001E2FE2">
        <w:rPr>
          <w:rFonts w:cs="Segoe UI"/>
          <w:iCs/>
          <w:color w:val="000000" w:themeColor="text1"/>
          <w:sz w:val="16"/>
          <w:szCs w:val="16"/>
        </w:rPr>
        <w:t>μηνο</w:t>
      </w:r>
      <w:r w:rsidR="00BA6382" w:rsidRPr="006F374C">
        <w:rPr>
          <w:rFonts w:cs="Segoe UI"/>
          <w:iCs/>
          <w:color w:val="000000" w:themeColor="text1"/>
          <w:sz w:val="16"/>
          <w:szCs w:val="16"/>
        </w:rPr>
        <w:t xml:space="preserve">2017, </w:t>
      </w:r>
      <w:r w:rsidR="001E2FE2">
        <w:rPr>
          <w:rFonts w:cs="Segoe UI"/>
          <w:iCs/>
          <w:color w:val="000000" w:themeColor="text1"/>
          <w:sz w:val="16"/>
          <w:szCs w:val="16"/>
        </w:rPr>
        <w:t xml:space="preserve">μειώθηκαν </w:t>
      </w:r>
      <w:r w:rsidR="00FC336A" w:rsidRPr="006F374C">
        <w:rPr>
          <w:rFonts w:cs="Segoe UI"/>
          <w:iCs/>
          <w:color w:val="000000" w:themeColor="text1"/>
          <w:sz w:val="16"/>
          <w:szCs w:val="16"/>
        </w:rPr>
        <w:t>κατά €0,7 δισ.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 xml:space="preserve"> σε τ</w:t>
      </w:r>
      <w:r w:rsidR="00FC336A" w:rsidRPr="006F374C">
        <w:rPr>
          <w:rFonts w:cs="Segoe UI"/>
          <w:iCs/>
          <w:color w:val="000000" w:themeColor="text1"/>
          <w:sz w:val="16"/>
          <w:szCs w:val="16"/>
        </w:rPr>
        <w:t>ριμηνιαία βάση και κατά €3,9 δισ. από τα υψηλά</w:t>
      </w:r>
      <w:r w:rsidR="009B695F" w:rsidRPr="006F374C">
        <w:rPr>
          <w:rFonts w:cs="Segoe UI"/>
          <w:iCs/>
          <w:color w:val="000000" w:themeColor="text1"/>
          <w:sz w:val="16"/>
          <w:szCs w:val="16"/>
        </w:rPr>
        <w:t xml:space="preserve"> του Σεπτεμβρίου</w:t>
      </w:r>
      <w:r w:rsidR="00BA6382" w:rsidRPr="006F374C">
        <w:rPr>
          <w:rFonts w:cs="Segoe UI"/>
          <w:iCs/>
          <w:color w:val="000000" w:themeColor="text1"/>
          <w:sz w:val="16"/>
          <w:szCs w:val="16"/>
        </w:rPr>
        <w:t xml:space="preserve"> 2015</w:t>
      </w:r>
      <w:r w:rsidR="006C0316" w:rsidRPr="006F374C">
        <w:rPr>
          <w:rFonts w:cs="Segoe UI"/>
          <w:iCs/>
          <w:color w:val="000000" w:themeColor="text1"/>
          <w:sz w:val="16"/>
          <w:szCs w:val="16"/>
        </w:rPr>
        <w:t>.</w:t>
      </w:r>
      <w:r w:rsidR="006C0316" w:rsidRPr="006F374C">
        <w:rPr>
          <w:rFonts w:cs="Segoe UI"/>
          <w:iCs/>
          <w:sz w:val="16"/>
          <w:szCs w:val="16"/>
        </w:rPr>
        <w:t xml:space="preserve"> Ο σχηματισμός </w:t>
      </w:r>
      <w:r w:rsidR="001E2FE2">
        <w:rPr>
          <w:rFonts w:cs="Segoe UI"/>
          <w:iCs/>
          <w:sz w:val="16"/>
          <w:szCs w:val="16"/>
        </w:rPr>
        <w:t xml:space="preserve">νέων </w:t>
      </w:r>
      <w:r w:rsidR="006C0316" w:rsidRPr="006F374C">
        <w:rPr>
          <w:rFonts w:cs="Segoe UI"/>
          <w:iCs/>
          <w:sz w:val="16"/>
          <w:szCs w:val="16"/>
          <w:lang w:val="en-US"/>
        </w:rPr>
        <w:t>NPE</w:t>
      </w:r>
      <w:r w:rsidR="00633FAD">
        <w:rPr>
          <w:rFonts w:cs="Segoe UI"/>
          <w:iCs/>
          <w:sz w:val="16"/>
          <w:szCs w:val="16"/>
          <w:lang w:val="en-US"/>
        </w:rPr>
        <w:t>s</w:t>
      </w:r>
      <w:r w:rsidR="006C0316" w:rsidRPr="006F374C">
        <w:rPr>
          <w:rFonts w:cs="Segoe UI"/>
          <w:iCs/>
          <w:sz w:val="16"/>
          <w:szCs w:val="16"/>
        </w:rPr>
        <w:t xml:space="preserve"> προ διαγραφών ήταν αρνητικός κατά €0,3</w:t>
      </w:r>
      <w:r w:rsidR="004F5B3A" w:rsidRPr="006F374C">
        <w:rPr>
          <w:rFonts w:cs="Segoe UI"/>
          <w:iCs/>
          <w:color w:val="000000" w:themeColor="text1"/>
          <w:sz w:val="16"/>
          <w:szCs w:val="16"/>
        </w:rPr>
        <w:t xml:space="preserve"> δισ.</w:t>
      </w:r>
      <w:r w:rsidR="006C0316" w:rsidRPr="006F374C">
        <w:rPr>
          <w:rFonts w:cs="Segoe UI"/>
          <w:iCs/>
          <w:sz w:val="16"/>
          <w:szCs w:val="16"/>
        </w:rPr>
        <w:t xml:space="preserve"> το 3ο 3μηνο, σημειώνοντας την καλύτερη τριμηνιαία επίδοση για </w:t>
      </w:r>
      <w:r w:rsidR="001E2FE2">
        <w:rPr>
          <w:rFonts w:cs="Segoe UI"/>
          <w:iCs/>
          <w:sz w:val="16"/>
          <w:szCs w:val="16"/>
        </w:rPr>
        <w:t xml:space="preserve">τον Όμιλο </w:t>
      </w:r>
      <w:r w:rsidR="006C0316" w:rsidRPr="006F374C">
        <w:rPr>
          <w:rFonts w:cs="Segoe UI"/>
          <w:iCs/>
          <w:sz w:val="16"/>
          <w:szCs w:val="16"/>
        </w:rPr>
        <w:t>μέχρι σήμερα.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Τα </w:t>
      </w:r>
      <w:r w:rsidR="006C0316" w:rsidRPr="006F374C">
        <w:rPr>
          <w:rFonts w:cs="Segoe UI"/>
          <w:iCs/>
          <w:color w:val="000000" w:themeColor="text1"/>
          <w:sz w:val="16"/>
          <w:szCs w:val="16"/>
          <w:lang w:val="en-US"/>
        </w:rPr>
        <w:t>NPL</w:t>
      </w:r>
      <w:r w:rsidR="00633FAD">
        <w:rPr>
          <w:rFonts w:cs="Segoe UI"/>
          <w:iCs/>
          <w:color w:val="000000" w:themeColor="text1"/>
          <w:sz w:val="16"/>
          <w:szCs w:val="16"/>
          <w:lang w:val="en-US"/>
        </w:rPr>
        <w:t>s</w:t>
      </w:r>
      <w:r w:rsidR="006C0316" w:rsidRPr="006F374C">
        <w:rPr>
          <w:rFonts w:cs="Segoe UI"/>
          <w:iCs/>
          <w:color w:val="000000" w:themeColor="text1"/>
          <w:sz w:val="16"/>
          <w:szCs w:val="16"/>
        </w:rPr>
        <w:t>του Ομίλου υποχώρησαν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 κατά €0,9 </w:t>
      </w:r>
      <w:r w:rsidR="004F5B3A" w:rsidRPr="006F374C">
        <w:rPr>
          <w:rFonts w:cs="Segoe UI"/>
          <w:iCs/>
          <w:color w:val="000000" w:themeColor="text1"/>
          <w:sz w:val="16"/>
          <w:szCs w:val="16"/>
        </w:rPr>
        <w:t>δισ.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 σε τριμηνιαία βάση και κατά €5,8 </w:t>
      </w:r>
      <w:r w:rsidR="004F5B3A" w:rsidRPr="006F374C">
        <w:rPr>
          <w:rFonts w:cs="Segoe UI"/>
          <w:iCs/>
          <w:color w:val="000000" w:themeColor="text1"/>
          <w:sz w:val="16"/>
          <w:szCs w:val="16"/>
        </w:rPr>
        <w:t>δισ. από τα υψηλά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 του Σεπτεμβρίου 2015, συντελώντας στη </w:t>
      </w:r>
      <w:r w:rsidR="006C0316" w:rsidRPr="006F374C">
        <w:rPr>
          <w:rFonts w:cs="Segoe UI"/>
          <w:iCs/>
          <w:color w:val="000000" w:themeColor="text1"/>
          <w:sz w:val="16"/>
          <w:szCs w:val="16"/>
        </w:rPr>
        <w:t xml:space="preserve">δραστική 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μείωση του δείκτη </w:t>
      </w:r>
      <w:r w:rsidR="006C0316" w:rsidRPr="006F374C">
        <w:rPr>
          <w:rFonts w:cs="Segoe UI"/>
          <w:iCs/>
          <w:color w:val="000000" w:themeColor="text1"/>
          <w:sz w:val="16"/>
          <w:szCs w:val="16"/>
          <w:lang w:val="en-US"/>
        </w:rPr>
        <w:t>NPL</w:t>
      </w:r>
      <w:r w:rsidR="006C0316" w:rsidRPr="006F374C">
        <w:rPr>
          <w:rFonts w:cs="Segoe UI"/>
          <w:iCs/>
          <w:color w:val="000000" w:themeColor="text1"/>
          <w:sz w:val="16"/>
          <w:szCs w:val="16"/>
        </w:rPr>
        <w:t>στην Ελλάδα από 40% σε 36%</w:t>
      </w:r>
      <w:r w:rsidR="004F5B3A" w:rsidRPr="006F374C">
        <w:rPr>
          <w:rFonts w:cs="Segoe UI"/>
          <w:iCs/>
          <w:color w:val="000000" w:themeColor="text1"/>
          <w:sz w:val="16"/>
          <w:szCs w:val="16"/>
        </w:rPr>
        <w:t>, α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ντιστοίχως. Ο σχηματισμός νέων </w:t>
      </w:r>
      <w:r w:rsidR="004F5B3A" w:rsidRPr="006F374C">
        <w:rPr>
          <w:rFonts w:cs="Segoe UI"/>
          <w:iCs/>
          <w:color w:val="000000" w:themeColor="text1"/>
          <w:sz w:val="16"/>
          <w:szCs w:val="16"/>
          <w:lang w:val="en-US"/>
        </w:rPr>
        <w:t>NPL</w:t>
      </w:r>
      <w:r w:rsidR="00633FAD">
        <w:rPr>
          <w:rFonts w:cs="Segoe UI"/>
          <w:iCs/>
          <w:color w:val="000000" w:themeColor="text1"/>
          <w:sz w:val="16"/>
          <w:szCs w:val="16"/>
          <w:lang w:val="en-US"/>
        </w:rPr>
        <w:t>s</w:t>
      </w:r>
      <w:r w:rsidR="0033431D" w:rsidRPr="006F374C">
        <w:rPr>
          <w:rFonts w:cs="Segoe UI"/>
          <w:iCs/>
          <w:color w:val="000000" w:themeColor="text1"/>
          <w:sz w:val="16"/>
          <w:szCs w:val="16"/>
        </w:rPr>
        <w:t xml:space="preserve"> προ δι</w:t>
      </w:r>
      <w:r w:rsidR="006C0316" w:rsidRPr="006F374C">
        <w:rPr>
          <w:rFonts w:cs="Segoe UI"/>
          <w:iCs/>
          <w:color w:val="000000" w:themeColor="text1"/>
          <w:sz w:val="16"/>
          <w:szCs w:val="16"/>
        </w:rPr>
        <w:t xml:space="preserve">αγραφών </w:t>
      </w:r>
      <w:r w:rsidR="001E2FE2">
        <w:rPr>
          <w:rFonts w:cs="Segoe UI"/>
          <w:iCs/>
          <w:color w:val="000000" w:themeColor="text1"/>
          <w:sz w:val="16"/>
          <w:szCs w:val="16"/>
        </w:rPr>
        <w:t xml:space="preserve">ήταν επίσης αρνητικός </w:t>
      </w:r>
      <w:r w:rsidR="006C0316" w:rsidRPr="006F374C">
        <w:rPr>
          <w:rFonts w:cs="Segoe UI"/>
          <w:iCs/>
          <w:color w:val="000000" w:themeColor="text1"/>
          <w:sz w:val="16"/>
          <w:szCs w:val="16"/>
        </w:rPr>
        <w:t xml:space="preserve">το 3ο 3μηνο </w:t>
      </w:r>
      <w:r w:rsidR="001E2FE2">
        <w:rPr>
          <w:rFonts w:cs="Segoe UI"/>
          <w:iCs/>
          <w:color w:val="000000" w:themeColor="text1"/>
          <w:sz w:val="16"/>
          <w:szCs w:val="16"/>
        </w:rPr>
        <w:t xml:space="preserve">στα </w:t>
      </w:r>
      <w:r w:rsidR="006C0316" w:rsidRPr="006F374C">
        <w:rPr>
          <w:rFonts w:cs="Segoe UI"/>
          <w:iCs/>
          <w:color w:val="000000" w:themeColor="text1"/>
          <w:sz w:val="16"/>
          <w:szCs w:val="16"/>
        </w:rPr>
        <w:t xml:space="preserve">-€0,5 </w:t>
      </w:r>
      <w:r w:rsidR="004F5B3A" w:rsidRPr="006F374C">
        <w:rPr>
          <w:rFonts w:cs="Segoe UI"/>
          <w:iCs/>
          <w:color w:val="000000" w:themeColor="text1"/>
          <w:sz w:val="16"/>
          <w:szCs w:val="16"/>
        </w:rPr>
        <w:t>δισ</w:t>
      </w:r>
      <w:r w:rsidR="006C0316" w:rsidRPr="006F374C">
        <w:rPr>
          <w:rFonts w:cs="Segoe UI"/>
          <w:iCs/>
          <w:color w:val="000000" w:themeColor="text1"/>
          <w:sz w:val="16"/>
          <w:szCs w:val="16"/>
        </w:rPr>
        <w:t>.</w:t>
      </w:r>
    </w:p>
    <w:p w:rsidR="0033431D" w:rsidRPr="006F374C" w:rsidRDefault="0033431D" w:rsidP="00D8644D">
      <w:pPr>
        <w:autoSpaceDE w:val="0"/>
        <w:autoSpaceDN w:val="0"/>
        <w:adjustRightInd w:val="0"/>
        <w:spacing w:after="0" w:line="220" w:lineRule="exact"/>
        <w:ind w:left="-284"/>
        <w:jc w:val="both"/>
        <w:rPr>
          <w:rFonts w:cs="Segoe UI"/>
          <w:iCs/>
          <w:color w:val="000000" w:themeColor="text1"/>
          <w:sz w:val="16"/>
          <w:szCs w:val="16"/>
        </w:rPr>
      </w:pPr>
    </w:p>
    <w:p w:rsidR="0033431D" w:rsidRPr="006F374C" w:rsidRDefault="0033431D" w:rsidP="00D8644D">
      <w:pPr>
        <w:tabs>
          <w:tab w:val="left" w:pos="6360"/>
        </w:tabs>
        <w:spacing w:after="0" w:line="240" w:lineRule="exact"/>
        <w:ind w:left="-567"/>
        <w:jc w:val="both"/>
        <w:rPr>
          <w:rFonts w:cs="Segoe UI"/>
          <w:iCs/>
          <w:color w:val="000000" w:themeColor="text1"/>
          <w:sz w:val="16"/>
          <w:szCs w:val="16"/>
        </w:rPr>
      </w:pPr>
      <w:r w:rsidRPr="006F374C">
        <w:rPr>
          <w:rFonts w:cs="Segoe UI"/>
          <w:iCs/>
          <w:sz w:val="16"/>
          <w:szCs w:val="16"/>
        </w:rPr>
        <w:t xml:space="preserve">Η </w:t>
      </w:r>
      <w:r w:rsidR="006C0316" w:rsidRPr="006F374C">
        <w:rPr>
          <w:rFonts w:cs="Segoe UI"/>
          <w:iCs/>
          <w:sz w:val="16"/>
          <w:szCs w:val="16"/>
        </w:rPr>
        <w:t>θετική τάση στις εγχώριες καταθέσεις</w:t>
      </w:r>
      <w:r w:rsidRPr="006F374C">
        <w:rPr>
          <w:rFonts w:cs="Segoe UI"/>
          <w:iCs/>
          <w:sz w:val="16"/>
          <w:szCs w:val="16"/>
        </w:rPr>
        <w:t xml:space="preserve"> επιταχύνθηκε στο 3ο 3μηνο</w:t>
      </w:r>
      <w:r w:rsidR="004F5B3A" w:rsidRPr="006F374C">
        <w:rPr>
          <w:rFonts w:cs="Segoe UI"/>
          <w:iCs/>
          <w:sz w:val="16"/>
          <w:szCs w:val="16"/>
        </w:rPr>
        <w:t xml:space="preserve"> 2017</w:t>
      </w:r>
      <w:r w:rsidRPr="006F374C">
        <w:rPr>
          <w:rFonts w:cs="Segoe UI"/>
          <w:iCs/>
          <w:sz w:val="16"/>
          <w:szCs w:val="16"/>
        </w:rPr>
        <w:t xml:space="preserve">, με τριμηνιαία αύξηση καταθέσεων κατά €0,9 </w:t>
      </w:r>
      <w:r w:rsidR="004F5B3A" w:rsidRPr="006F374C">
        <w:rPr>
          <w:rFonts w:cs="Segoe UI"/>
          <w:iCs/>
          <w:color w:val="000000" w:themeColor="text1"/>
          <w:sz w:val="16"/>
          <w:szCs w:val="16"/>
        </w:rPr>
        <w:t>δισ.</w:t>
      </w:r>
      <w:r w:rsidRPr="006F374C">
        <w:rPr>
          <w:rFonts w:cs="Segoe UI"/>
          <w:iCs/>
          <w:sz w:val="16"/>
          <w:szCs w:val="16"/>
        </w:rPr>
        <w:t xml:space="preserve"> Η χρηματοδότηση από τον μηχανισμό ELA μειώθηκε κατά €</w:t>
      </w:r>
      <w:r w:rsidR="00C74F7E" w:rsidRPr="006F374C">
        <w:rPr>
          <w:rFonts w:cs="Segoe UI"/>
          <w:iCs/>
          <w:sz w:val="16"/>
          <w:szCs w:val="16"/>
        </w:rPr>
        <w:t>2,</w:t>
      </w:r>
      <w:r w:rsidRPr="006F374C">
        <w:rPr>
          <w:rFonts w:cs="Segoe UI"/>
          <w:iCs/>
          <w:sz w:val="16"/>
          <w:szCs w:val="16"/>
        </w:rPr>
        <w:t xml:space="preserve">5δισ. το 3ο 3μηνο </w:t>
      </w:r>
      <w:r w:rsidR="00C74F7E" w:rsidRPr="006F374C">
        <w:rPr>
          <w:rFonts w:cs="Segoe UI"/>
          <w:iCs/>
          <w:sz w:val="16"/>
          <w:szCs w:val="16"/>
        </w:rPr>
        <w:t>2017</w:t>
      </w:r>
      <w:r w:rsidR="004F5B3A" w:rsidRPr="006F374C">
        <w:rPr>
          <w:rFonts w:cs="Segoe UI"/>
          <w:iCs/>
          <w:sz w:val="16"/>
          <w:szCs w:val="16"/>
        </w:rPr>
        <w:t xml:space="preserve">δηλαδή στα €7,8 δισ., και χαμηλότερα </w:t>
      </w:r>
      <w:r w:rsidR="00932BB8">
        <w:rPr>
          <w:rFonts w:cs="Segoe UI"/>
          <w:iCs/>
          <w:sz w:val="16"/>
          <w:szCs w:val="16"/>
        </w:rPr>
        <w:t xml:space="preserve">από </w:t>
      </w:r>
      <w:r w:rsidR="00932BB8" w:rsidRPr="006F374C">
        <w:rPr>
          <w:rFonts w:cs="Segoe UI"/>
          <w:iCs/>
          <w:sz w:val="16"/>
          <w:szCs w:val="16"/>
        </w:rPr>
        <w:t>€</w:t>
      </w:r>
      <w:r w:rsidR="00932BB8">
        <w:rPr>
          <w:rFonts w:cs="Segoe UI"/>
          <w:iCs/>
          <w:sz w:val="16"/>
          <w:szCs w:val="16"/>
        </w:rPr>
        <w:t>6</w:t>
      </w:r>
      <w:r w:rsidR="00932BB8" w:rsidRPr="006F374C">
        <w:rPr>
          <w:rFonts w:cs="Segoe UI"/>
          <w:iCs/>
          <w:color w:val="000000" w:themeColor="text1"/>
          <w:sz w:val="16"/>
          <w:szCs w:val="16"/>
        </w:rPr>
        <w:t>δισ.</w:t>
      </w:r>
      <w:r w:rsidR="004F5B3A" w:rsidRPr="006F374C">
        <w:rPr>
          <w:rFonts w:cs="Segoe UI"/>
          <w:iCs/>
          <w:sz w:val="16"/>
          <w:szCs w:val="16"/>
        </w:rPr>
        <w:t>σ</w:t>
      </w:r>
      <w:r w:rsidRPr="006F374C">
        <w:rPr>
          <w:rFonts w:cs="Segoe UI"/>
          <w:iCs/>
          <w:sz w:val="16"/>
          <w:szCs w:val="16"/>
        </w:rPr>
        <w:t xml:space="preserve">τα τέλη Νοεμβρίου, λόγω της περαιτέρω εισροής καταθέσεων και </w:t>
      </w:r>
      <w:r w:rsidR="00C74F7E" w:rsidRPr="006F374C">
        <w:rPr>
          <w:rFonts w:cs="Segoe UI"/>
          <w:iCs/>
          <w:sz w:val="16"/>
          <w:szCs w:val="16"/>
        </w:rPr>
        <w:t>τη</w:t>
      </w:r>
      <w:r w:rsidRPr="006F374C">
        <w:rPr>
          <w:rFonts w:cs="Segoe UI"/>
          <w:iCs/>
          <w:sz w:val="16"/>
          <w:szCs w:val="16"/>
        </w:rPr>
        <w:t xml:space="preserve">ς πιο </w:t>
      </w:r>
      <w:r w:rsidR="00C74F7E" w:rsidRPr="006F374C">
        <w:rPr>
          <w:rFonts w:cs="Segoe UI"/>
          <w:iCs/>
          <w:sz w:val="16"/>
          <w:szCs w:val="16"/>
        </w:rPr>
        <w:t>ενεργού</w:t>
      </w:r>
      <w:r w:rsidRPr="006F374C">
        <w:rPr>
          <w:rFonts w:cs="Segoe UI"/>
          <w:iCs/>
          <w:sz w:val="16"/>
          <w:szCs w:val="16"/>
        </w:rPr>
        <w:t xml:space="preserve">ς διατραπεζικής αγοράς </w:t>
      </w:r>
      <w:r w:rsidRPr="006F374C">
        <w:rPr>
          <w:rFonts w:cs="Segoe UI"/>
          <w:iCs/>
          <w:sz w:val="16"/>
          <w:szCs w:val="16"/>
          <w:lang w:val="en-US"/>
        </w:rPr>
        <w:t>repos</w:t>
      </w:r>
      <w:r w:rsidRPr="006F374C">
        <w:rPr>
          <w:rFonts w:cs="Segoe UI"/>
          <w:iCs/>
          <w:sz w:val="16"/>
          <w:szCs w:val="16"/>
        </w:rPr>
        <w:t>.</w:t>
      </w:r>
      <w:r w:rsidR="00C74F7E" w:rsidRPr="006F374C">
        <w:rPr>
          <w:rFonts w:cs="Segoe UI"/>
          <w:iCs/>
          <w:sz w:val="16"/>
          <w:szCs w:val="16"/>
        </w:rPr>
        <w:t xml:space="preserve"> Τόσο ο δείκτης </w:t>
      </w:r>
      <w:r w:rsidR="00C74F7E" w:rsidRPr="006F374C">
        <w:rPr>
          <w:rFonts w:cs="Segoe UI"/>
          <w:iCs/>
          <w:sz w:val="16"/>
          <w:szCs w:val="16"/>
          <w:lang w:val="en-US"/>
        </w:rPr>
        <w:t>ELA</w:t>
      </w:r>
      <w:r w:rsidR="00C74F7E" w:rsidRPr="006F374C">
        <w:rPr>
          <w:rFonts w:cs="Segoe UI"/>
          <w:iCs/>
          <w:sz w:val="16"/>
          <w:szCs w:val="16"/>
        </w:rPr>
        <w:t xml:space="preserve"> προς ενεργητι</w:t>
      </w:r>
      <w:r w:rsidR="006F374C" w:rsidRPr="006F374C">
        <w:rPr>
          <w:rFonts w:cs="Segoe UI"/>
          <w:iCs/>
          <w:sz w:val="16"/>
          <w:szCs w:val="16"/>
        </w:rPr>
        <w:t>κό, όσο και ο δείκτης δανείωνπρος καταθέσεις</w:t>
      </w:r>
      <w:r w:rsidR="00C74F7E" w:rsidRPr="006F374C">
        <w:rPr>
          <w:rFonts w:cs="Segoe UI"/>
          <w:iCs/>
          <w:sz w:val="16"/>
          <w:szCs w:val="16"/>
        </w:rPr>
        <w:t xml:space="preserve"> στην Ελλάδα </w:t>
      </w:r>
      <w:r w:rsidR="007A1FBD" w:rsidRPr="006F374C">
        <w:rPr>
          <w:rFonts w:cs="Segoe UI"/>
          <w:iCs/>
          <w:sz w:val="16"/>
          <w:szCs w:val="16"/>
        </w:rPr>
        <w:t>της Τράπεζας Πειραιώς</w:t>
      </w:r>
      <w:r w:rsidR="00090844" w:rsidRPr="00090844">
        <w:rPr>
          <w:rFonts w:cs="Segoe UI"/>
          <w:iCs/>
          <w:sz w:val="16"/>
          <w:szCs w:val="16"/>
        </w:rPr>
        <w:t>,</w:t>
      </w:r>
      <w:r w:rsidR="00C74F7E" w:rsidRPr="006F374C">
        <w:rPr>
          <w:rFonts w:cs="Segoe UI"/>
          <w:iCs/>
          <w:sz w:val="16"/>
          <w:szCs w:val="16"/>
        </w:rPr>
        <w:t>είναι οι 2</w:t>
      </w:r>
      <w:r w:rsidR="00C74F7E" w:rsidRPr="006F374C">
        <w:rPr>
          <w:rFonts w:cs="Segoe UI"/>
          <w:iCs/>
          <w:sz w:val="16"/>
          <w:szCs w:val="16"/>
          <w:vertAlign w:val="superscript"/>
        </w:rPr>
        <w:t>οι</w:t>
      </w:r>
      <w:r w:rsidR="00C74F7E" w:rsidRPr="006F374C">
        <w:rPr>
          <w:rFonts w:cs="Segoe UI"/>
          <w:iCs/>
          <w:sz w:val="16"/>
          <w:szCs w:val="16"/>
        </w:rPr>
        <w:t xml:space="preserve"> καλύτεροι στην αγορά.</w:t>
      </w:r>
    </w:p>
    <w:p w:rsidR="006C0316" w:rsidRPr="006F374C" w:rsidRDefault="006C0316" w:rsidP="00D8644D">
      <w:pPr>
        <w:autoSpaceDE w:val="0"/>
        <w:autoSpaceDN w:val="0"/>
        <w:adjustRightInd w:val="0"/>
        <w:spacing w:after="0" w:line="220" w:lineRule="exact"/>
        <w:ind w:left="-567"/>
        <w:jc w:val="both"/>
        <w:rPr>
          <w:rFonts w:cs="Segoe UI"/>
          <w:iCs/>
          <w:sz w:val="16"/>
          <w:szCs w:val="16"/>
        </w:rPr>
      </w:pPr>
    </w:p>
    <w:p w:rsidR="00AB7C26" w:rsidRPr="002A5721" w:rsidRDefault="00C708F9" w:rsidP="00D8644D">
      <w:pPr>
        <w:autoSpaceDE w:val="0"/>
        <w:autoSpaceDN w:val="0"/>
        <w:adjustRightInd w:val="0"/>
        <w:spacing w:after="0" w:line="220" w:lineRule="exact"/>
        <w:ind w:left="-567"/>
        <w:jc w:val="both"/>
        <w:rPr>
          <w:rFonts w:cs="Segoe UI"/>
          <w:iCs/>
          <w:sz w:val="16"/>
          <w:szCs w:val="16"/>
        </w:rPr>
      </w:pPr>
      <w:r w:rsidRPr="006F374C">
        <w:rPr>
          <w:rFonts w:cs="Segoe UI"/>
          <w:iCs/>
          <w:sz w:val="16"/>
          <w:szCs w:val="16"/>
        </w:rPr>
        <w:t>Τα κέρδη προ φόρων και</w:t>
      </w:r>
      <w:r w:rsidR="006F374C" w:rsidRPr="006F374C">
        <w:rPr>
          <w:rFonts w:cs="Segoe UI"/>
          <w:iCs/>
          <w:sz w:val="16"/>
          <w:szCs w:val="16"/>
        </w:rPr>
        <w:t xml:space="preserve"> προβλέψεων του Ομίλου Πειραιώς</w:t>
      </w:r>
      <w:r w:rsidRPr="006F374C">
        <w:rPr>
          <w:rFonts w:cs="Segoe UI"/>
          <w:iCs/>
          <w:sz w:val="16"/>
          <w:szCs w:val="16"/>
        </w:rPr>
        <w:t xml:space="preserve"> αυξήθηκαν κατά 16</w:t>
      </w:r>
      <w:r w:rsidR="002A019F" w:rsidRPr="006F374C">
        <w:rPr>
          <w:rFonts w:cs="Segoe UI"/>
          <w:iCs/>
          <w:sz w:val="16"/>
          <w:szCs w:val="16"/>
        </w:rPr>
        <w:t>% σε ετήσια</w:t>
      </w:r>
      <w:r w:rsidR="002A019F" w:rsidRPr="002A5721">
        <w:rPr>
          <w:rFonts w:cs="Segoe UI"/>
          <w:iCs/>
          <w:sz w:val="16"/>
          <w:szCs w:val="16"/>
        </w:rPr>
        <w:t xml:space="preserve"> βάση στα €844</w:t>
      </w:r>
      <w:r w:rsidRPr="002A5721">
        <w:rPr>
          <w:rFonts w:cs="Segoe UI"/>
          <w:iCs/>
          <w:sz w:val="16"/>
          <w:szCs w:val="16"/>
        </w:rPr>
        <w:t xml:space="preserve"> εκατ.</w:t>
      </w:r>
      <w:r w:rsidR="002A019F" w:rsidRPr="002A5721">
        <w:rPr>
          <w:rFonts w:cs="Segoe UI"/>
          <w:iCs/>
          <w:sz w:val="16"/>
          <w:szCs w:val="16"/>
        </w:rPr>
        <w:t xml:space="preserve"> στο 9</w:t>
      </w:r>
      <w:r w:rsidRPr="002A5721">
        <w:rPr>
          <w:rFonts w:cs="Segoe UI"/>
          <w:iCs/>
          <w:sz w:val="16"/>
          <w:szCs w:val="16"/>
        </w:rPr>
        <w:t>μηνο</w:t>
      </w:r>
      <w:r w:rsidR="002A019F" w:rsidRPr="002A5721">
        <w:rPr>
          <w:rFonts w:cs="Segoe UI"/>
          <w:iCs/>
          <w:sz w:val="16"/>
          <w:szCs w:val="16"/>
        </w:rPr>
        <w:t xml:space="preserve"> 2017</w:t>
      </w:r>
      <w:r w:rsidRPr="002A5721">
        <w:rPr>
          <w:rFonts w:cs="Segoe UI"/>
          <w:iCs/>
          <w:sz w:val="16"/>
          <w:szCs w:val="16"/>
        </w:rPr>
        <w:t>, υπο</w:t>
      </w:r>
      <w:r w:rsidR="002A019F" w:rsidRPr="002A5721">
        <w:rPr>
          <w:rFonts w:cs="Segoe UI"/>
          <w:iCs/>
          <w:sz w:val="16"/>
          <w:szCs w:val="16"/>
        </w:rPr>
        <w:t xml:space="preserve">βοηθούμενα από την ισόρροπηαύξηση </w:t>
      </w:r>
      <w:r w:rsidRPr="002A5721">
        <w:rPr>
          <w:rFonts w:cs="Segoe UI"/>
          <w:iCs/>
          <w:sz w:val="16"/>
          <w:szCs w:val="16"/>
        </w:rPr>
        <w:t>των</w:t>
      </w:r>
      <w:r w:rsidR="002A019F" w:rsidRPr="002A5721">
        <w:rPr>
          <w:rFonts w:cs="Segoe UI"/>
          <w:iCs/>
          <w:sz w:val="16"/>
          <w:szCs w:val="16"/>
        </w:rPr>
        <w:t xml:space="preserve"> καθαρών εσόδων</w:t>
      </w:r>
      <w:r w:rsidR="006F374C">
        <w:rPr>
          <w:rFonts w:cs="Segoe UI"/>
          <w:iCs/>
          <w:sz w:val="16"/>
          <w:szCs w:val="16"/>
        </w:rPr>
        <w:t xml:space="preserve"> και</w:t>
      </w:r>
      <w:r w:rsidR="00804F26">
        <w:rPr>
          <w:rFonts w:cs="Segoe UI"/>
          <w:iCs/>
          <w:sz w:val="16"/>
          <w:szCs w:val="16"/>
        </w:rPr>
        <w:t xml:space="preserve">μείωση </w:t>
      </w:r>
      <w:r w:rsidRPr="002A5721">
        <w:rPr>
          <w:rFonts w:cs="Segoe UI"/>
          <w:iCs/>
          <w:sz w:val="16"/>
          <w:szCs w:val="16"/>
        </w:rPr>
        <w:t xml:space="preserve">του κόστους κατά 5%. </w:t>
      </w:r>
      <w:r w:rsidR="002A019F" w:rsidRPr="002A5721">
        <w:rPr>
          <w:rFonts w:cs="Segoe UI"/>
          <w:iCs/>
          <w:sz w:val="16"/>
          <w:szCs w:val="16"/>
        </w:rPr>
        <w:t xml:space="preserve">Οι βασικές πηγές τραπεζικών εσόδων, τα καθαρά έσοδα τόκων και προμηθειών, κατέγραψαν κατά το 3ο 3μηνο 2017 </w:t>
      </w:r>
      <w:r w:rsidR="002A019F" w:rsidRPr="009245BF">
        <w:rPr>
          <w:rFonts w:cs="Segoe UI"/>
          <w:iCs/>
          <w:sz w:val="16"/>
          <w:szCs w:val="16"/>
        </w:rPr>
        <w:t>ισχυρή</w:t>
      </w:r>
      <w:r w:rsidR="002A019F" w:rsidRPr="002A5721">
        <w:rPr>
          <w:rFonts w:cs="Segoe UI"/>
          <w:iCs/>
          <w:sz w:val="16"/>
          <w:szCs w:val="16"/>
        </w:rPr>
        <w:t xml:space="preserve"> αύξ</w:t>
      </w:r>
      <w:r w:rsidR="007A1FBD" w:rsidRPr="002A5721">
        <w:rPr>
          <w:rFonts w:cs="Segoe UI"/>
          <w:iCs/>
          <w:sz w:val="16"/>
          <w:szCs w:val="16"/>
        </w:rPr>
        <w:t>ηση κατά</w:t>
      </w:r>
      <w:r w:rsidR="002A019F" w:rsidRPr="002A5721">
        <w:rPr>
          <w:rFonts w:cs="Segoe UI"/>
          <w:iCs/>
          <w:sz w:val="16"/>
          <w:szCs w:val="16"/>
        </w:rPr>
        <w:t xml:space="preserve"> 5% σε σχέση με την ίδια περίοδο του 2016. </w:t>
      </w:r>
      <w:r w:rsidR="007A1FBD" w:rsidRPr="002A5721">
        <w:rPr>
          <w:rFonts w:cs="Segoe UI"/>
          <w:iCs/>
          <w:sz w:val="16"/>
          <w:szCs w:val="16"/>
        </w:rPr>
        <w:t>Η εντατικοποίησητων δράσεων</w:t>
      </w:r>
      <w:r w:rsidR="00630D01" w:rsidRPr="002A5721">
        <w:rPr>
          <w:rFonts w:cs="Segoe UI"/>
          <w:iCs/>
          <w:sz w:val="16"/>
          <w:szCs w:val="16"/>
        </w:rPr>
        <w:t xml:space="preserve"> μείωσης κόστους</w:t>
      </w:r>
      <w:r w:rsidR="00CC243C" w:rsidRPr="002A5721">
        <w:rPr>
          <w:rFonts w:cs="Segoe UI"/>
          <w:iCs/>
          <w:sz w:val="16"/>
          <w:szCs w:val="16"/>
        </w:rPr>
        <w:t>, οδήγησαν το</w:t>
      </w:r>
      <w:r w:rsidR="00A415BD">
        <w:rPr>
          <w:rFonts w:cs="Segoe UI"/>
          <w:iCs/>
          <w:sz w:val="16"/>
          <w:szCs w:val="16"/>
        </w:rPr>
        <w:t>ν</w:t>
      </w:r>
      <w:r w:rsidR="00CC243C" w:rsidRPr="002A5721">
        <w:rPr>
          <w:rFonts w:cs="Segoe UI"/>
          <w:iCs/>
          <w:sz w:val="16"/>
          <w:szCs w:val="16"/>
        </w:rPr>
        <w:t xml:space="preserve"> δείκτη</w:t>
      </w:r>
      <w:r w:rsidR="002A019F" w:rsidRPr="002A5721">
        <w:rPr>
          <w:rFonts w:cs="Segoe UI"/>
          <w:iCs/>
          <w:sz w:val="16"/>
          <w:szCs w:val="16"/>
        </w:rPr>
        <w:t xml:space="preserve"> κόστου</w:t>
      </w:r>
      <w:r w:rsidR="00CC243C" w:rsidRPr="002A5721">
        <w:rPr>
          <w:rFonts w:cs="Segoe UI"/>
          <w:iCs/>
          <w:sz w:val="16"/>
          <w:szCs w:val="16"/>
        </w:rPr>
        <w:t>ς προς έσοδα στην Ελλάδα στο 48% κατάτο 9</w:t>
      </w:r>
      <w:r w:rsidR="002A019F" w:rsidRPr="002A5721">
        <w:rPr>
          <w:rFonts w:cs="Segoe UI"/>
          <w:iCs/>
          <w:sz w:val="16"/>
          <w:szCs w:val="16"/>
        </w:rPr>
        <w:t xml:space="preserve">μηνο </w:t>
      </w:r>
      <w:r w:rsidR="00CC243C" w:rsidRPr="002A5721">
        <w:rPr>
          <w:rFonts w:cs="Segoe UI"/>
          <w:iCs/>
          <w:sz w:val="16"/>
          <w:szCs w:val="16"/>
        </w:rPr>
        <w:t xml:space="preserve">του 2017 από 54% την αντίστοιχη περίοδο πέρυσι. </w:t>
      </w:r>
      <w:r w:rsidR="006F374C">
        <w:rPr>
          <w:rFonts w:cs="Segoe UI"/>
          <w:iCs/>
          <w:sz w:val="16"/>
          <w:szCs w:val="16"/>
        </w:rPr>
        <w:t>Καθώς εντατικοποιήσαμε την</w:t>
      </w:r>
      <w:r w:rsidRPr="002A5721">
        <w:rPr>
          <w:rFonts w:cs="Segoe UI"/>
          <w:iCs/>
          <w:sz w:val="16"/>
          <w:szCs w:val="16"/>
        </w:rPr>
        <w:t xml:space="preserve"> προσπάθεια μείωσης των δανείων σε καθυστέρηση</w:t>
      </w:r>
      <w:r w:rsidR="00CC243C" w:rsidRPr="002A5721">
        <w:rPr>
          <w:rFonts w:cs="Segoe UI"/>
          <w:iCs/>
          <w:sz w:val="16"/>
          <w:szCs w:val="16"/>
        </w:rPr>
        <w:t>, οι προβλέψεις παρέμειναν αυξημένες</w:t>
      </w:r>
      <w:r w:rsidRPr="002A5721">
        <w:rPr>
          <w:rFonts w:cs="Segoe UI"/>
          <w:iCs/>
          <w:sz w:val="16"/>
          <w:szCs w:val="16"/>
        </w:rPr>
        <w:t xml:space="preserve">, με </w:t>
      </w:r>
      <w:r w:rsidR="007A1FBD" w:rsidRPr="002A5721">
        <w:rPr>
          <w:rFonts w:cs="Segoe UI"/>
          <w:iCs/>
          <w:sz w:val="16"/>
          <w:szCs w:val="16"/>
        </w:rPr>
        <w:t xml:space="preserve">συνέπεια την οριακή ζημία -€19 εκατ. για τις </w:t>
      </w:r>
      <w:r w:rsidR="00CC243C" w:rsidRPr="002A5721">
        <w:rPr>
          <w:rFonts w:cs="Segoe UI"/>
          <w:iCs/>
          <w:sz w:val="16"/>
          <w:szCs w:val="16"/>
        </w:rPr>
        <w:t>συνεχι</w:t>
      </w:r>
      <w:r w:rsidR="007A1FBD" w:rsidRPr="002A5721">
        <w:rPr>
          <w:rFonts w:cs="Segoe UI"/>
          <w:iCs/>
          <w:sz w:val="16"/>
          <w:szCs w:val="16"/>
        </w:rPr>
        <w:t>ζόμενες δραστηριότητες κατά</w:t>
      </w:r>
      <w:r w:rsidRPr="002A5721">
        <w:rPr>
          <w:rFonts w:cs="Segoe UI"/>
          <w:iCs/>
          <w:sz w:val="16"/>
          <w:szCs w:val="16"/>
        </w:rPr>
        <w:t xml:space="preserve"> την περίοδο του </w:t>
      </w:r>
      <w:r w:rsidR="00CC243C" w:rsidRPr="002A5721">
        <w:rPr>
          <w:rFonts w:cs="Segoe UI"/>
          <w:iCs/>
          <w:sz w:val="16"/>
          <w:szCs w:val="16"/>
        </w:rPr>
        <w:t>9</w:t>
      </w:r>
      <w:r w:rsidRPr="002A5721">
        <w:rPr>
          <w:rFonts w:cs="Segoe UI"/>
          <w:iCs/>
          <w:sz w:val="16"/>
          <w:szCs w:val="16"/>
        </w:rPr>
        <w:t>μήνου</w:t>
      </w:r>
      <w:r w:rsidR="007A1FBD" w:rsidRPr="002A5721">
        <w:rPr>
          <w:rFonts w:cs="Segoe UI"/>
          <w:iCs/>
          <w:sz w:val="16"/>
          <w:szCs w:val="16"/>
        </w:rPr>
        <w:t xml:space="preserve"> 2017.</w:t>
      </w:r>
    </w:p>
    <w:p w:rsidR="00D8644D" w:rsidRPr="002A5721" w:rsidRDefault="00D8644D" w:rsidP="00D8644D">
      <w:pPr>
        <w:spacing w:after="0" w:line="240" w:lineRule="exact"/>
        <w:ind w:left="-567"/>
        <w:jc w:val="both"/>
        <w:rPr>
          <w:rFonts w:cs="Segoe UI"/>
          <w:iCs/>
          <w:sz w:val="16"/>
          <w:szCs w:val="16"/>
        </w:rPr>
      </w:pPr>
    </w:p>
    <w:p w:rsidR="00AB7C26" w:rsidRPr="002A5721" w:rsidRDefault="001609AD" w:rsidP="00D8644D">
      <w:pPr>
        <w:spacing w:after="0" w:line="240" w:lineRule="exact"/>
        <w:ind w:left="-567"/>
        <w:jc w:val="both"/>
        <w:rPr>
          <w:rFonts w:cs="Segoe UI"/>
          <w:iCs/>
          <w:color w:val="000000" w:themeColor="text1"/>
          <w:sz w:val="16"/>
          <w:szCs w:val="16"/>
        </w:rPr>
      </w:pPr>
      <w:r w:rsidRPr="002A5721">
        <w:rPr>
          <w:rFonts w:cs="Segoe UI"/>
          <w:iCs/>
          <w:sz w:val="16"/>
          <w:szCs w:val="16"/>
        </w:rPr>
        <w:t>Στα τέλη Σεπτεμβρίου 2017, ο δείκτης κεφαλαιακής επάρκειας Common Equity Tier 1 (</w:t>
      </w:r>
      <w:r w:rsidRPr="002A5721">
        <w:rPr>
          <w:rFonts w:cs="Segoe UI"/>
          <w:iCs/>
          <w:sz w:val="16"/>
          <w:szCs w:val="16"/>
          <w:lang w:val="en-US"/>
        </w:rPr>
        <w:t>CET</w:t>
      </w:r>
      <w:r w:rsidRPr="002A5721">
        <w:rPr>
          <w:rFonts w:cs="Segoe UI"/>
          <w:iCs/>
          <w:sz w:val="16"/>
          <w:szCs w:val="16"/>
        </w:rPr>
        <w:t>-1) του Ομίλου</w:t>
      </w:r>
      <w:r w:rsidR="00630D01" w:rsidRPr="002A5721">
        <w:rPr>
          <w:rFonts w:cs="Segoe UI"/>
          <w:iCs/>
          <w:sz w:val="16"/>
          <w:szCs w:val="16"/>
        </w:rPr>
        <w:t xml:space="preserve">, </w:t>
      </w:r>
      <w:r w:rsidR="0030452D">
        <w:rPr>
          <w:rFonts w:cs="Segoe UI"/>
          <w:iCs/>
          <w:sz w:val="16"/>
          <w:szCs w:val="16"/>
        </w:rPr>
        <w:t xml:space="preserve">τόσο με τη μεταβατική (ισχύουσα) μορφή </w:t>
      </w:r>
      <w:r w:rsidR="00630D01" w:rsidRPr="002A5721">
        <w:rPr>
          <w:rFonts w:cs="Segoe UI"/>
          <w:iCs/>
          <w:sz w:val="16"/>
          <w:szCs w:val="16"/>
        </w:rPr>
        <w:t xml:space="preserve">όσο και </w:t>
      </w:r>
      <w:r w:rsidR="00630D01" w:rsidRPr="002A5721">
        <w:rPr>
          <w:sz w:val="16"/>
          <w:szCs w:val="16"/>
        </w:rPr>
        <w:t xml:space="preserve">με </w:t>
      </w:r>
      <w:r w:rsidR="006F374C">
        <w:rPr>
          <w:sz w:val="16"/>
          <w:szCs w:val="16"/>
        </w:rPr>
        <w:t xml:space="preserve">την </w:t>
      </w:r>
      <w:r w:rsidR="00630D01" w:rsidRPr="002A5721">
        <w:rPr>
          <w:sz w:val="16"/>
          <w:szCs w:val="16"/>
        </w:rPr>
        <w:t>πλήρη εφαρμογή του πλαισίου της Βασιλείας ΙΙΙ</w:t>
      </w:r>
      <w:r w:rsidR="000B50F4">
        <w:rPr>
          <w:sz w:val="16"/>
          <w:szCs w:val="16"/>
        </w:rPr>
        <w:t>,</w:t>
      </w:r>
      <w:r w:rsidR="007A1FBD" w:rsidRPr="002A5721">
        <w:rPr>
          <w:rFonts w:cs="Segoe UI"/>
          <w:iCs/>
          <w:sz w:val="16"/>
          <w:szCs w:val="16"/>
        </w:rPr>
        <w:t>βελτιώθηκ</w:t>
      </w:r>
      <w:r w:rsidR="00630D01" w:rsidRPr="002A5721">
        <w:rPr>
          <w:rFonts w:cs="Segoe UI"/>
          <w:iCs/>
          <w:sz w:val="16"/>
          <w:szCs w:val="16"/>
        </w:rPr>
        <w:t>αν σε τριμηνιαία βάση</w:t>
      </w:r>
      <w:r w:rsidR="006F374C">
        <w:rPr>
          <w:rFonts w:cs="Segoe UI"/>
          <w:iCs/>
          <w:sz w:val="16"/>
          <w:szCs w:val="16"/>
        </w:rPr>
        <w:t xml:space="preserve"> για δεύτερο συνεχόμενο τρίμηνο</w:t>
      </w:r>
      <w:r w:rsidRPr="002A5721">
        <w:rPr>
          <w:rFonts w:cs="Segoe UI"/>
          <w:iCs/>
          <w:sz w:val="16"/>
          <w:szCs w:val="16"/>
        </w:rPr>
        <w:t>στο 17,0%</w:t>
      </w:r>
      <w:r w:rsidR="00630D01" w:rsidRPr="002A5721">
        <w:rPr>
          <w:rFonts w:cs="Segoe UI"/>
          <w:iCs/>
          <w:sz w:val="16"/>
          <w:szCs w:val="16"/>
        </w:rPr>
        <w:t xml:space="preserve"> και 16,6% αντιστοίχως.</w:t>
      </w:r>
    </w:p>
    <w:p w:rsidR="00AB7C26" w:rsidRPr="002A5721" w:rsidRDefault="00AB7C26" w:rsidP="00D8644D">
      <w:pPr>
        <w:spacing w:after="0" w:line="240" w:lineRule="exact"/>
        <w:ind w:left="-567"/>
        <w:jc w:val="both"/>
        <w:rPr>
          <w:rFonts w:cs="Segoe UI"/>
          <w:iCs/>
          <w:color w:val="000000" w:themeColor="text1"/>
          <w:sz w:val="16"/>
          <w:szCs w:val="16"/>
        </w:rPr>
      </w:pPr>
    </w:p>
    <w:p w:rsidR="002A5721" w:rsidRPr="002A5721" w:rsidRDefault="00630D01" w:rsidP="002A5721">
      <w:pPr>
        <w:autoSpaceDE w:val="0"/>
        <w:autoSpaceDN w:val="0"/>
        <w:adjustRightInd w:val="0"/>
        <w:spacing w:after="0" w:line="220" w:lineRule="exact"/>
        <w:ind w:left="-567"/>
        <w:jc w:val="both"/>
        <w:rPr>
          <w:rFonts w:cs="Segoe UI"/>
          <w:iCs/>
          <w:sz w:val="16"/>
          <w:szCs w:val="16"/>
        </w:rPr>
      </w:pPr>
      <w:r w:rsidRPr="002A5721">
        <w:rPr>
          <w:rFonts w:cs="Segoe UI"/>
          <w:iCs/>
          <w:sz w:val="16"/>
          <w:szCs w:val="16"/>
        </w:rPr>
        <w:t>Η πορεία μετασχηματισμού της Τράπεζας προχωράει με ταχύτητα και συνέπεια. Είμαστ</w:t>
      </w:r>
      <w:r w:rsidR="006F374C">
        <w:rPr>
          <w:rFonts w:cs="Segoe UI"/>
          <w:iCs/>
          <w:sz w:val="16"/>
          <w:szCs w:val="16"/>
        </w:rPr>
        <w:t>ε προσηλωμένοι στη συνεπή</w:t>
      </w:r>
      <w:r w:rsidRPr="002A5721">
        <w:rPr>
          <w:rFonts w:cs="Segoe UI"/>
          <w:iCs/>
          <w:sz w:val="16"/>
          <w:szCs w:val="16"/>
        </w:rPr>
        <w:t xml:space="preserve"> εφαρμογή του στρατηγικού μας σχεδίου “</w:t>
      </w:r>
      <w:r w:rsidRPr="002A5721">
        <w:rPr>
          <w:rFonts w:cs="Segoe UI"/>
          <w:iCs/>
          <w:sz w:val="16"/>
          <w:szCs w:val="16"/>
          <w:lang w:val="en-US"/>
        </w:rPr>
        <w:t>Agenda</w:t>
      </w:r>
      <w:r w:rsidRPr="002A5721">
        <w:rPr>
          <w:rFonts w:cs="Segoe UI"/>
          <w:iCs/>
          <w:sz w:val="16"/>
          <w:szCs w:val="16"/>
        </w:rPr>
        <w:t xml:space="preserve"> 2020”, στοχεύοντας στην επιθετική μείωση των κινδύνων </w:t>
      </w:r>
      <w:r w:rsidR="006F374C">
        <w:rPr>
          <w:rFonts w:cs="Segoe UI"/>
          <w:iCs/>
          <w:sz w:val="16"/>
          <w:szCs w:val="16"/>
        </w:rPr>
        <w:t xml:space="preserve">του </w:t>
      </w:r>
      <w:r w:rsidRPr="002A5721">
        <w:rPr>
          <w:rFonts w:cs="Segoe UI"/>
          <w:iCs/>
          <w:sz w:val="16"/>
          <w:szCs w:val="16"/>
        </w:rPr>
        <w:t>ισολογισμού και στην ταχεία ομαλοποίηση. Η βασική τραπεζική μας δραστηριότητα (“</w:t>
      </w:r>
      <w:r w:rsidRPr="002A5721">
        <w:rPr>
          <w:rFonts w:cs="Segoe UI"/>
          <w:iCs/>
          <w:sz w:val="16"/>
          <w:szCs w:val="16"/>
          <w:lang w:val="en-US"/>
        </w:rPr>
        <w:t>Piraeus</w:t>
      </w:r>
      <w:r w:rsidR="008059CA">
        <w:rPr>
          <w:rFonts w:cs="Segoe UI"/>
          <w:iCs/>
          <w:sz w:val="16"/>
          <w:szCs w:val="16"/>
          <w:lang w:val="en-US"/>
        </w:rPr>
        <w:t>Core</w:t>
      </w:r>
      <w:r w:rsidRPr="002A5721">
        <w:rPr>
          <w:rFonts w:cs="Segoe UI"/>
          <w:iCs/>
          <w:sz w:val="16"/>
          <w:szCs w:val="16"/>
          <w:lang w:val="en-US"/>
        </w:rPr>
        <w:t>Bank</w:t>
      </w:r>
      <w:r w:rsidRPr="002A5721">
        <w:rPr>
          <w:rFonts w:cs="Segoe UI"/>
          <w:iCs/>
          <w:sz w:val="16"/>
          <w:szCs w:val="16"/>
        </w:rPr>
        <w:t xml:space="preserve">”) κατέγραψε κέρδη ύψους €311εκατ. το </w:t>
      </w:r>
      <w:r w:rsidR="000B50F4">
        <w:rPr>
          <w:rFonts w:cs="Segoe UI"/>
          <w:iCs/>
          <w:sz w:val="16"/>
          <w:szCs w:val="16"/>
        </w:rPr>
        <w:t xml:space="preserve">9μηνο </w:t>
      </w:r>
      <w:r w:rsidRPr="002A5721">
        <w:rPr>
          <w:rFonts w:cs="Segoe UI"/>
          <w:iCs/>
          <w:sz w:val="16"/>
          <w:szCs w:val="16"/>
        </w:rPr>
        <w:t>του 2017 και απόδοση ενεργητικού 1,1%, σηματοδοτώντας την ισχύ και τη δυναμική κερδοφορίας των δραστηριοτήτων μας μόλις ολοκληρωθεί ο μετασχηματισμός του Ομίλου. Η “</w:t>
      </w:r>
      <w:r w:rsidRPr="002A5721">
        <w:rPr>
          <w:rFonts w:cs="Segoe UI"/>
          <w:iCs/>
          <w:sz w:val="16"/>
          <w:szCs w:val="16"/>
          <w:lang w:val="en-US"/>
        </w:rPr>
        <w:t>Piraeus</w:t>
      </w:r>
      <w:r w:rsidR="008059CA">
        <w:rPr>
          <w:rFonts w:cs="Segoe UI"/>
          <w:iCs/>
          <w:sz w:val="16"/>
          <w:szCs w:val="16"/>
          <w:lang w:val="en-US"/>
        </w:rPr>
        <w:t>Core</w:t>
      </w:r>
      <w:r w:rsidRPr="002A5721">
        <w:rPr>
          <w:rFonts w:cs="Segoe UI"/>
          <w:iCs/>
          <w:sz w:val="16"/>
          <w:szCs w:val="16"/>
          <w:lang w:val="en-US"/>
        </w:rPr>
        <w:t>Bank</w:t>
      </w:r>
      <w:r w:rsidR="00656238">
        <w:rPr>
          <w:rFonts w:cs="Segoe UI"/>
          <w:iCs/>
          <w:sz w:val="16"/>
          <w:szCs w:val="16"/>
        </w:rPr>
        <w:t>” κατέγραψε συμπαγή</w:t>
      </w:r>
      <w:r w:rsidR="00D8644D" w:rsidRPr="002A5721">
        <w:rPr>
          <w:rFonts w:cs="Segoe UI"/>
          <w:iCs/>
          <w:sz w:val="16"/>
          <w:szCs w:val="16"/>
        </w:rPr>
        <w:t xml:space="preserve"> χρηματοοικονομικά αποτελέσματα</w:t>
      </w:r>
      <w:r w:rsidR="00656238">
        <w:rPr>
          <w:rFonts w:cs="Segoe UI"/>
          <w:iCs/>
          <w:sz w:val="16"/>
          <w:szCs w:val="16"/>
        </w:rPr>
        <w:t>σ</w:t>
      </w:r>
      <w:r w:rsidRPr="002A5721">
        <w:rPr>
          <w:rFonts w:cs="Segoe UI"/>
          <w:iCs/>
          <w:sz w:val="16"/>
          <w:szCs w:val="16"/>
        </w:rPr>
        <w:t xml:space="preserve">το 9μηνο του 2017, συμπεριλαμβανομένων καθαρού επιτοκιακού περιθωρίου </w:t>
      </w:r>
      <w:r w:rsidRPr="002A5721">
        <w:rPr>
          <w:rFonts w:cs="Segoe UI"/>
          <w:iCs/>
          <w:sz w:val="16"/>
          <w:szCs w:val="16"/>
          <w:lang w:val="en-US"/>
        </w:rPr>
        <w:t>NIM</w:t>
      </w:r>
      <w:r w:rsidR="00D8644D" w:rsidRPr="002A5721">
        <w:rPr>
          <w:rFonts w:cs="Segoe UI"/>
          <w:iCs/>
          <w:sz w:val="16"/>
          <w:szCs w:val="16"/>
        </w:rPr>
        <w:t xml:space="preserve"> στις 3</w:t>
      </w:r>
      <w:r w:rsidR="0062402F" w:rsidRPr="0062402F">
        <w:rPr>
          <w:rFonts w:cs="Segoe UI"/>
          <w:iCs/>
          <w:sz w:val="16"/>
          <w:szCs w:val="16"/>
        </w:rPr>
        <w:t>09</w:t>
      </w:r>
      <w:r w:rsidR="00D8644D" w:rsidRPr="002A5721">
        <w:rPr>
          <w:rFonts w:cs="Segoe UI"/>
          <w:iCs/>
          <w:sz w:val="16"/>
          <w:szCs w:val="16"/>
        </w:rPr>
        <w:t xml:space="preserve"> μ.β. και εσόδων από προμήθειες προς ενεργητικό</w:t>
      </w:r>
      <w:r w:rsidRPr="002A5721">
        <w:rPr>
          <w:rFonts w:cs="Segoe UI"/>
          <w:iCs/>
          <w:sz w:val="16"/>
          <w:szCs w:val="16"/>
        </w:rPr>
        <w:t xml:space="preserve"> στις 8</w:t>
      </w:r>
      <w:r w:rsidR="0062402F" w:rsidRPr="00126F7A">
        <w:rPr>
          <w:rFonts w:cs="Segoe UI"/>
          <w:iCs/>
          <w:sz w:val="16"/>
          <w:szCs w:val="16"/>
        </w:rPr>
        <w:t>7</w:t>
      </w:r>
      <w:r w:rsidRPr="002A5721">
        <w:rPr>
          <w:rFonts w:cs="Segoe UI"/>
          <w:iCs/>
          <w:sz w:val="16"/>
          <w:szCs w:val="16"/>
        </w:rPr>
        <w:t>μ.β. Το “</w:t>
      </w:r>
      <w:r w:rsidRPr="002A5721">
        <w:rPr>
          <w:rFonts w:cs="Segoe UI"/>
          <w:iCs/>
          <w:sz w:val="16"/>
          <w:szCs w:val="16"/>
          <w:lang w:val="en-US"/>
        </w:rPr>
        <w:t>PiraeusLegacyUnit</w:t>
      </w:r>
      <w:r w:rsidRPr="002A5721">
        <w:rPr>
          <w:rFonts w:cs="Segoe UI"/>
          <w:iCs/>
          <w:sz w:val="16"/>
          <w:szCs w:val="16"/>
        </w:rPr>
        <w:t xml:space="preserve">” </w:t>
      </w:r>
      <w:r w:rsidR="000B50F4">
        <w:rPr>
          <w:rFonts w:cs="Segoe UI"/>
          <w:iCs/>
          <w:sz w:val="16"/>
          <w:szCs w:val="16"/>
        </w:rPr>
        <w:t>(</w:t>
      </w:r>
      <w:r w:rsidR="000B50F4" w:rsidRPr="008640A5">
        <w:rPr>
          <w:rFonts w:cs="Segoe UI"/>
          <w:iCs/>
          <w:sz w:val="16"/>
          <w:szCs w:val="16"/>
        </w:rPr>
        <w:t>“</w:t>
      </w:r>
      <w:r w:rsidR="000B50F4">
        <w:rPr>
          <w:rFonts w:cs="Segoe UI"/>
          <w:iCs/>
          <w:sz w:val="16"/>
          <w:szCs w:val="16"/>
          <w:lang w:val="en-US"/>
        </w:rPr>
        <w:t>PLU</w:t>
      </w:r>
      <w:r w:rsidR="000B50F4" w:rsidRPr="008640A5">
        <w:rPr>
          <w:rFonts w:cs="Segoe UI"/>
          <w:iCs/>
          <w:sz w:val="16"/>
          <w:szCs w:val="16"/>
        </w:rPr>
        <w:t>”</w:t>
      </w:r>
      <w:r w:rsidR="000B50F4">
        <w:rPr>
          <w:rFonts w:cs="Segoe UI"/>
          <w:iCs/>
          <w:sz w:val="16"/>
          <w:szCs w:val="16"/>
        </w:rPr>
        <w:t xml:space="preserve">) </w:t>
      </w:r>
      <w:r w:rsidRPr="002A5721">
        <w:rPr>
          <w:rFonts w:cs="Segoe UI"/>
          <w:iCs/>
          <w:sz w:val="16"/>
          <w:szCs w:val="16"/>
        </w:rPr>
        <w:t>συνέχισε να μειώνει το επίπεδο σταθμισμένων στοιχείων ενεργητικού (</w:t>
      </w:r>
      <w:r w:rsidRPr="002A5721">
        <w:rPr>
          <w:rFonts w:cs="Segoe UI"/>
          <w:iCs/>
          <w:sz w:val="16"/>
          <w:szCs w:val="16"/>
          <w:lang w:val="en-US"/>
        </w:rPr>
        <w:t>RWA</w:t>
      </w:r>
      <w:r w:rsidRPr="002A5721">
        <w:rPr>
          <w:rFonts w:cs="Segoe UI"/>
          <w:iCs/>
          <w:sz w:val="16"/>
          <w:szCs w:val="16"/>
        </w:rPr>
        <w:t>) κατά €0</w:t>
      </w:r>
      <w:r w:rsidR="00D8644D" w:rsidRPr="002A5721">
        <w:rPr>
          <w:rFonts w:cs="Segoe UI"/>
          <w:iCs/>
          <w:sz w:val="16"/>
          <w:szCs w:val="16"/>
        </w:rPr>
        <w:t>,6</w:t>
      </w:r>
      <w:r w:rsidR="00656238">
        <w:rPr>
          <w:rFonts w:cs="Segoe UI"/>
          <w:iCs/>
          <w:color w:val="000000" w:themeColor="text1"/>
          <w:sz w:val="16"/>
          <w:szCs w:val="16"/>
        </w:rPr>
        <w:t>δισ.</w:t>
      </w:r>
      <w:r w:rsidR="00D8644D" w:rsidRPr="002A5721">
        <w:rPr>
          <w:rFonts w:cs="Segoe UI"/>
          <w:iCs/>
          <w:sz w:val="16"/>
          <w:szCs w:val="16"/>
        </w:rPr>
        <w:t xml:space="preserve"> σε τριμηνιαία βάση. Τ</w:t>
      </w:r>
      <w:r w:rsidRPr="002A5721">
        <w:rPr>
          <w:rFonts w:cs="Segoe UI"/>
          <w:iCs/>
          <w:sz w:val="16"/>
          <w:szCs w:val="16"/>
        </w:rPr>
        <w:t>ους τελευταίους μήνες έχουμε επιταχύνει το ρυθμό αποε</w:t>
      </w:r>
      <w:r w:rsidR="00D8644D" w:rsidRPr="002A5721">
        <w:rPr>
          <w:rFonts w:cs="Segoe UI"/>
          <w:iCs/>
          <w:sz w:val="16"/>
          <w:szCs w:val="16"/>
        </w:rPr>
        <w:t>πένδυσης μη βασικών</w:t>
      </w:r>
      <w:r w:rsidRPr="002A5721">
        <w:rPr>
          <w:rFonts w:cs="Segoe UI"/>
          <w:iCs/>
          <w:sz w:val="16"/>
          <w:szCs w:val="16"/>
        </w:rPr>
        <w:t xml:space="preserve"> στοιχείων </w:t>
      </w:r>
      <w:r w:rsidR="00D8644D" w:rsidRPr="002A5721">
        <w:rPr>
          <w:rFonts w:cs="Segoe UI"/>
          <w:iCs/>
          <w:sz w:val="16"/>
          <w:szCs w:val="16"/>
        </w:rPr>
        <w:t xml:space="preserve">ενεργητικού </w:t>
      </w:r>
      <w:r w:rsidRPr="002A5721">
        <w:rPr>
          <w:rFonts w:cs="Segoe UI"/>
          <w:iCs/>
          <w:sz w:val="16"/>
          <w:szCs w:val="16"/>
        </w:rPr>
        <w:t xml:space="preserve">και μελετάμε ενεργά το ενδεχόμενο </w:t>
      </w:r>
      <w:r w:rsidR="00D8644D" w:rsidRPr="002A5721">
        <w:rPr>
          <w:rFonts w:cs="Segoe UI"/>
          <w:iCs/>
          <w:sz w:val="16"/>
          <w:szCs w:val="16"/>
        </w:rPr>
        <w:t>μη οργανικών</w:t>
      </w:r>
      <w:r w:rsidRPr="002A5721">
        <w:rPr>
          <w:rFonts w:cs="Segoe UI"/>
          <w:iCs/>
          <w:sz w:val="16"/>
          <w:szCs w:val="16"/>
        </w:rPr>
        <w:t xml:space="preserve"> πρωτοβουλιών ομαλοποίησης του ισολογισμού, σύμφωνα με τη στρατηγική μείωσης των κινδύνων. </w:t>
      </w:r>
    </w:p>
    <w:p w:rsidR="002A5721" w:rsidRDefault="002A5721" w:rsidP="002A5721">
      <w:pPr>
        <w:autoSpaceDE w:val="0"/>
        <w:autoSpaceDN w:val="0"/>
        <w:adjustRightInd w:val="0"/>
        <w:spacing w:after="0" w:line="220" w:lineRule="exact"/>
        <w:ind w:left="-567"/>
        <w:jc w:val="both"/>
        <w:rPr>
          <w:rFonts w:cs="Segoe UI"/>
          <w:iCs/>
          <w:sz w:val="14"/>
          <w:szCs w:val="14"/>
        </w:rPr>
      </w:pPr>
    </w:p>
    <w:p w:rsidR="00AC1C55" w:rsidRPr="002A5721" w:rsidRDefault="002A5721" w:rsidP="002A5721">
      <w:pPr>
        <w:autoSpaceDE w:val="0"/>
        <w:autoSpaceDN w:val="0"/>
        <w:adjustRightInd w:val="0"/>
        <w:spacing w:after="0" w:line="220" w:lineRule="exact"/>
        <w:ind w:left="-567"/>
        <w:jc w:val="both"/>
        <w:rPr>
          <w:rFonts w:cs="Segoe UI"/>
          <w:iCs/>
          <w:sz w:val="16"/>
          <w:szCs w:val="16"/>
        </w:rPr>
      </w:pPr>
      <w:r w:rsidRPr="002A5721">
        <w:rPr>
          <w:rFonts w:cs="Segoe UI"/>
          <w:iCs/>
          <w:sz w:val="16"/>
          <w:szCs w:val="16"/>
        </w:rPr>
        <w:t xml:space="preserve">Η ενδυναμωμένη διοικητική ομάδα της Τράπεζας, συμπεριλαμβανομένου του νέου επικεφαλής του </w:t>
      </w:r>
      <w:r w:rsidRPr="002A5721">
        <w:rPr>
          <w:rFonts w:cs="Segoe UI"/>
          <w:iCs/>
          <w:sz w:val="16"/>
          <w:szCs w:val="16"/>
          <w:lang w:val="en-US"/>
        </w:rPr>
        <w:t>PLU</w:t>
      </w:r>
      <w:r w:rsidR="00090844">
        <w:rPr>
          <w:rFonts w:cs="Segoe UI"/>
          <w:iCs/>
          <w:sz w:val="16"/>
          <w:szCs w:val="16"/>
        </w:rPr>
        <w:t>Γιώργου</w:t>
      </w:r>
      <w:r w:rsidRPr="002A5721">
        <w:rPr>
          <w:rFonts w:cs="Segoe UI"/>
          <w:iCs/>
          <w:sz w:val="16"/>
          <w:szCs w:val="16"/>
        </w:rPr>
        <w:t>Γεωργακόπουλο</w:t>
      </w:r>
      <w:r>
        <w:rPr>
          <w:rFonts w:cs="Segoe UI"/>
          <w:iCs/>
          <w:sz w:val="16"/>
          <w:szCs w:val="16"/>
        </w:rPr>
        <w:t>υ</w:t>
      </w:r>
      <w:r w:rsidRPr="002A5721">
        <w:rPr>
          <w:rFonts w:cs="Segoe UI"/>
          <w:iCs/>
          <w:sz w:val="16"/>
          <w:szCs w:val="16"/>
        </w:rPr>
        <w:t>, εργάζεται αδιάκοπα για την εφαρμογή του σχεδίου μας, επιτυγχάνοντας τις δεσμεύσεις και τους επιχειρησιακούς στόχους</w:t>
      </w:r>
      <w:r w:rsidR="00656238">
        <w:rPr>
          <w:rFonts w:cs="Segoe UI"/>
          <w:iCs/>
          <w:sz w:val="16"/>
          <w:szCs w:val="16"/>
        </w:rPr>
        <w:t xml:space="preserve"> μας</w:t>
      </w:r>
      <w:r w:rsidRPr="002A5721">
        <w:rPr>
          <w:rFonts w:cs="Segoe UI"/>
          <w:iCs/>
          <w:sz w:val="16"/>
          <w:szCs w:val="16"/>
        </w:rPr>
        <w:t xml:space="preserve">, </w:t>
      </w:r>
      <w:r w:rsidR="00656238">
        <w:rPr>
          <w:rFonts w:cs="Segoe UI"/>
          <w:iCs/>
          <w:sz w:val="16"/>
          <w:szCs w:val="16"/>
        </w:rPr>
        <w:t xml:space="preserve"> ενώ επιταχύνει</w:t>
      </w:r>
      <w:r>
        <w:rPr>
          <w:rFonts w:cs="Segoe UI"/>
          <w:iCs/>
          <w:sz w:val="16"/>
          <w:szCs w:val="16"/>
        </w:rPr>
        <w:t xml:space="preserve">την </w:t>
      </w:r>
      <w:r w:rsidR="00434137">
        <w:rPr>
          <w:rFonts w:cs="Segoe UI"/>
          <w:iCs/>
          <w:sz w:val="16"/>
          <w:szCs w:val="16"/>
        </w:rPr>
        <w:t>απομόχλευση</w:t>
      </w:r>
      <w:r w:rsidRPr="002A5721">
        <w:rPr>
          <w:rFonts w:cs="Segoe UI"/>
          <w:iCs/>
          <w:sz w:val="16"/>
          <w:szCs w:val="16"/>
        </w:rPr>
        <w:t>του ισολογισμού</w:t>
      </w:r>
      <w:r>
        <w:rPr>
          <w:rFonts w:cs="Segoe UI"/>
          <w:iCs/>
          <w:sz w:val="16"/>
          <w:szCs w:val="16"/>
        </w:rPr>
        <w:t xml:space="preserve"> μας</w:t>
      </w:r>
      <w:r w:rsidRPr="002A5721">
        <w:rPr>
          <w:rFonts w:cs="Segoe UI"/>
          <w:iCs/>
          <w:sz w:val="16"/>
          <w:szCs w:val="16"/>
        </w:rPr>
        <w:t xml:space="preserve">. Είναι ήδη σε εξέλιξη </w:t>
      </w:r>
      <w:r w:rsidR="004023E8">
        <w:rPr>
          <w:rFonts w:cs="Segoe UI"/>
          <w:iCs/>
          <w:sz w:val="16"/>
          <w:szCs w:val="16"/>
        </w:rPr>
        <w:t xml:space="preserve">οι διαδικασίες για </w:t>
      </w:r>
      <w:r>
        <w:rPr>
          <w:rFonts w:cs="Segoe UI"/>
          <w:iCs/>
          <w:sz w:val="16"/>
          <w:szCs w:val="16"/>
        </w:rPr>
        <w:t xml:space="preserve">2 συναλλαγές πώλησης </w:t>
      </w:r>
      <w:r w:rsidRPr="002A5721">
        <w:rPr>
          <w:rFonts w:cs="Segoe UI"/>
          <w:iCs/>
          <w:sz w:val="16"/>
          <w:szCs w:val="16"/>
          <w:lang w:val="en-US"/>
        </w:rPr>
        <w:t>NPE</w:t>
      </w:r>
      <w:r w:rsidRPr="002A5721">
        <w:rPr>
          <w:rFonts w:cs="Segoe UI"/>
          <w:iCs/>
          <w:sz w:val="16"/>
          <w:szCs w:val="16"/>
        </w:rPr>
        <w:t>, μία για επιχειρηματικά και μία για καταναλω</w:t>
      </w:r>
      <w:r>
        <w:rPr>
          <w:rFonts w:cs="Segoe UI"/>
          <w:iCs/>
          <w:sz w:val="16"/>
          <w:szCs w:val="16"/>
        </w:rPr>
        <w:t>τικά δάνεια</w:t>
      </w:r>
      <w:r w:rsidR="00656238">
        <w:rPr>
          <w:rFonts w:cs="Segoe UI"/>
          <w:iCs/>
          <w:sz w:val="16"/>
          <w:szCs w:val="16"/>
        </w:rPr>
        <w:t>,</w:t>
      </w:r>
      <w:r>
        <w:rPr>
          <w:rFonts w:cs="Segoe UI"/>
          <w:iCs/>
          <w:sz w:val="16"/>
          <w:szCs w:val="16"/>
        </w:rPr>
        <w:t xml:space="preserve"> συνολικού ύψους </w:t>
      </w:r>
      <w:r w:rsidRPr="002A5721">
        <w:rPr>
          <w:rFonts w:cs="Segoe UI"/>
          <w:iCs/>
          <w:sz w:val="16"/>
          <w:szCs w:val="16"/>
        </w:rPr>
        <w:t xml:space="preserve"> περίπου €</w:t>
      </w:r>
      <w:r>
        <w:rPr>
          <w:rFonts w:cs="Segoe UI"/>
          <w:iCs/>
          <w:sz w:val="16"/>
          <w:szCs w:val="16"/>
        </w:rPr>
        <w:t>2δι</w:t>
      </w:r>
      <w:r w:rsidR="000B50F4">
        <w:rPr>
          <w:rFonts w:cs="Segoe UI"/>
          <w:iCs/>
          <w:sz w:val="16"/>
          <w:szCs w:val="16"/>
        </w:rPr>
        <w:t>σ</w:t>
      </w:r>
      <w:r w:rsidRPr="002A5721">
        <w:rPr>
          <w:rFonts w:cs="Segoe UI"/>
          <w:iCs/>
          <w:sz w:val="16"/>
          <w:szCs w:val="16"/>
        </w:rPr>
        <w:t xml:space="preserve">. </w:t>
      </w:r>
      <w:r>
        <w:rPr>
          <w:rFonts w:cs="Segoe UI"/>
          <w:iCs/>
          <w:sz w:val="16"/>
          <w:szCs w:val="16"/>
        </w:rPr>
        <w:t xml:space="preserve">Για το </w:t>
      </w:r>
      <w:r w:rsidR="00434137">
        <w:rPr>
          <w:rFonts w:cs="Segoe UI"/>
          <w:iCs/>
          <w:sz w:val="16"/>
          <w:szCs w:val="16"/>
        </w:rPr>
        <w:t xml:space="preserve">έτος </w:t>
      </w:r>
      <w:r>
        <w:rPr>
          <w:rFonts w:cs="Segoe UI"/>
          <w:iCs/>
          <w:sz w:val="16"/>
          <w:szCs w:val="16"/>
        </w:rPr>
        <w:t xml:space="preserve">2017, δεσμευόμαστεγια </w:t>
      </w:r>
      <w:r w:rsidRPr="002A5721">
        <w:rPr>
          <w:rFonts w:cs="Segoe UI"/>
          <w:iCs/>
          <w:sz w:val="16"/>
          <w:szCs w:val="16"/>
        </w:rPr>
        <w:t xml:space="preserve">την εκπλήρωση των στόχων μας </w:t>
      </w:r>
      <w:r>
        <w:rPr>
          <w:rFonts w:cs="Segoe UI"/>
          <w:iCs/>
          <w:sz w:val="16"/>
          <w:szCs w:val="16"/>
        </w:rPr>
        <w:t xml:space="preserve">για τα </w:t>
      </w:r>
      <w:r w:rsidRPr="002A5721">
        <w:rPr>
          <w:rFonts w:cs="Segoe UI"/>
          <w:iCs/>
          <w:sz w:val="16"/>
          <w:szCs w:val="16"/>
          <w:lang w:val="en-US"/>
        </w:rPr>
        <w:t>NPE</w:t>
      </w:r>
      <w:r w:rsidRPr="002A5721">
        <w:rPr>
          <w:rFonts w:cs="Segoe UI"/>
          <w:iCs/>
          <w:sz w:val="16"/>
          <w:szCs w:val="16"/>
        </w:rPr>
        <w:t xml:space="preserve"> και </w:t>
      </w:r>
      <w:r w:rsidR="00434137">
        <w:rPr>
          <w:rFonts w:cs="Segoe UI"/>
          <w:iCs/>
          <w:sz w:val="16"/>
          <w:szCs w:val="16"/>
        </w:rPr>
        <w:t>στοχεύουμε</w:t>
      </w:r>
      <w:r w:rsidRPr="002A5721">
        <w:rPr>
          <w:rFonts w:cs="Segoe UI"/>
          <w:iCs/>
          <w:sz w:val="16"/>
          <w:szCs w:val="16"/>
        </w:rPr>
        <w:t>σε θετικό αποτέλεσμα.»</w:t>
      </w:r>
    </w:p>
    <w:p w:rsidR="004715FE" w:rsidRPr="002A5721" w:rsidRDefault="004715FE" w:rsidP="003F5AA8">
      <w:pPr>
        <w:spacing w:after="0" w:line="240" w:lineRule="exact"/>
        <w:jc w:val="both"/>
        <w:rPr>
          <w:rFonts w:cs="Segoe UI"/>
          <w:iCs/>
          <w:color w:val="000000" w:themeColor="text1"/>
          <w:sz w:val="19"/>
          <w:szCs w:val="19"/>
        </w:rPr>
      </w:pPr>
    </w:p>
    <w:p w:rsidR="00B92E2B" w:rsidRPr="00DA03A8" w:rsidRDefault="00B92E2B" w:rsidP="00DA03A8">
      <w:pPr>
        <w:spacing w:after="0" w:line="260" w:lineRule="exact"/>
        <w:jc w:val="both"/>
        <w:rPr>
          <w:rFonts w:cs="Segoe UI"/>
          <w:iCs/>
          <w:color w:val="000000" w:themeColor="text1"/>
          <w:sz w:val="19"/>
          <w:szCs w:val="19"/>
          <w:lang w:val="en-US"/>
        </w:rPr>
      </w:pPr>
      <w:r w:rsidRPr="002A5721">
        <w:rPr>
          <w:rFonts w:cs="Segoe UI"/>
          <w:iCs/>
          <w:color w:val="000000" w:themeColor="text1"/>
          <w:sz w:val="20"/>
          <w:szCs w:val="20"/>
        </w:rPr>
        <w:tab/>
      </w:r>
      <w:r w:rsidR="000D7BD6" w:rsidRPr="002A5721">
        <w:rPr>
          <w:rFonts w:cs="Segoe UI"/>
          <w:iCs/>
          <w:color w:val="000000" w:themeColor="text1"/>
          <w:sz w:val="20"/>
          <w:szCs w:val="20"/>
        </w:rPr>
        <w:tab/>
      </w:r>
      <w:r w:rsidR="000D7BD6" w:rsidRPr="002A5721">
        <w:rPr>
          <w:rFonts w:cs="Segoe UI"/>
          <w:iCs/>
          <w:color w:val="000000" w:themeColor="text1"/>
          <w:sz w:val="20"/>
          <w:szCs w:val="20"/>
        </w:rPr>
        <w:tab/>
      </w:r>
      <w:r w:rsidR="000D7BD6" w:rsidRPr="002A5721">
        <w:rPr>
          <w:rFonts w:cs="Segoe UI"/>
          <w:iCs/>
          <w:color w:val="000000" w:themeColor="text1"/>
          <w:sz w:val="20"/>
          <w:szCs w:val="20"/>
        </w:rPr>
        <w:tab/>
      </w:r>
      <w:r w:rsidR="000D7BD6" w:rsidRPr="002A5721">
        <w:rPr>
          <w:rFonts w:cs="Segoe UI"/>
          <w:iCs/>
          <w:color w:val="000000" w:themeColor="text1"/>
          <w:sz w:val="20"/>
          <w:szCs w:val="20"/>
        </w:rPr>
        <w:tab/>
      </w:r>
      <w:r w:rsidR="000D7BD6" w:rsidRPr="002A5721">
        <w:rPr>
          <w:rFonts w:cs="Segoe UI"/>
          <w:iCs/>
          <w:color w:val="000000" w:themeColor="text1"/>
          <w:sz w:val="20"/>
          <w:szCs w:val="20"/>
        </w:rPr>
        <w:tab/>
      </w:r>
      <w:r w:rsidR="002A5721">
        <w:rPr>
          <w:rFonts w:eastAsia="Times New Roman" w:cs="Calibri"/>
          <w:color w:val="003C96" w:themeColor="text2"/>
          <w:sz w:val="19"/>
          <w:szCs w:val="19"/>
          <w:lang w:val="en-US"/>
        </w:rPr>
        <w:t>Χρ</w:t>
      </w:r>
      <w:r w:rsidR="002A5721">
        <w:rPr>
          <w:rFonts w:eastAsia="Times New Roman" w:cs="Calibri"/>
          <w:color w:val="003C96" w:themeColor="text2"/>
          <w:sz w:val="19"/>
          <w:szCs w:val="19"/>
        </w:rPr>
        <w:t>ήστοςΜεγάλου</w:t>
      </w:r>
      <w:r w:rsidR="002A5721">
        <w:rPr>
          <w:rFonts w:eastAsia="Times New Roman" w:cs="Calibri"/>
          <w:color w:val="003C96" w:themeColor="text2"/>
          <w:sz w:val="19"/>
          <w:szCs w:val="19"/>
          <w:lang w:val="en-US"/>
        </w:rPr>
        <w:t xml:space="preserve">, </w:t>
      </w:r>
      <w:r w:rsidR="002A5721">
        <w:rPr>
          <w:rFonts w:eastAsia="Times New Roman" w:cs="Calibri"/>
          <w:color w:val="003C96" w:themeColor="text2"/>
          <w:sz w:val="19"/>
          <w:szCs w:val="19"/>
        </w:rPr>
        <w:t>Διευθύνων Σύμβουλος</w:t>
      </w:r>
      <w:r>
        <w:rPr>
          <w:rFonts w:eastAsiaTheme="minorEastAsia" w:cs="Calibri"/>
          <w:color w:val="003C96" w:themeColor="text2"/>
          <w:sz w:val="28"/>
          <w:szCs w:val="28"/>
          <w:lang w:val="en-US"/>
        </w:rPr>
        <w:br w:type="page"/>
      </w:r>
    </w:p>
    <w:tbl>
      <w:tblPr>
        <w:tblStyle w:val="TableGrid1"/>
        <w:tblpPr w:leftFromText="180" w:rightFromText="180" w:vertAnchor="text" w:horzAnchor="margin" w:tblpXSpec="center" w:tblpY="607"/>
        <w:tblW w:w="9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05"/>
        <w:gridCol w:w="136"/>
        <w:gridCol w:w="7111"/>
        <w:gridCol w:w="310"/>
      </w:tblGrid>
      <w:tr w:rsidR="00B47088" w:rsidRPr="008C4CEC" w:rsidTr="00A12DDF">
        <w:trPr>
          <w:gridAfter w:val="1"/>
          <w:wAfter w:w="310" w:type="dxa"/>
          <w:trHeight w:val="475"/>
        </w:trPr>
        <w:tc>
          <w:tcPr>
            <w:tcW w:w="1505" w:type="dxa"/>
            <w:tcMar>
              <w:top w:w="57" w:type="dxa"/>
              <w:bottom w:w="57" w:type="dxa"/>
            </w:tcMar>
          </w:tcPr>
          <w:p w:rsidR="00B47088" w:rsidRPr="00855906" w:rsidRDefault="008C4CEC" w:rsidP="00F56511">
            <w:pPr>
              <w:tabs>
                <w:tab w:val="left" w:pos="561"/>
                <w:tab w:val="left" w:pos="8262"/>
              </w:tabs>
              <w:spacing w:after="60"/>
              <w:ind w:right="74"/>
              <w:contextualSpacing/>
              <w:rPr>
                <w:rFonts w:cs="Calibri"/>
                <w:b/>
                <w:i/>
                <w:lang w:val="en-US"/>
              </w:rPr>
            </w:pPr>
            <w:r w:rsidRPr="00855906">
              <w:rPr>
                <w:rFonts w:eastAsiaTheme="minorEastAsia" w:cs="Calibri"/>
                <w:i/>
                <w:color w:val="003C96" w:themeColor="text2"/>
              </w:rPr>
              <w:lastRenderedPageBreak/>
              <w:t>Βασικές γραμμές εσόδων</w:t>
            </w:r>
          </w:p>
        </w:tc>
        <w:tc>
          <w:tcPr>
            <w:tcW w:w="7247" w:type="dxa"/>
            <w:gridSpan w:val="2"/>
            <w:tcMar>
              <w:top w:w="57" w:type="dxa"/>
              <w:bottom w:w="57" w:type="dxa"/>
            </w:tcMar>
          </w:tcPr>
          <w:p w:rsidR="00B47088" w:rsidRPr="008C4CEC" w:rsidRDefault="008C4CEC" w:rsidP="008C4CEC">
            <w:pPr>
              <w:spacing w:after="80" w:line="240" w:lineRule="exact"/>
              <w:ind w:left="176" w:right="74"/>
              <w:jc w:val="both"/>
              <w:rPr>
                <w:rFonts w:cs="Calibri"/>
                <w:sz w:val="16"/>
                <w:szCs w:val="16"/>
              </w:rPr>
            </w:pPr>
            <w:r w:rsidRPr="008749F9">
              <w:rPr>
                <w:sz w:val="16"/>
                <w:szCs w:val="16"/>
              </w:rPr>
              <w:t xml:space="preserve">Τα καθαρά έσοδα τόκων και προμηθειών, τα οποία αποτελούν τις </w:t>
            </w:r>
            <w:r w:rsidR="00855906">
              <w:rPr>
                <w:sz w:val="16"/>
                <w:szCs w:val="16"/>
              </w:rPr>
              <w:t>βασικές</w:t>
            </w:r>
            <w:r w:rsidRPr="008749F9">
              <w:rPr>
                <w:sz w:val="16"/>
                <w:szCs w:val="16"/>
              </w:rPr>
              <w:t xml:space="preserve"> πηγές εσόδων και αντιπροσωπεύουν </w:t>
            </w:r>
            <w:r>
              <w:rPr>
                <w:sz w:val="16"/>
                <w:szCs w:val="16"/>
              </w:rPr>
              <w:t xml:space="preserve">περισσότερο από </w:t>
            </w:r>
            <w:r w:rsidRPr="008749F9">
              <w:rPr>
                <w:sz w:val="16"/>
                <w:szCs w:val="16"/>
              </w:rPr>
              <w:t>το</w:t>
            </w:r>
            <w:r w:rsidR="00337847">
              <w:rPr>
                <w:sz w:val="16"/>
                <w:szCs w:val="16"/>
              </w:rPr>
              <w:t xml:space="preserve"> 9</w:t>
            </w:r>
            <w:r w:rsidR="00337847" w:rsidRPr="00337847">
              <w:rPr>
                <w:sz w:val="16"/>
                <w:szCs w:val="16"/>
              </w:rPr>
              <w:t>6</w:t>
            </w:r>
            <w:r w:rsidRPr="008749F9">
              <w:rPr>
                <w:sz w:val="16"/>
                <w:szCs w:val="16"/>
              </w:rPr>
              <w:t>% των συνολικών καθαρών εσόδων, διαμορφώ</w:t>
            </w:r>
            <w:r>
              <w:rPr>
                <w:sz w:val="16"/>
                <w:szCs w:val="16"/>
              </w:rPr>
              <w:t>θηκαν σε €558 εκατ. το 3</w:t>
            </w:r>
            <w:r w:rsidRPr="008749F9">
              <w:rPr>
                <w:sz w:val="16"/>
                <w:szCs w:val="16"/>
              </w:rPr>
              <w:t>ο 3μηνο</w:t>
            </w:r>
            <w:r>
              <w:rPr>
                <w:sz w:val="16"/>
                <w:szCs w:val="16"/>
              </w:rPr>
              <w:t>, αυξημένα κατά 8% σε σχέση με το 2</w:t>
            </w:r>
            <w:r w:rsidRPr="008749F9">
              <w:rPr>
                <w:sz w:val="16"/>
                <w:szCs w:val="16"/>
              </w:rPr>
              <w:t>ο 3μηνο</w:t>
            </w:r>
            <w:r>
              <w:rPr>
                <w:sz w:val="16"/>
                <w:szCs w:val="16"/>
              </w:rPr>
              <w:t xml:space="preserve"> (€518</w:t>
            </w:r>
            <w:r w:rsidRPr="008749F9">
              <w:rPr>
                <w:sz w:val="16"/>
                <w:szCs w:val="16"/>
              </w:rPr>
              <w:t xml:space="preserve"> εκατ</w:t>
            </w:r>
            <w:r>
              <w:rPr>
                <w:sz w:val="16"/>
                <w:szCs w:val="16"/>
              </w:rPr>
              <w:t>.</w:t>
            </w:r>
            <w:r w:rsidRPr="008749F9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 xml:space="preserve"> και </w:t>
            </w:r>
            <w:r w:rsidR="00256C77">
              <w:rPr>
                <w:sz w:val="16"/>
                <w:szCs w:val="16"/>
              </w:rPr>
              <w:t>5% με</w:t>
            </w:r>
            <w:r>
              <w:rPr>
                <w:sz w:val="16"/>
                <w:szCs w:val="16"/>
              </w:rPr>
              <w:t xml:space="preserve"> την ίδια περίοδο πέρυσι</w:t>
            </w:r>
            <w:r w:rsidRPr="008749F9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Για το 9</w:t>
            </w:r>
            <w:r w:rsidRPr="008749F9">
              <w:rPr>
                <w:sz w:val="16"/>
                <w:szCs w:val="16"/>
              </w:rPr>
              <w:t>μηνο, τα καθαρά έσοδα τόκων και πρ</w:t>
            </w:r>
            <w:r>
              <w:rPr>
                <w:sz w:val="16"/>
                <w:szCs w:val="16"/>
              </w:rPr>
              <w:t>ομηθειών διαμορφώθηκαν σε €1.593</w:t>
            </w:r>
            <w:r w:rsidR="00256C77">
              <w:rPr>
                <w:sz w:val="16"/>
                <w:szCs w:val="16"/>
              </w:rPr>
              <w:t xml:space="preserve"> εκατ., αποτελώντας το 93</w:t>
            </w:r>
            <w:r w:rsidRPr="008749F9">
              <w:rPr>
                <w:sz w:val="16"/>
                <w:szCs w:val="16"/>
              </w:rPr>
              <w:t>% των συνολικών καθαρών εσόδων. ΣτηνΕλλάδα</w:t>
            </w:r>
            <w:r w:rsidRPr="008C4CEC">
              <w:rPr>
                <w:sz w:val="16"/>
                <w:szCs w:val="16"/>
              </w:rPr>
              <w:t xml:space="preserve">, </w:t>
            </w:r>
            <w:r w:rsidRPr="008749F9">
              <w:rPr>
                <w:sz w:val="16"/>
                <w:szCs w:val="16"/>
              </w:rPr>
              <w:t>τακαθαράέσοδατόκωνκαιπρομηθειώνδιαμορφώθηκανσε</w:t>
            </w:r>
            <w:r>
              <w:rPr>
                <w:sz w:val="16"/>
                <w:szCs w:val="16"/>
              </w:rPr>
              <w:t xml:space="preserve"> €1.476</w:t>
            </w:r>
            <w:r w:rsidRPr="008749F9">
              <w:rPr>
                <w:sz w:val="16"/>
                <w:szCs w:val="16"/>
              </w:rPr>
              <w:t>εκατ</w:t>
            </w:r>
            <w:r w:rsidRPr="008C4CEC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σ</w:t>
            </w:r>
            <w:r w:rsidRPr="008749F9">
              <w:rPr>
                <w:sz w:val="16"/>
                <w:szCs w:val="16"/>
              </w:rPr>
              <w:t>το</w:t>
            </w:r>
            <w:r>
              <w:rPr>
                <w:sz w:val="16"/>
                <w:szCs w:val="16"/>
              </w:rPr>
              <w:t xml:space="preserve"> 9</w:t>
            </w:r>
            <w:r w:rsidRPr="008749F9">
              <w:rPr>
                <w:sz w:val="16"/>
                <w:szCs w:val="16"/>
              </w:rPr>
              <w:t>μηνο</w:t>
            </w:r>
            <w:r w:rsidR="00256C77">
              <w:rPr>
                <w:sz w:val="16"/>
                <w:szCs w:val="16"/>
              </w:rPr>
              <w:t>, αυξημένα κατά 1% ετησίως</w:t>
            </w:r>
            <w:r w:rsidRPr="008C4CEC">
              <w:rPr>
                <w:sz w:val="16"/>
                <w:szCs w:val="16"/>
              </w:rPr>
              <w:t>.</w:t>
            </w:r>
          </w:p>
        </w:tc>
      </w:tr>
      <w:tr w:rsidR="00B47088" w:rsidRPr="008C4CEC" w:rsidTr="00A12DDF">
        <w:trPr>
          <w:gridAfter w:val="1"/>
          <w:wAfter w:w="310" w:type="dxa"/>
          <w:trHeight w:val="475"/>
        </w:trPr>
        <w:tc>
          <w:tcPr>
            <w:tcW w:w="1505" w:type="dxa"/>
            <w:tcMar>
              <w:top w:w="57" w:type="dxa"/>
              <w:bottom w:w="57" w:type="dxa"/>
            </w:tcMar>
          </w:tcPr>
          <w:p w:rsidR="00B47088" w:rsidRPr="00855906" w:rsidRDefault="004F0A11" w:rsidP="000B50F4">
            <w:pPr>
              <w:tabs>
                <w:tab w:val="left" w:pos="561"/>
                <w:tab w:val="left" w:pos="8262"/>
              </w:tabs>
              <w:spacing w:after="60"/>
              <w:ind w:right="74"/>
              <w:contextualSpacing/>
              <w:rPr>
                <w:rFonts w:cs="Calibri"/>
                <w:b/>
                <w:i/>
              </w:rPr>
            </w:pPr>
            <w:r w:rsidRPr="00855906">
              <w:rPr>
                <w:rFonts w:eastAsiaTheme="minorEastAsia" w:cs="Calibri"/>
                <w:i/>
                <w:color w:val="003C96" w:themeColor="text2"/>
              </w:rPr>
              <w:t>Καθ</w:t>
            </w:r>
            <w:r w:rsidR="000B50F4">
              <w:rPr>
                <w:rFonts w:eastAsiaTheme="minorEastAsia" w:cs="Calibri"/>
                <w:i/>
                <w:color w:val="003C96" w:themeColor="text2"/>
              </w:rPr>
              <w:t>αρά</w:t>
            </w:r>
            <w:r w:rsidR="003239A9" w:rsidRPr="00855906">
              <w:rPr>
                <w:rFonts w:eastAsiaTheme="minorEastAsia" w:cs="Calibri"/>
                <w:i/>
                <w:color w:val="003C96" w:themeColor="text2"/>
              </w:rPr>
              <w:t xml:space="preserve"> έσοδα τόκων &amp;  καθαρό επιτοκιακό περιθώριο (</w:t>
            </w:r>
            <w:r w:rsidR="00B47088" w:rsidRPr="00855906">
              <w:rPr>
                <w:rFonts w:eastAsiaTheme="minorEastAsia" w:cs="Calibri"/>
                <w:i/>
                <w:color w:val="003C96" w:themeColor="text2"/>
                <w:lang w:val="en-US"/>
              </w:rPr>
              <w:t>NIM</w:t>
            </w:r>
            <w:r w:rsidR="003239A9" w:rsidRPr="00855906">
              <w:rPr>
                <w:rFonts w:eastAsiaTheme="minorEastAsia" w:cs="Calibri"/>
                <w:i/>
                <w:color w:val="003C96" w:themeColor="text2"/>
              </w:rPr>
              <w:t>)</w:t>
            </w:r>
          </w:p>
        </w:tc>
        <w:tc>
          <w:tcPr>
            <w:tcW w:w="7247" w:type="dxa"/>
            <w:gridSpan w:val="2"/>
            <w:tcMar>
              <w:top w:w="57" w:type="dxa"/>
              <w:bottom w:w="57" w:type="dxa"/>
            </w:tcMar>
          </w:tcPr>
          <w:p w:rsidR="00B47088" w:rsidRPr="00337847" w:rsidRDefault="003239A9" w:rsidP="000B50F4">
            <w:pPr>
              <w:spacing w:after="80" w:line="240" w:lineRule="exact"/>
              <w:ind w:left="176" w:right="74"/>
              <w:jc w:val="both"/>
              <w:rPr>
                <w:rFonts w:cs="Calibri"/>
                <w:sz w:val="16"/>
                <w:szCs w:val="16"/>
              </w:rPr>
            </w:pPr>
            <w:r w:rsidRPr="008749F9">
              <w:rPr>
                <w:sz w:val="16"/>
                <w:szCs w:val="16"/>
              </w:rPr>
              <w:t>Τα καθαρά έ</w:t>
            </w:r>
            <w:r w:rsidR="00EC5DB2">
              <w:rPr>
                <w:sz w:val="16"/>
                <w:szCs w:val="16"/>
              </w:rPr>
              <w:t>σοδα τόκων έφτασαν τα</w:t>
            </w:r>
            <w:r>
              <w:rPr>
                <w:sz w:val="16"/>
                <w:szCs w:val="16"/>
              </w:rPr>
              <w:t xml:space="preserve"> €431</w:t>
            </w:r>
            <w:r w:rsidRPr="008749F9">
              <w:rPr>
                <w:sz w:val="16"/>
                <w:szCs w:val="16"/>
              </w:rPr>
              <w:t xml:space="preserve"> εκατ.</w:t>
            </w:r>
            <w:r>
              <w:rPr>
                <w:sz w:val="16"/>
                <w:szCs w:val="16"/>
              </w:rPr>
              <w:t xml:space="preserve"> το 3</w:t>
            </w:r>
            <w:r w:rsidRPr="008749F9">
              <w:rPr>
                <w:sz w:val="16"/>
                <w:szCs w:val="16"/>
              </w:rPr>
              <w:t>ο</w:t>
            </w:r>
            <w:r>
              <w:rPr>
                <w:sz w:val="16"/>
                <w:szCs w:val="16"/>
              </w:rPr>
              <w:t xml:space="preserve"> 3μηνο, ελαφρά χαμηλότερα έναντι του 2</w:t>
            </w:r>
            <w:r w:rsidR="00EC5DB2">
              <w:rPr>
                <w:sz w:val="16"/>
                <w:szCs w:val="16"/>
              </w:rPr>
              <w:t>ου 3μήνου</w:t>
            </w:r>
            <w:r w:rsidR="00703B5C">
              <w:rPr>
                <w:sz w:val="16"/>
                <w:szCs w:val="16"/>
              </w:rPr>
              <w:t xml:space="preserve"> (€436 εκατ.), με</w:t>
            </w:r>
            <w:r w:rsidR="00EC5DB2">
              <w:rPr>
                <w:sz w:val="16"/>
                <w:szCs w:val="16"/>
              </w:rPr>
              <w:t xml:space="preserve"> τη</w:t>
            </w:r>
            <w:r w:rsidR="004F0A11">
              <w:rPr>
                <w:sz w:val="16"/>
                <w:szCs w:val="16"/>
              </w:rPr>
              <w:t xml:space="preserve">συνεχιζόμενη </w:t>
            </w:r>
            <w:r w:rsidR="00703B5C">
              <w:rPr>
                <w:sz w:val="16"/>
                <w:szCs w:val="16"/>
              </w:rPr>
              <w:t>βελτίωση</w:t>
            </w:r>
            <w:r w:rsidRPr="008749F9">
              <w:rPr>
                <w:sz w:val="16"/>
                <w:szCs w:val="16"/>
              </w:rPr>
              <w:t xml:space="preserve"> του κόστους χρηματοδότησης</w:t>
            </w:r>
            <w:r w:rsidR="00703B5C">
              <w:rPr>
                <w:sz w:val="16"/>
                <w:szCs w:val="16"/>
              </w:rPr>
              <w:t xml:space="preserve"> να έχει αντισταθμιστεί</w:t>
            </w:r>
            <w:r w:rsidRPr="008749F9">
              <w:rPr>
                <w:sz w:val="16"/>
                <w:szCs w:val="16"/>
              </w:rPr>
              <w:t xml:space="preserve"> από τ</w:t>
            </w:r>
            <w:r w:rsidR="00703B5C">
              <w:rPr>
                <w:sz w:val="16"/>
                <w:szCs w:val="16"/>
              </w:rPr>
              <w:t xml:space="preserve">η μείωση ενεργητικού. </w:t>
            </w:r>
            <w:r w:rsidRPr="008749F9">
              <w:rPr>
                <w:sz w:val="16"/>
                <w:szCs w:val="16"/>
              </w:rPr>
              <w:t xml:space="preserve">Στην Ελλάδα, η αποκλιμάκωση του κόστους προθεσμιακών </w:t>
            </w:r>
            <w:r w:rsidR="00EC5DB2">
              <w:rPr>
                <w:sz w:val="16"/>
                <w:szCs w:val="16"/>
              </w:rPr>
              <w:t>καταθέσεων συνεχίσθηκε: τo κόστος τους έπεσ</w:t>
            </w:r>
            <w:r>
              <w:rPr>
                <w:sz w:val="16"/>
                <w:szCs w:val="16"/>
              </w:rPr>
              <w:t xml:space="preserve">ε </w:t>
            </w:r>
            <w:r w:rsidR="00EC5DB2">
              <w:rPr>
                <w:sz w:val="16"/>
                <w:szCs w:val="16"/>
              </w:rPr>
              <w:t>σ</w:t>
            </w:r>
            <w:r>
              <w:rPr>
                <w:sz w:val="16"/>
                <w:szCs w:val="16"/>
              </w:rPr>
              <w:t>τις 7</w:t>
            </w:r>
            <w:r w:rsidR="000B50F4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 xml:space="preserve"> μ.β. κατά τ</w:t>
            </w:r>
            <w:r w:rsidRPr="008749F9">
              <w:rPr>
                <w:sz w:val="16"/>
                <w:szCs w:val="16"/>
              </w:rPr>
              <w:t>ο</w:t>
            </w:r>
            <w:r w:rsidR="004F0A11">
              <w:rPr>
                <w:sz w:val="16"/>
                <w:szCs w:val="16"/>
              </w:rPr>
              <w:t xml:space="preserve"> 3ο 3μηνο, από </w:t>
            </w:r>
            <w:r w:rsidR="000B50F4">
              <w:rPr>
                <w:sz w:val="16"/>
                <w:szCs w:val="16"/>
              </w:rPr>
              <w:t xml:space="preserve">86 </w:t>
            </w:r>
            <w:r w:rsidR="004F0A11">
              <w:rPr>
                <w:sz w:val="16"/>
                <w:szCs w:val="16"/>
              </w:rPr>
              <w:t xml:space="preserve">μ.β.  </w:t>
            </w:r>
            <w:r w:rsidR="000B50F4">
              <w:rPr>
                <w:sz w:val="16"/>
                <w:szCs w:val="16"/>
              </w:rPr>
              <w:t>στο τελευταίο 3μηνο του 2016</w:t>
            </w:r>
            <w:r>
              <w:rPr>
                <w:sz w:val="16"/>
                <w:szCs w:val="16"/>
              </w:rPr>
              <w:t>, ενώ και η μειούμε</w:t>
            </w:r>
            <w:r w:rsidRPr="008749F9">
              <w:rPr>
                <w:sz w:val="16"/>
                <w:szCs w:val="16"/>
              </w:rPr>
              <w:t>νη εξάρτηση από τον μηχανισμό ELA είχε θετική επίδραση. To καθαρό επιτοκιακό περιθώριο (ΝΙ</w:t>
            </w:r>
            <w:r>
              <w:rPr>
                <w:sz w:val="16"/>
                <w:szCs w:val="16"/>
              </w:rPr>
              <w:t>Μ) του Ομίλου σταθεροποιήθηκετο 3</w:t>
            </w:r>
            <w:r w:rsidRPr="008749F9">
              <w:rPr>
                <w:sz w:val="16"/>
                <w:szCs w:val="16"/>
              </w:rPr>
              <w:t xml:space="preserve">ο 3μηνο στο </w:t>
            </w:r>
            <w:r>
              <w:rPr>
                <w:sz w:val="16"/>
                <w:szCs w:val="16"/>
              </w:rPr>
              <w:t>επίπεδο των 271 μ.β., με την Ελλάδα να καταγράφει ουσιαστική βελτίωση (274</w:t>
            </w:r>
            <w:r w:rsidRPr="008749F9">
              <w:rPr>
                <w:sz w:val="16"/>
                <w:szCs w:val="16"/>
              </w:rPr>
              <w:t xml:space="preserve"> μ.β</w:t>
            </w:r>
            <w:r>
              <w:rPr>
                <w:sz w:val="16"/>
                <w:szCs w:val="16"/>
              </w:rPr>
              <w:t>. το 3</w:t>
            </w:r>
            <w:r w:rsidRPr="008749F9">
              <w:rPr>
                <w:sz w:val="16"/>
                <w:szCs w:val="16"/>
              </w:rPr>
              <w:t>ο 3μηνο</w:t>
            </w:r>
            <w:r>
              <w:rPr>
                <w:sz w:val="16"/>
                <w:szCs w:val="16"/>
              </w:rPr>
              <w:t xml:space="preserve"> από 271</w:t>
            </w:r>
            <w:r w:rsidRPr="008749F9">
              <w:rPr>
                <w:sz w:val="16"/>
                <w:szCs w:val="16"/>
              </w:rPr>
              <w:t xml:space="preserve"> μ.β.</w:t>
            </w:r>
            <w:r>
              <w:rPr>
                <w:sz w:val="16"/>
                <w:szCs w:val="16"/>
              </w:rPr>
              <w:t xml:space="preserve"> το 2</w:t>
            </w:r>
            <w:r w:rsidRPr="008749F9">
              <w:rPr>
                <w:sz w:val="16"/>
                <w:szCs w:val="16"/>
              </w:rPr>
              <w:t>ο 3μηνο).</w:t>
            </w:r>
          </w:p>
        </w:tc>
      </w:tr>
      <w:tr w:rsidR="00B47088" w:rsidRPr="008C4CEC" w:rsidTr="00A12DDF">
        <w:trPr>
          <w:gridAfter w:val="1"/>
          <w:wAfter w:w="310" w:type="dxa"/>
          <w:trHeight w:val="712"/>
        </w:trPr>
        <w:tc>
          <w:tcPr>
            <w:tcW w:w="1641" w:type="dxa"/>
            <w:gridSpan w:val="2"/>
            <w:tcMar>
              <w:top w:w="57" w:type="dxa"/>
              <w:bottom w:w="57" w:type="dxa"/>
            </w:tcMar>
          </w:tcPr>
          <w:p w:rsidR="00B47088" w:rsidRPr="00855906" w:rsidRDefault="009B2078" w:rsidP="00B47088">
            <w:pPr>
              <w:tabs>
                <w:tab w:val="left" w:pos="561"/>
                <w:tab w:val="left" w:pos="8262"/>
              </w:tabs>
              <w:spacing w:after="60"/>
              <w:ind w:right="74"/>
              <w:contextualSpacing/>
              <w:rPr>
                <w:rFonts w:eastAsiaTheme="minorEastAsia" w:cs="Calibri"/>
                <w:i/>
                <w:color w:val="003C96" w:themeColor="text2"/>
                <w:lang w:val="en-US"/>
              </w:rPr>
            </w:pPr>
            <w:r w:rsidRPr="00855906">
              <w:rPr>
                <w:rFonts w:eastAsiaTheme="minorEastAsia" w:cs="Calibri"/>
                <w:i/>
                <w:color w:val="003C96" w:themeColor="text2"/>
              </w:rPr>
              <w:t>Καθαρά έσοδα προμηθειών</w:t>
            </w:r>
          </w:p>
          <w:p w:rsidR="00B47088" w:rsidRPr="007A489F" w:rsidRDefault="00B47088" w:rsidP="00B47088">
            <w:pPr>
              <w:tabs>
                <w:tab w:val="left" w:pos="561"/>
                <w:tab w:val="left" w:pos="8262"/>
              </w:tabs>
              <w:spacing w:after="60"/>
              <w:ind w:right="74"/>
              <w:contextualSpacing/>
              <w:rPr>
                <w:rFonts w:eastAsiaTheme="minorEastAsia" w:cs="Calibri"/>
                <w:i/>
                <w:color w:val="003C96" w:themeColor="text2"/>
                <w:sz w:val="28"/>
                <w:szCs w:val="28"/>
                <w:lang w:val="en-US"/>
              </w:rPr>
            </w:pPr>
          </w:p>
          <w:p w:rsidR="00B47088" w:rsidRPr="00D612E1" w:rsidRDefault="00B47088" w:rsidP="00B47088">
            <w:pPr>
              <w:tabs>
                <w:tab w:val="left" w:pos="8262"/>
              </w:tabs>
              <w:spacing w:after="60"/>
              <w:ind w:right="74"/>
              <w:contextualSpacing/>
              <w:rPr>
                <w:rFonts w:cs="Calibri"/>
                <w:b/>
                <w:lang w:val="en-US"/>
              </w:rPr>
            </w:pPr>
          </w:p>
        </w:tc>
        <w:tc>
          <w:tcPr>
            <w:tcW w:w="7111" w:type="dxa"/>
            <w:tcMar>
              <w:top w:w="57" w:type="dxa"/>
              <w:bottom w:w="57" w:type="dxa"/>
            </w:tcMar>
          </w:tcPr>
          <w:p w:rsidR="00B47088" w:rsidRPr="00337847" w:rsidRDefault="009B2078" w:rsidP="00A41214">
            <w:pPr>
              <w:spacing w:after="80" w:line="240" w:lineRule="exact"/>
              <w:ind w:left="38" w:right="74"/>
              <w:jc w:val="both"/>
              <w:rPr>
                <w:rFonts w:cs="Calibri"/>
                <w:sz w:val="16"/>
                <w:szCs w:val="16"/>
              </w:rPr>
            </w:pPr>
            <w:r w:rsidRPr="008749F9">
              <w:rPr>
                <w:sz w:val="16"/>
                <w:szCs w:val="16"/>
              </w:rPr>
              <w:t xml:space="preserve">Τα </w:t>
            </w:r>
            <w:r>
              <w:rPr>
                <w:sz w:val="16"/>
                <w:szCs w:val="16"/>
              </w:rPr>
              <w:t>καθαρά έσοδα προμηθειών αυξή</w:t>
            </w:r>
            <w:r w:rsidRPr="008749F9">
              <w:rPr>
                <w:sz w:val="16"/>
                <w:szCs w:val="16"/>
              </w:rPr>
              <w:t xml:space="preserve">θηκαν </w:t>
            </w:r>
            <w:r>
              <w:rPr>
                <w:sz w:val="16"/>
                <w:szCs w:val="16"/>
              </w:rPr>
              <w:t xml:space="preserve">κατά 54% </w:t>
            </w:r>
            <w:r w:rsidR="00C30E94">
              <w:rPr>
                <w:sz w:val="16"/>
                <w:szCs w:val="16"/>
              </w:rPr>
              <w:t xml:space="preserve">σε τριμηνιαία βάση </w:t>
            </w:r>
            <w:r>
              <w:rPr>
                <w:sz w:val="16"/>
                <w:szCs w:val="16"/>
              </w:rPr>
              <w:t>το 3</w:t>
            </w:r>
            <w:r w:rsidRPr="008749F9">
              <w:rPr>
                <w:sz w:val="16"/>
                <w:szCs w:val="16"/>
              </w:rPr>
              <w:t xml:space="preserve">ο 3μηνο </w:t>
            </w:r>
            <w:r>
              <w:rPr>
                <w:sz w:val="16"/>
                <w:szCs w:val="16"/>
              </w:rPr>
              <w:t>στα €1</w:t>
            </w:r>
            <w:r w:rsidRPr="008749F9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</w:t>
            </w:r>
            <w:r w:rsidRPr="008749F9">
              <w:rPr>
                <w:sz w:val="16"/>
                <w:szCs w:val="16"/>
              </w:rPr>
              <w:t xml:space="preserve"> εκατ.</w:t>
            </w:r>
            <w:r w:rsidR="009370D2" w:rsidRPr="009370D2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κ</w:t>
            </w:r>
            <w:r w:rsidR="00C30E94">
              <w:rPr>
                <w:sz w:val="16"/>
                <w:szCs w:val="16"/>
              </w:rPr>
              <w:t>αι στα €289 εκ</w:t>
            </w:r>
            <w:r w:rsidR="003649EE">
              <w:rPr>
                <w:sz w:val="16"/>
                <w:szCs w:val="16"/>
              </w:rPr>
              <w:t>ατ. στο 9</w:t>
            </w:r>
            <w:r w:rsidR="00EC4175">
              <w:rPr>
                <w:sz w:val="16"/>
                <w:szCs w:val="16"/>
              </w:rPr>
              <w:t>μηνο, (+</w:t>
            </w:r>
            <w:r w:rsidRPr="008749F9">
              <w:rPr>
                <w:sz w:val="16"/>
                <w:szCs w:val="16"/>
              </w:rPr>
              <w:t>2</w:t>
            </w:r>
            <w:r w:rsidR="00C30E94">
              <w:rPr>
                <w:sz w:val="16"/>
                <w:szCs w:val="16"/>
              </w:rPr>
              <w:t>4</w:t>
            </w:r>
            <w:r w:rsidR="00EC4175">
              <w:rPr>
                <w:sz w:val="16"/>
                <w:szCs w:val="16"/>
              </w:rPr>
              <w:t>%</w:t>
            </w:r>
            <w:r w:rsidRPr="008749F9">
              <w:rPr>
                <w:sz w:val="16"/>
                <w:szCs w:val="16"/>
              </w:rPr>
              <w:t>σε ετήσια βάση</w:t>
            </w:r>
            <w:r w:rsidR="00EC4175">
              <w:rPr>
                <w:sz w:val="16"/>
                <w:szCs w:val="16"/>
              </w:rPr>
              <w:t>)</w:t>
            </w:r>
            <w:r w:rsidRPr="008749F9">
              <w:rPr>
                <w:sz w:val="16"/>
                <w:szCs w:val="16"/>
              </w:rPr>
              <w:t>. Στην Ελλάδα, τα καθαρά έσοδα προμηθειών έφθασα</w:t>
            </w:r>
            <w:r w:rsidR="00C30E94">
              <w:rPr>
                <w:sz w:val="16"/>
                <w:szCs w:val="16"/>
              </w:rPr>
              <w:t>ν τα €267 εκατ. στο 9</w:t>
            </w:r>
            <w:r w:rsidRPr="008749F9">
              <w:rPr>
                <w:sz w:val="16"/>
                <w:szCs w:val="16"/>
              </w:rPr>
              <w:t>μην</w:t>
            </w:r>
            <w:r w:rsidR="009370D2">
              <w:rPr>
                <w:sz w:val="16"/>
                <w:szCs w:val="16"/>
              </w:rPr>
              <w:t xml:space="preserve">ο, παρουσιάζοντας ετήσια αύξηση </w:t>
            </w:r>
            <w:r w:rsidR="00CF124A" w:rsidRPr="009245BF">
              <w:rPr>
                <w:sz w:val="16"/>
                <w:szCs w:val="16"/>
              </w:rPr>
              <w:t>26</w:t>
            </w:r>
            <w:r w:rsidRPr="008749F9">
              <w:rPr>
                <w:sz w:val="16"/>
                <w:szCs w:val="16"/>
              </w:rPr>
              <w:t>%, κυρίως</w:t>
            </w:r>
            <w:r w:rsidR="009370D2">
              <w:rPr>
                <w:sz w:val="16"/>
                <w:szCs w:val="16"/>
              </w:rPr>
              <w:t xml:space="preserve"> λόγω υψηλότερων προμηθειών </w:t>
            </w:r>
            <w:r w:rsidR="00855906">
              <w:rPr>
                <w:sz w:val="16"/>
                <w:szCs w:val="16"/>
              </w:rPr>
              <w:t xml:space="preserve">από </w:t>
            </w:r>
            <w:r w:rsidR="009370D2">
              <w:rPr>
                <w:sz w:val="16"/>
                <w:szCs w:val="16"/>
              </w:rPr>
              <w:t>κάρτες, ενώ έσοδα προμηθειών €35 εκατ</w:t>
            </w:r>
            <w:r w:rsidRPr="008749F9">
              <w:rPr>
                <w:sz w:val="16"/>
                <w:szCs w:val="16"/>
              </w:rPr>
              <w:t>.</w:t>
            </w:r>
            <w:r w:rsidR="00421DB3">
              <w:rPr>
                <w:sz w:val="16"/>
                <w:szCs w:val="16"/>
              </w:rPr>
              <w:t>απόανανέωση</w:t>
            </w:r>
            <w:r w:rsidR="009370D2">
              <w:rPr>
                <w:sz w:val="16"/>
                <w:szCs w:val="16"/>
              </w:rPr>
              <w:t xml:space="preserve"> συνεργασίας </w:t>
            </w:r>
            <w:r w:rsidR="00421DB3">
              <w:rPr>
                <w:sz w:val="16"/>
                <w:szCs w:val="16"/>
              </w:rPr>
              <w:t xml:space="preserve">στο </w:t>
            </w:r>
            <w:r w:rsidR="009370D2">
              <w:rPr>
                <w:sz w:val="16"/>
                <w:szCs w:val="16"/>
                <w:lang w:val="en-US"/>
              </w:rPr>
              <w:t>bankassurance</w:t>
            </w:r>
            <w:r w:rsidR="00421DB3">
              <w:rPr>
                <w:sz w:val="16"/>
                <w:szCs w:val="16"/>
              </w:rPr>
              <w:t>καταγράφηκανσ</w:t>
            </w:r>
            <w:r w:rsidR="009370D2">
              <w:rPr>
                <w:sz w:val="16"/>
                <w:szCs w:val="16"/>
              </w:rPr>
              <w:t>το 3ο3μηνο.</w:t>
            </w:r>
            <w:r w:rsidRPr="008749F9">
              <w:rPr>
                <w:sz w:val="16"/>
                <w:szCs w:val="16"/>
              </w:rPr>
              <w:t xml:space="preserve"> Τα καθαρά έσοδα προμηθειών του Ομίλου ως ποσοστό του </w:t>
            </w:r>
            <w:r w:rsidRPr="007253B8">
              <w:rPr>
                <w:sz w:val="16"/>
                <w:szCs w:val="16"/>
              </w:rPr>
              <w:t>συνολικο</w:t>
            </w:r>
            <w:r>
              <w:rPr>
                <w:sz w:val="16"/>
                <w:szCs w:val="16"/>
              </w:rPr>
              <w:t xml:space="preserve">ύ </w:t>
            </w:r>
            <w:r w:rsidR="00C30E94">
              <w:rPr>
                <w:sz w:val="16"/>
                <w:szCs w:val="16"/>
              </w:rPr>
              <w:t>ενεργητικού αυξήθηκαν κατά το 3ο 3μηνο στις 80</w:t>
            </w:r>
            <w:r w:rsidRPr="008749F9">
              <w:rPr>
                <w:sz w:val="16"/>
                <w:szCs w:val="16"/>
              </w:rPr>
              <w:t xml:space="preserve"> μ.β. από τις </w:t>
            </w:r>
            <w:r w:rsidR="00C30E94">
              <w:rPr>
                <w:sz w:val="16"/>
                <w:szCs w:val="16"/>
              </w:rPr>
              <w:t>51 μ.β. το 2</w:t>
            </w:r>
            <w:r w:rsidR="00421DB3">
              <w:rPr>
                <w:sz w:val="16"/>
                <w:szCs w:val="16"/>
              </w:rPr>
              <w:t xml:space="preserve">ο 3μηνο, με την Ελλάδα στις </w:t>
            </w:r>
            <w:r w:rsidR="00C30E94">
              <w:rPr>
                <w:sz w:val="16"/>
                <w:szCs w:val="16"/>
              </w:rPr>
              <w:t>81 μ.β. το 3ο 3μηνο από 50μ.β. το 2</w:t>
            </w:r>
            <w:r w:rsidRPr="008749F9">
              <w:rPr>
                <w:sz w:val="16"/>
                <w:szCs w:val="16"/>
              </w:rPr>
              <w:t>ο 3μη</w:t>
            </w:r>
            <w:r w:rsidR="00855906">
              <w:rPr>
                <w:sz w:val="16"/>
                <w:szCs w:val="16"/>
              </w:rPr>
              <w:t>νο</w:t>
            </w:r>
            <w:r w:rsidRPr="008749F9">
              <w:rPr>
                <w:sz w:val="16"/>
                <w:szCs w:val="16"/>
              </w:rPr>
              <w:t>.</w:t>
            </w:r>
          </w:p>
        </w:tc>
      </w:tr>
      <w:tr w:rsidR="00B47088" w:rsidRPr="00734EDF" w:rsidTr="00A12DDF">
        <w:trPr>
          <w:gridAfter w:val="1"/>
          <w:wAfter w:w="310" w:type="dxa"/>
          <w:trHeight w:val="457"/>
        </w:trPr>
        <w:tc>
          <w:tcPr>
            <w:tcW w:w="1641" w:type="dxa"/>
            <w:gridSpan w:val="2"/>
            <w:tcMar>
              <w:top w:w="57" w:type="dxa"/>
              <w:bottom w:w="57" w:type="dxa"/>
            </w:tcMar>
          </w:tcPr>
          <w:p w:rsidR="00B47088" w:rsidRPr="00855906" w:rsidRDefault="001A38CB" w:rsidP="00B47088">
            <w:pPr>
              <w:tabs>
                <w:tab w:val="left" w:pos="561"/>
                <w:tab w:val="left" w:pos="8262"/>
              </w:tabs>
              <w:spacing w:after="60"/>
              <w:ind w:right="74"/>
              <w:contextualSpacing/>
              <w:rPr>
                <w:rFonts w:cs="Calibri"/>
                <w:b/>
                <w:i/>
                <w:lang w:val="en-US"/>
              </w:rPr>
            </w:pPr>
            <w:r w:rsidRPr="00855906">
              <w:rPr>
                <w:rFonts w:eastAsiaTheme="minorEastAsia" w:cs="Calibri"/>
                <w:i/>
                <w:color w:val="003C96" w:themeColor="text2"/>
              </w:rPr>
              <w:t>Λειτουργικό κόστος</w:t>
            </w:r>
          </w:p>
        </w:tc>
        <w:tc>
          <w:tcPr>
            <w:tcW w:w="7111" w:type="dxa"/>
            <w:tcMar>
              <w:top w:w="57" w:type="dxa"/>
              <w:bottom w:w="57" w:type="dxa"/>
            </w:tcMar>
          </w:tcPr>
          <w:p w:rsidR="00B47088" w:rsidRPr="00734EDF" w:rsidRDefault="001A38CB" w:rsidP="009245BF">
            <w:pPr>
              <w:spacing w:after="80" w:line="240" w:lineRule="exact"/>
              <w:ind w:left="38" w:right="74"/>
              <w:jc w:val="both"/>
              <w:rPr>
                <w:b/>
                <w:sz w:val="16"/>
                <w:szCs w:val="16"/>
                <w:highlight w:val="yellow"/>
              </w:rPr>
            </w:pPr>
            <w:r w:rsidRPr="008749F9">
              <w:rPr>
                <w:sz w:val="16"/>
                <w:szCs w:val="16"/>
              </w:rPr>
              <w:t>Το λειτουργ</w:t>
            </w:r>
            <w:r>
              <w:rPr>
                <w:sz w:val="16"/>
                <w:szCs w:val="16"/>
              </w:rPr>
              <w:t>ικό κόστος διαμορφώθηκε στα €2</w:t>
            </w:r>
            <w:r w:rsidRPr="001A38CB">
              <w:rPr>
                <w:sz w:val="16"/>
                <w:szCs w:val="16"/>
              </w:rPr>
              <w:t>88</w:t>
            </w:r>
            <w:r w:rsidRPr="008749F9">
              <w:rPr>
                <w:sz w:val="16"/>
                <w:szCs w:val="16"/>
              </w:rPr>
              <w:t xml:space="preserve"> εκατ.,</w:t>
            </w:r>
            <w:r>
              <w:rPr>
                <w:sz w:val="16"/>
                <w:szCs w:val="16"/>
              </w:rPr>
              <w:t xml:space="preserve"> μειωμένο κατά 4% έναντι του 3</w:t>
            </w:r>
            <w:r w:rsidRPr="008749F9">
              <w:rPr>
                <w:sz w:val="16"/>
                <w:szCs w:val="16"/>
              </w:rPr>
              <w:t>ου 3μήνου 2016</w:t>
            </w:r>
            <w:r>
              <w:rPr>
                <w:sz w:val="16"/>
                <w:szCs w:val="16"/>
              </w:rPr>
              <w:t>, ως αποτέλεσμα της μείωσηςκυρίως</w:t>
            </w:r>
            <w:r w:rsidRPr="008749F9">
              <w:rPr>
                <w:sz w:val="16"/>
                <w:szCs w:val="16"/>
              </w:rPr>
              <w:t xml:space="preserve"> των εξ</w:t>
            </w:r>
            <w:r>
              <w:rPr>
                <w:sz w:val="16"/>
                <w:szCs w:val="16"/>
              </w:rPr>
              <w:t>όδων διοικητικής λειτουργίας (-10%)</w:t>
            </w:r>
            <w:r w:rsidRPr="008749F9">
              <w:rPr>
                <w:sz w:val="16"/>
                <w:szCs w:val="16"/>
              </w:rPr>
              <w:t xml:space="preserve">. </w:t>
            </w:r>
            <w:r w:rsidR="00855906">
              <w:rPr>
                <w:sz w:val="16"/>
                <w:szCs w:val="16"/>
              </w:rPr>
              <w:t>Σε τριμηνιαία βάση τ</w:t>
            </w:r>
            <w:r w:rsidR="00421DB3">
              <w:rPr>
                <w:sz w:val="16"/>
                <w:szCs w:val="16"/>
              </w:rPr>
              <w:t xml:space="preserve">ο λειτουργικό κόστος μειώθηκε 1%. </w:t>
            </w:r>
            <w:r w:rsidR="002F76DA">
              <w:rPr>
                <w:sz w:val="16"/>
                <w:szCs w:val="16"/>
              </w:rPr>
              <w:t>Η</w:t>
            </w:r>
            <w:r w:rsidRPr="008749F9">
              <w:rPr>
                <w:sz w:val="16"/>
                <w:szCs w:val="16"/>
              </w:rPr>
              <w:t xml:space="preserve"> μείωση των γενικών διοικητικών εξόδων σχετίζεται </w:t>
            </w:r>
            <w:r w:rsidR="00855906">
              <w:rPr>
                <w:sz w:val="16"/>
                <w:szCs w:val="16"/>
              </w:rPr>
              <w:t xml:space="preserve">κυρίως </w:t>
            </w:r>
            <w:r w:rsidRPr="008749F9">
              <w:rPr>
                <w:sz w:val="16"/>
                <w:szCs w:val="16"/>
              </w:rPr>
              <w:t xml:space="preserve">με </w:t>
            </w:r>
            <w:r w:rsidR="002F76DA">
              <w:rPr>
                <w:sz w:val="16"/>
                <w:szCs w:val="16"/>
              </w:rPr>
              <w:t>το</w:t>
            </w:r>
            <w:r w:rsidR="00421DB3">
              <w:rPr>
                <w:sz w:val="16"/>
                <w:szCs w:val="16"/>
              </w:rPr>
              <w:t xml:space="preserve"> περαιτέρω κλείσιμο</w:t>
            </w:r>
            <w:r w:rsidRPr="008749F9">
              <w:rPr>
                <w:sz w:val="16"/>
                <w:szCs w:val="16"/>
              </w:rPr>
              <w:t xml:space="preserve"> καταστημάτ</w:t>
            </w:r>
            <w:r w:rsidR="002F76DA">
              <w:rPr>
                <w:sz w:val="16"/>
                <w:szCs w:val="16"/>
              </w:rPr>
              <w:t xml:space="preserve">ων, πρωτοβουλίες ψηφιοποίησης, </w:t>
            </w:r>
            <w:r w:rsidR="00CF124A">
              <w:rPr>
                <w:sz w:val="16"/>
                <w:szCs w:val="16"/>
              </w:rPr>
              <w:t>χαμηλότερες δαπάνες διαφήμισης</w:t>
            </w:r>
            <w:r w:rsidRPr="008749F9">
              <w:rPr>
                <w:sz w:val="16"/>
                <w:szCs w:val="16"/>
              </w:rPr>
              <w:t xml:space="preserve"> και προσπάθειες μείωσης των δαπανών σε όλους τους τομείς. </w:t>
            </w:r>
            <w:r w:rsidR="003649EE">
              <w:rPr>
                <w:sz w:val="16"/>
                <w:szCs w:val="16"/>
              </w:rPr>
              <w:t>Κατά το 9μηνο τόσο τα έξοδα διοικητικής λειτουργίας, όσο και τ</w:t>
            </w:r>
            <w:r w:rsidRPr="008749F9">
              <w:rPr>
                <w:sz w:val="16"/>
                <w:szCs w:val="16"/>
              </w:rPr>
              <w:t>α έξοδα προσωπικού ήταν μειωμένα σε ετήσια βάση</w:t>
            </w:r>
            <w:r w:rsidR="00734EDF">
              <w:rPr>
                <w:sz w:val="16"/>
                <w:szCs w:val="16"/>
              </w:rPr>
              <w:t xml:space="preserve"> (-7% και -2% αντίστοιχα).</w:t>
            </w:r>
            <w:r>
              <w:rPr>
                <w:sz w:val="16"/>
                <w:szCs w:val="16"/>
              </w:rPr>
              <w:t>Ο δείκτης κόστου</w:t>
            </w:r>
            <w:r w:rsidR="00734EDF">
              <w:rPr>
                <w:sz w:val="16"/>
                <w:szCs w:val="16"/>
              </w:rPr>
              <w:t>ς προς έσοδα για το 9</w:t>
            </w:r>
            <w:r w:rsidRPr="008749F9">
              <w:rPr>
                <w:sz w:val="16"/>
                <w:szCs w:val="16"/>
              </w:rPr>
              <w:t>μηνο</w:t>
            </w:r>
            <w:r w:rsidR="00734EDF">
              <w:rPr>
                <w:sz w:val="16"/>
                <w:szCs w:val="16"/>
              </w:rPr>
              <w:t xml:space="preserve"> 2017</w:t>
            </w:r>
            <w:r>
              <w:rPr>
                <w:sz w:val="16"/>
                <w:szCs w:val="16"/>
              </w:rPr>
              <w:t>υποχώρησε</w:t>
            </w:r>
            <w:r w:rsidRPr="008749F9">
              <w:rPr>
                <w:sz w:val="16"/>
                <w:szCs w:val="16"/>
              </w:rPr>
              <w:t xml:space="preserve"> στο 51% (</w:t>
            </w:r>
            <w:r w:rsidR="00734EDF">
              <w:rPr>
                <w:sz w:val="16"/>
                <w:szCs w:val="16"/>
              </w:rPr>
              <w:t>49% το 3</w:t>
            </w:r>
            <w:r w:rsidR="002F76DA">
              <w:rPr>
                <w:sz w:val="16"/>
                <w:szCs w:val="16"/>
              </w:rPr>
              <w:t>ο 3μηνο) από 56% την ίδια περίοδο πέρυσι</w:t>
            </w:r>
            <w:r w:rsidRPr="008749F9">
              <w:rPr>
                <w:sz w:val="16"/>
                <w:szCs w:val="16"/>
              </w:rPr>
              <w:t xml:space="preserve">, ενώ στην Ελλάδα </w:t>
            </w:r>
            <w:r w:rsidR="002F76DA">
              <w:rPr>
                <w:sz w:val="16"/>
                <w:szCs w:val="16"/>
              </w:rPr>
              <w:t>ο δείκτης μειώθηκε</w:t>
            </w:r>
            <w:r w:rsidRPr="008749F9">
              <w:rPr>
                <w:sz w:val="16"/>
                <w:szCs w:val="16"/>
              </w:rPr>
              <w:t>σ</w:t>
            </w:r>
            <w:r>
              <w:rPr>
                <w:sz w:val="16"/>
                <w:szCs w:val="16"/>
              </w:rPr>
              <w:t>το</w:t>
            </w:r>
            <w:r w:rsidR="00734EDF">
              <w:rPr>
                <w:sz w:val="16"/>
                <w:szCs w:val="16"/>
              </w:rPr>
              <w:t>48% στο 9</w:t>
            </w:r>
            <w:r w:rsidRPr="008749F9">
              <w:rPr>
                <w:sz w:val="16"/>
                <w:szCs w:val="16"/>
              </w:rPr>
              <w:t xml:space="preserve">μηνο </w:t>
            </w:r>
            <w:r w:rsidR="00734EDF">
              <w:rPr>
                <w:sz w:val="16"/>
                <w:szCs w:val="16"/>
              </w:rPr>
              <w:t>(47% το 3</w:t>
            </w:r>
            <w:r w:rsidR="002F76DA">
              <w:rPr>
                <w:sz w:val="16"/>
                <w:szCs w:val="16"/>
              </w:rPr>
              <w:t>ο 3μηνο) από 54% στο 9μηνο πέρυσι</w:t>
            </w:r>
            <w:r w:rsidRPr="008749F9">
              <w:rPr>
                <w:sz w:val="16"/>
                <w:szCs w:val="16"/>
              </w:rPr>
              <w:t>.</w:t>
            </w:r>
          </w:p>
        </w:tc>
      </w:tr>
      <w:tr w:rsidR="00B47088" w:rsidRPr="008C4CEC" w:rsidTr="00A12DDF">
        <w:trPr>
          <w:gridAfter w:val="1"/>
          <w:wAfter w:w="310" w:type="dxa"/>
          <w:trHeight w:val="457"/>
        </w:trPr>
        <w:tc>
          <w:tcPr>
            <w:tcW w:w="1641" w:type="dxa"/>
            <w:gridSpan w:val="2"/>
            <w:tcMar>
              <w:top w:w="57" w:type="dxa"/>
              <w:bottom w:w="57" w:type="dxa"/>
            </w:tcMar>
          </w:tcPr>
          <w:p w:rsidR="00B47088" w:rsidRPr="00855906" w:rsidRDefault="00734EDF" w:rsidP="00F56511">
            <w:pPr>
              <w:tabs>
                <w:tab w:val="left" w:pos="8262"/>
              </w:tabs>
              <w:spacing w:after="60"/>
              <w:ind w:right="74"/>
              <w:contextualSpacing/>
              <w:rPr>
                <w:rFonts w:cs="Calibri"/>
                <w:b/>
                <w:i/>
                <w:noProof/>
                <w:lang w:eastAsia="el-GR"/>
              </w:rPr>
            </w:pPr>
            <w:r w:rsidRPr="00855906">
              <w:rPr>
                <w:rFonts w:eastAsiaTheme="minorEastAsia" w:cs="Calibri"/>
                <w:i/>
                <w:color w:val="003C96" w:themeColor="text2"/>
              </w:rPr>
              <w:t>Κέρδη προ φόρων και προβλέψεων</w:t>
            </w:r>
          </w:p>
        </w:tc>
        <w:tc>
          <w:tcPr>
            <w:tcW w:w="7111" w:type="dxa"/>
            <w:tcMar>
              <w:top w:w="57" w:type="dxa"/>
              <w:bottom w:w="57" w:type="dxa"/>
            </w:tcMar>
          </w:tcPr>
          <w:p w:rsidR="00B47088" w:rsidRPr="00337847" w:rsidRDefault="00734EDF" w:rsidP="0052316A">
            <w:pPr>
              <w:spacing w:after="80" w:line="240" w:lineRule="exact"/>
              <w:ind w:left="38" w:right="74"/>
              <w:jc w:val="both"/>
              <w:rPr>
                <w:b/>
                <w:sz w:val="16"/>
                <w:szCs w:val="16"/>
                <w:highlight w:val="yellow"/>
              </w:rPr>
            </w:pPr>
            <w:r w:rsidRPr="008749F9">
              <w:rPr>
                <w:sz w:val="16"/>
                <w:szCs w:val="16"/>
              </w:rPr>
              <w:t xml:space="preserve">Τα κέρδη προ φόρων </w:t>
            </w:r>
            <w:r>
              <w:rPr>
                <w:sz w:val="16"/>
                <w:szCs w:val="16"/>
              </w:rPr>
              <w:t xml:space="preserve">και προβλέψεων το 3ο 3μηνο αυξήθηκαν </w:t>
            </w:r>
            <w:r w:rsidR="002F76DA">
              <w:rPr>
                <w:sz w:val="16"/>
                <w:szCs w:val="16"/>
              </w:rPr>
              <w:t xml:space="preserve">κατά </w:t>
            </w:r>
            <w:r>
              <w:rPr>
                <w:sz w:val="16"/>
                <w:szCs w:val="16"/>
              </w:rPr>
              <w:t>22% στα €294</w:t>
            </w:r>
            <w:r w:rsidRPr="008749F9">
              <w:rPr>
                <w:sz w:val="16"/>
                <w:szCs w:val="16"/>
              </w:rPr>
              <w:t xml:space="preserve"> εκατ.</w:t>
            </w:r>
            <w:r w:rsidR="00855906" w:rsidRPr="00855906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έναντι €242 εκατ. το 3</w:t>
            </w:r>
            <w:r w:rsidRPr="008749F9">
              <w:rPr>
                <w:sz w:val="16"/>
                <w:szCs w:val="16"/>
              </w:rPr>
              <w:t>ο 3μηνο πέρυσι</w:t>
            </w:r>
            <w:r w:rsidR="002F76DA">
              <w:rPr>
                <w:sz w:val="16"/>
                <w:szCs w:val="16"/>
              </w:rPr>
              <w:t>,</w:t>
            </w:r>
            <w:r w:rsidRPr="008749F9">
              <w:rPr>
                <w:sz w:val="16"/>
                <w:szCs w:val="16"/>
              </w:rPr>
              <w:t xml:space="preserve"> λόγω αύξησης των</w:t>
            </w:r>
            <w:r>
              <w:rPr>
                <w:sz w:val="16"/>
                <w:szCs w:val="16"/>
              </w:rPr>
              <w:t xml:space="preserve"> καθαρών εσόδων κατά 7</w:t>
            </w:r>
            <w:r w:rsidRPr="008749F9">
              <w:rPr>
                <w:sz w:val="16"/>
                <w:szCs w:val="16"/>
              </w:rPr>
              <w:t xml:space="preserve">% και μείωσης των λειτουργικών εξόδων </w:t>
            </w:r>
            <w:r w:rsidR="002F76DA">
              <w:rPr>
                <w:sz w:val="16"/>
                <w:szCs w:val="16"/>
              </w:rPr>
              <w:t>κατά 4%</w:t>
            </w:r>
            <w:r w:rsidRPr="008749F9">
              <w:rPr>
                <w:sz w:val="16"/>
                <w:szCs w:val="16"/>
              </w:rPr>
              <w:t>. Στην Ελλάδα, τα κέρδη προ φόρων και προβλέψεων ανήλθαν στα €</w:t>
            </w:r>
            <w:r>
              <w:rPr>
                <w:sz w:val="16"/>
                <w:szCs w:val="16"/>
              </w:rPr>
              <w:t>288εκατ. έναντι €230 εκατ. το 3</w:t>
            </w:r>
            <w:r w:rsidRPr="008749F9">
              <w:rPr>
                <w:sz w:val="16"/>
                <w:szCs w:val="16"/>
              </w:rPr>
              <w:t xml:space="preserve">ο 3μηνο 2016, σημειώνοντας άνοδο </w:t>
            </w:r>
            <w:r>
              <w:rPr>
                <w:sz w:val="16"/>
                <w:szCs w:val="16"/>
              </w:rPr>
              <w:t>25%. Στο 9</w:t>
            </w:r>
            <w:r w:rsidRPr="008749F9">
              <w:rPr>
                <w:sz w:val="16"/>
                <w:szCs w:val="16"/>
              </w:rPr>
              <w:t>μηνο, τα κέρδη προ φόρων και προβλέψ</w:t>
            </w:r>
            <w:r w:rsidR="0052316A">
              <w:rPr>
                <w:sz w:val="16"/>
                <w:szCs w:val="16"/>
              </w:rPr>
              <w:t>εων του Ομίλο</w:t>
            </w:r>
            <w:r w:rsidR="002F76DA">
              <w:rPr>
                <w:sz w:val="16"/>
                <w:szCs w:val="16"/>
              </w:rPr>
              <w:t>υ αυξήθηκαν κατά 16% στα</w:t>
            </w:r>
            <w:r w:rsidR="0052316A">
              <w:rPr>
                <w:sz w:val="16"/>
                <w:szCs w:val="16"/>
              </w:rPr>
              <w:t xml:space="preserve"> €844</w:t>
            </w:r>
            <w:r w:rsidR="002F76DA">
              <w:rPr>
                <w:sz w:val="16"/>
                <w:szCs w:val="16"/>
              </w:rPr>
              <w:t xml:space="preserve"> εκατ.</w:t>
            </w:r>
            <w:r w:rsidR="00427A7F">
              <w:rPr>
                <w:sz w:val="16"/>
                <w:szCs w:val="16"/>
              </w:rPr>
              <w:t>,</w:t>
            </w:r>
            <w:r w:rsidR="002F76DA">
              <w:rPr>
                <w:sz w:val="16"/>
                <w:szCs w:val="16"/>
              </w:rPr>
              <w:t xml:space="preserve"> και στην Ελλάδα</w:t>
            </w:r>
            <w:r w:rsidRPr="008749F9">
              <w:rPr>
                <w:sz w:val="16"/>
                <w:szCs w:val="16"/>
              </w:rPr>
              <w:t xml:space="preserve"> κατά </w:t>
            </w:r>
            <w:r w:rsidR="0052316A">
              <w:rPr>
                <w:sz w:val="16"/>
                <w:szCs w:val="16"/>
              </w:rPr>
              <w:t>19</w:t>
            </w:r>
            <w:r w:rsidRPr="008749F9">
              <w:rPr>
                <w:sz w:val="16"/>
                <w:szCs w:val="16"/>
              </w:rPr>
              <w:t>% στα €</w:t>
            </w:r>
            <w:r w:rsidR="0052316A">
              <w:rPr>
                <w:sz w:val="16"/>
                <w:szCs w:val="16"/>
              </w:rPr>
              <w:t>822</w:t>
            </w:r>
            <w:r w:rsidRPr="008749F9">
              <w:rPr>
                <w:sz w:val="16"/>
                <w:szCs w:val="16"/>
              </w:rPr>
              <w:t xml:space="preserve"> εκατ.</w:t>
            </w:r>
            <w:r w:rsidR="00427A7F">
              <w:rPr>
                <w:sz w:val="16"/>
                <w:szCs w:val="16"/>
              </w:rPr>
              <w:t xml:space="preserve"> (εξαιρουμένου του έκτακτου κέρδους ύψους €77 εκατ. πέρυσι από την πώληση ποσοστού στην </w:t>
            </w:r>
            <w:r w:rsidR="00427A7F">
              <w:rPr>
                <w:sz w:val="16"/>
                <w:szCs w:val="16"/>
                <w:lang w:val="en-US"/>
              </w:rPr>
              <w:t>VISA</w:t>
            </w:r>
            <w:r w:rsidR="00427A7F" w:rsidRPr="00427A7F">
              <w:rPr>
                <w:sz w:val="16"/>
                <w:szCs w:val="16"/>
              </w:rPr>
              <w:t>)</w:t>
            </w:r>
            <w:r w:rsidR="00427A7F">
              <w:rPr>
                <w:sz w:val="16"/>
                <w:szCs w:val="16"/>
              </w:rPr>
              <w:t xml:space="preserve">. </w:t>
            </w:r>
          </w:p>
        </w:tc>
      </w:tr>
      <w:tr w:rsidR="00B47088" w:rsidRPr="006573A4" w:rsidTr="00A12DDF">
        <w:trPr>
          <w:gridAfter w:val="1"/>
          <w:wAfter w:w="310" w:type="dxa"/>
          <w:trHeight w:val="457"/>
        </w:trPr>
        <w:tc>
          <w:tcPr>
            <w:tcW w:w="1641" w:type="dxa"/>
            <w:gridSpan w:val="2"/>
            <w:tcMar>
              <w:top w:w="57" w:type="dxa"/>
              <w:bottom w:w="57" w:type="dxa"/>
            </w:tcMar>
          </w:tcPr>
          <w:p w:rsidR="00B47088" w:rsidRPr="00855906" w:rsidRDefault="006573A4" w:rsidP="00F56511">
            <w:pPr>
              <w:tabs>
                <w:tab w:val="left" w:pos="8262"/>
              </w:tabs>
              <w:spacing w:after="60"/>
              <w:ind w:right="74"/>
              <w:contextualSpacing/>
              <w:rPr>
                <w:rFonts w:cs="Calibri"/>
                <w:b/>
                <w:i/>
                <w:noProof/>
                <w:lang w:eastAsia="el-GR"/>
              </w:rPr>
            </w:pPr>
            <w:r w:rsidRPr="00855906">
              <w:rPr>
                <w:rFonts w:eastAsiaTheme="minorEastAsia" w:cs="Calibri"/>
                <w:i/>
                <w:color w:val="003C96" w:themeColor="text2"/>
              </w:rPr>
              <w:t>Προβλέψεις δανείων</w:t>
            </w:r>
          </w:p>
        </w:tc>
        <w:tc>
          <w:tcPr>
            <w:tcW w:w="7111" w:type="dxa"/>
            <w:tcMar>
              <w:top w:w="57" w:type="dxa"/>
              <w:bottom w:w="57" w:type="dxa"/>
            </w:tcMar>
          </w:tcPr>
          <w:p w:rsidR="00B47088" w:rsidRPr="00337847" w:rsidRDefault="006573A4" w:rsidP="00CF124A">
            <w:pPr>
              <w:spacing w:after="80" w:line="240" w:lineRule="exact"/>
              <w:ind w:left="38" w:right="74"/>
              <w:jc w:val="both"/>
              <w:rPr>
                <w:sz w:val="16"/>
                <w:szCs w:val="16"/>
              </w:rPr>
            </w:pPr>
            <w:r w:rsidRPr="008749F9">
              <w:rPr>
                <w:sz w:val="16"/>
                <w:szCs w:val="16"/>
              </w:rPr>
              <w:t>Οι</w:t>
            </w:r>
            <w:r w:rsidR="002E18DE">
              <w:rPr>
                <w:sz w:val="16"/>
                <w:szCs w:val="16"/>
              </w:rPr>
              <w:t xml:space="preserve"> προβλέψεις δανείων το 3</w:t>
            </w:r>
            <w:r w:rsidRPr="008749F9">
              <w:rPr>
                <w:sz w:val="16"/>
                <w:szCs w:val="16"/>
              </w:rPr>
              <w:t>ο 3μηνο</w:t>
            </w:r>
            <w:r w:rsidR="002E18DE">
              <w:rPr>
                <w:sz w:val="16"/>
                <w:szCs w:val="16"/>
              </w:rPr>
              <w:t xml:space="preserve"> διαμορφώθηκαν σε €312</w:t>
            </w:r>
            <w:r w:rsidRPr="008749F9">
              <w:rPr>
                <w:sz w:val="16"/>
                <w:szCs w:val="16"/>
              </w:rPr>
              <w:t xml:space="preserve"> εκατ. έναντι </w:t>
            </w:r>
            <w:r w:rsidR="002E18DE" w:rsidRPr="002E18DE">
              <w:rPr>
                <w:sz w:val="16"/>
                <w:szCs w:val="16"/>
              </w:rPr>
              <w:t xml:space="preserve">€259 </w:t>
            </w:r>
            <w:r w:rsidR="002E18DE">
              <w:rPr>
                <w:sz w:val="16"/>
                <w:szCs w:val="16"/>
              </w:rPr>
              <w:t>εκατ. το 2</w:t>
            </w:r>
            <w:r w:rsidR="005B413F">
              <w:rPr>
                <w:sz w:val="16"/>
                <w:szCs w:val="16"/>
              </w:rPr>
              <w:t>ο 3μηνο, με τ</w:t>
            </w:r>
            <w:r w:rsidRPr="008749F9">
              <w:rPr>
                <w:sz w:val="16"/>
                <w:szCs w:val="16"/>
              </w:rPr>
              <w:t>ο</w:t>
            </w:r>
            <w:r w:rsidR="00855906">
              <w:rPr>
                <w:sz w:val="16"/>
                <w:szCs w:val="16"/>
              </w:rPr>
              <w:t>ν δείκτη κάλυψης NPE</w:t>
            </w:r>
            <w:r w:rsidR="005B413F">
              <w:rPr>
                <w:sz w:val="16"/>
                <w:szCs w:val="16"/>
              </w:rPr>
              <w:t xml:space="preserve">στο 46% (45% το 2ο 3μηνο), και τον δείκτη κάλυψης </w:t>
            </w:r>
            <w:r w:rsidR="00855906">
              <w:rPr>
                <w:sz w:val="16"/>
                <w:szCs w:val="16"/>
                <w:lang w:val="en-US"/>
              </w:rPr>
              <w:t>NPL</w:t>
            </w:r>
            <w:r w:rsidR="005B413F">
              <w:rPr>
                <w:sz w:val="16"/>
                <w:szCs w:val="16"/>
              </w:rPr>
              <w:t>να αυξάνεται</w:t>
            </w:r>
            <w:r w:rsidR="002E18DE">
              <w:rPr>
                <w:sz w:val="16"/>
                <w:szCs w:val="16"/>
              </w:rPr>
              <w:t xml:space="preserve"> στο 70</w:t>
            </w:r>
            <w:r w:rsidRPr="008749F9">
              <w:rPr>
                <w:sz w:val="16"/>
                <w:szCs w:val="16"/>
              </w:rPr>
              <w:t>%</w:t>
            </w:r>
            <w:r w:rsidR="002E18DE">
              <w:rPr>
                <w:sz w:val="16"/>
                <w:szCs w:val="16"/>
              </w:rPr>
              <w:t xml:space="preserve"> (68% το 2ο3μηνο)</w:t>
            </w:r>
            <w:r w:rsidR="005B413F">
              <w:rPr>
                <w:sz w:val="16"/>
                <w:szCs w:val="16"/>
              </w:rPr>
              <w:t>, ενώ αν περιληφθούν τα ενέχυρα οι δείκτ</w:t>
            </w:r>
            <w:r w:rsidR="00CF124A">
              <w:rPr>
                <w:sz w:val="16"/>
                <w:szCs w:val="16"/>
              </w:rPr>
              <w:t>ε</w:t>
            </w:r>
            <w:r w:rsidR="005B413F">
              <w:rPr>
                <w:sz w:val="16"/>
                <w:szCs w:val="16"/>
              </w:rPr>
              <w:t>ς κάλυψης Ν</w:t>
            </w:r>
            <w:r w:rsidR="00855906">
              <w:rPr>
                <w:sz w:val="16"/>
                <w:szCs w:val="16"/>
                <w:lang w:val="en-US"/>
              </w:rPr>
              <w:t>PE</w:t>
            </w:r>
            <w:r w:rsidR="005B413F">
              <w:rPr>
                <w:sz w:val="16"/>
                <w:szCs w:val="16"/>
              </w:rPr>
              <w:t xml:space="preserve"> και </w:t>
            </w:r>
            <w:r w:rsidR="00855906">
              <w:rPr>
                <w:sz w:val="16"/>
                <w:szCs w:val="16"/>
                <w:lang w:val="en-US"/>
              </w:rPr>
              <w:t>NPL</w:t>
            </w:r>
            <w:r w:rsidR="005B413F">
              <w:rPr>
                <w:sz w:val="16"/>
                <w:szCs w:val="16"/>
              </w:rPr>
              <w:t>α</w:t>
            </w:r>
            <w:r w:rsidR="001033BA">
              <w:rPr>
                <w:sz w:val="16"/>
                <w:szCs w:val="16"/>
              </w:rPr>
              <w:t>ν</w:t>
            </w:r>
            <w:r w:rsidR="005B413F">
              <w:rPr>
                <w:sz w:val="16"/>
                <w:szCs w:val="16"/>
              </w:rPr>
              <w:t xml:space="preserve">ήλθαν σε </w:t>
            </w:r>
            <w:r w:rsidR="00ED3779">
              <w:rPr>
                <w:sz w:val="16"/>
                <w:szCs w:val="16"/>
              </w:rPr>
              <w:t>95% και 112% αντίστοιχα. Τ</w:t>
            </w:r>
            <w:r w:rsidR="002E18DE">
              <w:rPr>
                <w:sz w:val="16"/>
                <w:szCs w:val="16"/>
              </w:rPr>
              <w:t>ο κόστος προβλέψεων</w:t>
            </w:r>
            <w:r w:rsidR="00ED3779">
              <w:rPr>
                <w:sz w:val="16"/>
                <w:szCs w:val="16"/>
              </w:rPr>
              <w:t xml:space="preserve">του Ομίλου </w:t>
            </w:r>
            <w:r w:rsidRPr="008749F9">
              <w:rPr>
                <w:sz w:val="16"/>
                <w:szCs w:val="16"/>
              </w:rPr>
              <w:t>ως ποσοστ</w:t>
            </w:r>
            <w:r>
              <w:rPr>
                <w:sz w:val="16"/>
                <w:szCs w:val="16"/>
              </w:rPr>
              <w:t>ό</w:t>
            </w:r>
            <w:r w:rsidR="00ED3779">
              <w:rPr>
                <w:sz w:val="16"/>
                <w:szCs w:val="16"/>
              </w:rPr>
              <w:t xml:space="preserve">των δανείων μετά από προβλέψεις ανήλθε </w:t>
            </w:r>
            <w:r w:rsidR="002E18DE">
              <w:rPr>
                <w:sz w:val="16"/>
                <w:szCs w:val="16"/>
              </w:rPr>
              <w:t>στις 27</w:t>
            </w:r>
            <w:r w:rsidR="00EC4175">
              <w:rPr>
                <w:sz w:val="16"/>
                <w:szCs w:val="16"/>
              </w:rPr>
              <w:t>3 μ.β. στο 3</w:t>
            </w:r>
            <w:r w:rsidR="001033BA">
              <w:rPr>
                <w:sz w:val="16"/>
                <w:szCs w:val="16"/>
              </w:rPr>
              <w:t xml:space="preserve">ο 3μηνο και στις 242 μ.β. στο 9μηνο. </w:t>
            </w:r>
          </w:p>
        </w:tc>
      </w:tr>
      <w:tr w:rsidR="00B47088" w:rsidRPr="00EC4175" w:rsidTr="00A12DDF">
        <w:trPr>
          <w:trHeight w:val="145"/>
        </w:trPr>
        <w:tc>
          <w:tcPr>
            <w:tcW w:w="1505" w:type="dxa"/>
            <w:tcMar>
              <w:top w:w="57" w:type="dxa"/>
              <w:bottom w:w="57" w:type="dxa"/>
            </w:tcMar>
          </w:tcPr>
          <w:p w:rsidR="00B47088" w:rsidRPr="00855906" w:rsidRDefault="001033BA" w:rsidP="00F56511">
            <w:pPr>
              <w:tabs>
                <w:tab w:val="left" w:pos="8262"/>
              </w:tabs>
              <w:spacing w:after="60"/>
              <w:ind w:right="74"/>
              <w:contextualSpacing/>
              <w:rPr>
                <w:rFonts w:cs="Calibri"/>
                <w:b/>
                <w:i/>
              </w:rPr>
            </w:pPr>
            <w:r w:rsidRPr="00855906">
              <w:rPr>
                <w:rFonts w:eastAsiaTheme="minorEastAsia" w:cs="Calibri"/>
                <w:i/>
                <w:color w:val="003C96" w:themeColor="text2"/>
                <w:lang w:val="en-US"/>
              </w:rPr>
              <w:t>Καθαρ</w:t>
            </w:r>
            <w:r w:rsidRPr="00855906">
              <w:rPr>
                <w:rFonts w:eastAsiaTheme="minorEastAsia" w:cs="Calibri"/>
                <w:i/>
                <w:color w:val="003C96" w:themeColor="text2"/>
              </w:rPr>
              <w:t>ό αποτέλεσμα</w:t>
            </w:r>
          </w:p>
        </w:tc>
        <w:tc>
          <w:tcPr>
            <w:tcW w:w="7557" w:type="dxa"/>
            <w:gridSpan w:val="3"/>
            <w:tcMar>
              <w:top w:w="57" w:type="dxa"/>
              <w:bottom w:w="57" w:type="dxa"/>
            </w:tcMar>
          </w:tcPr>
          <w:p w:rsidR="00B47088" w:rsidRPr="00EC4175" w:rsidRDefault="00EC4175" w:rsidP="00CF124A">
            <w:pPr>
              <w:spacing w:after="80" w:line="240" w:lineRule="exact"/>
              <w:ind w:left="178" w:right="354"/>
              <w:jc w:val="both"/>
              <w:rPr>
                <w:sz w:val="16"/>
                <w:szCs w:val="16"/>
              </w:rPr>
            </w:pPr>
            <w:r w:rsidRPr="008749F9">
              <w:rPr>
                <w:sz w:val="16"/>
                <w:szCs w:val="16"/>
              </w:rPr>
              <w:t>Τ</w:t>
            </w:r>
            <w:r>
              <w:rPr>
                <w:sz w:val="16"/>
                <w:szCs w:val="16"/>
              </w:rPr>
              <w:t>ο</w:t>
            </w:r>
            <w:r w:rsidRPr="008749F9">
              <w:rPr>
                <w:sz w:val="16"/>
                <w:szCs w:val="16"/>
              </w:rPr>
              <w:t xml:space="preserve"> καθαρ</w:t>
            </w:r>
            <w:r>
              <w:rPr>
                <w:sz w:val="16"/>
                <w:szCs w:val="16"/>
              </w:rPr>
              <w:t>ό</w:t>
            </w:r>
            <w:r w:rsidRPr="008749F9">
              <w:rPr>
                <w:sz w:val="16"/>
                <w:szCs w:val="16"/>
              </w:rPr>
              <w:t xml:space="preserve"> αποτ</w:t>
            </w:r>
            <w:r>
              <w:rPr>
                <w:sz w:val="16"/>
                <w:szCs w:val="16"/>
              </w:rPr>
              <w:t>έλεσμα</w:t>
            </w:r>
            <w:r w:rsidRPr="008749F9">
              <w:rPr>
                <w:sz w:val="16"/>
                <w:szCs w:val="16"/>
              </w:rPr>
              <w:t xml:space="preserve"> από συνεχιζόμενες δραστηριότητες που αναλογ</w:t>
            </w:r>
            <w:r>
              <w:rPr>
                <w:sz w:val="16"/>
                <w:szCs w:val="16"/>
              </w:rPr>
              <w:t>εί</w:t>
            </w:r>
            <w:r w:rsidRPr="008749F9">
              <w:rPr>
                <w:sz w:val="16"/>
                <w:szCs w:val="16"/>
              </w:rPr>
              <w:t xml:space="preserve"> στους μετόχους </w:t>
            </w:r>
            <w:r>
              <w:rPr>
                <w:sz w:val="16"/>
                <w:szCs w:val="16"/>
              </w:rPr>
              <w:t xml:space="preserve">ήταν </w:t>
            </w:r>
            <w:r w:rsidR="00CF124A">
              <w:rPr>
                <w:sz w:val="16"/>
                <w:szCs w:val="16"/>
              </w:rPr>
              <w:t>οριακά</w:t>
            </w:r>
            <w:r>
              <w:rPr>
                <w:sz w:val="16"/>
                <w:szCs w:val="16"/>
              </w:rPr>
              <w:t>αρνητικό κατά €19 εκατ. στο 9</w:t>
            </w:r>
            <w:r w:rsidRPr="008749F9">
              <w:rPr>
                <w:sz w:val="16"/>
                <w:szCs w:val="16"/>
              </w:rPr>
              <w:t xml:space="preserve">μηνο, </w:t>
            </w:r>
            <w:r w:rsidR="001033BA">
              <w:rPr>
                <w:sz w:val="16"/>
                <w:szCs w:val="16"/>
              </w:rPr>
              <w:t>το οποίο οφείλεται</w:t>
            </w:r>
            <w:r>
              <w:rPr>
                <w:sz w:val="16"/>
                <w:szCs w:val="16"/>
              </w:rPr>
              <w:t xml:space="preserve"> στη ζημία €19 εκατ. το 3</w:t>
            </w:r>
            <w:r w:rsidRPr="008749F9">
              <w:rPr>
                <w:sz w:val="16"/>
                <w:szCs w:val="16"/>
              </w:rPr>
              <w:t>ο 3μηνο. Στην Ελλάδα</w:t>
            </w:r>
            <w:r>
              <w:rPr>
                <w:sz w:val="16"/>
                <w:szCs w:val="16"/>
              </w:rPr>
              <w:t>,</w:t>
            </w:r>
            <w:r w:rsidRPr="008749F9">
              <w:rPr>
                <w:sz w:val="16"/>
                <w:szCs w:val="16"/>
              </w:rPr>
              <w:t xml:space="preserve"> αντιστοίχως</w:t>
            </w:r>
            <w:r>
              <w:rPr>
                <w:sz w:val="16"/>
                <w:szCs w:val="16"/>
              </w:rPr>
              <w:t>,</w:t>
            </w:r>
            <w:r w:rsidRPr="008749F9">
              <w:rPr>
                <w:sz w:val="16"/>
                <w:szCs w:val="16"/>
              </w:rPr>
              <w:t xml:space="preserve"> αναγνωρίσθηκ</w:t>
            </w:r>
            <w:r>
              <w:rPr>
                <w:sz w:val="16"/>
                <w:szCs w:val="16"/>
              </w:rPr>
              <w:t>ε καθαρή ζημία</w:t>
            </w:r>
            <w:r w:rsidRPr="008749F9">
              <w:rPr>
                <w:sz w:val="16"/>
                <w:szCs w:val="16"/>
              </w:rPr>
              <w:t xml:space="preserve"> ύψους €</w:t>
            </w:r>
            <w:r>
              <w:rPr>
                <w:sz w:val="16"/>
                <w:szCs w:val="16"/>
              </w:rPr>
              <w:t>9εκατ. στο 9</w:t>
            </w:r>
            <w:r w:rsidRPr="008749F9">
              <w:rPr>
                <w:sz w:val="16"/>
                <w:szCs w:val="16"/>
              </w:rPr>
              <w:t>μηνο</w:t>
            </w:r>
            <w:r>
              <w:rPr>
                <w:sz w:val="16"/>
                <w:szCs w:val="16"/>
              </w:rPr>
              <w:t>, που εμπεριέχει ζημία</w:t>
            </w:r>
            <w:r w:rsidRPr="008749F9">
              <w:rPr>
                <w:sz w:val="16"/>
                <w:szCs w:val="16"/>
              </w:rPr>
              <w:t xml:space="preserve"> €</w:t>
            </w:r>
            <w:r>
              <w:rPr>
                <w:sz w:val="16"/>
                <w:szCs w:val="16"/>
              </w:rPr>
              <w:t>11εκατ. το 3</w:t>
            </w:r>
            <w:r w:rsidRPr="008749F9">
              <w:rPr>
                <w:sz w:val="16"/>
                <w:szCs w:val="16"/>
              </w:rPr>
              <w:t>ο 3μηνο. Οι διακοπτόμενες δραστηριότητες</w:t>
            </w:r>
            <w:r>
              <w:rPr>
                <w:sz w:val="16"/>
                <w:szCs w:val="16"/>
              </w:rPr>
              <w:t xml:space="preserve">, που περιλαμβάνουν κυρίως την </w:t>
            </w:r>
            <w:r w:rsidR="00855906">
              <w:rPr>
                <w:sz w:val="16"/>
                <w:szCs w:val="16"/>
              </w:rPr>
              <w:t xml:space="preserve">επίδραση </w:t>
            </w:r>
            <w:r w:rsidR="00855906">
              <w:rPr>
                <w:sz w:val="16"/>
                <w:szCs w:val="16"/>
              </w:rPr>
              <w:lastRenderedPageBreak/>
              <w:t xml:space="preserve">από την πώληση της </w:t>
            </w:r>
            <w:r>
              <w:rPr>
                <w:sz w:val="16"/>
                <w:szCs w:val="16"/>
                <w:lang w:val="en-US"/>
              </w:rPr>
              <w:t>PiraeusBankBeograd</w:t>
            </w:r>
            <w:r>
              <w:rPr>
                <w:sz w:val="16"/>
                <w:szCs w:val="16"/>
              </w:rPr>
              <w:t xml:space="preserve"> σημείωσαν κατά το 9μηνο</w:t>
            </w:r>
            <w:r w:rsidR="001033BA">
              <w:rPr>
                <w:sz w:val="16"/>
                <w:szCs w:val="16"/>
              </w:rPr>
              <w:t xml:space="preserve"> 2017</w:t>
            </w:r>
            <w:r>
              <w:rPr>
                <w:sz w:val="16"/>
                <w:szCs w:val="16"/>
              </w:rPr>
              <w:t xml:space="preserve"> ζημίες €68</w:t>
            </w:r>
            <w:r w:rsidRPr="008749F9">
              <w:rPr>
                <w:sz w:val="16"/>
                <w:szCs w:val="16"/>
              </w:rPr>
              <w:t xml:space="preserve"> εκατ</w:t>
            </w:r>
            <w:r w:rsidRPr="00EC4175">
              <w:rPr>
                <w:sz w:val="18"/>
                <w:szCs w:val="18"/>
              </w:rPr>
              <w:t>.</w:t>
            </w:r>
          </w:p>
        </w:tc>
      </w:tr>
    </w:tbl>
    <w:p w:rsidR="008C4CEC" w:rsidRDefault="008C4CEC" w:rsidP="00EC4175">
      <w:pPr>
        <w:shd w:val="clear" w:color="auto" w:fill="FFFFFF" w:themeFill="background1"/>
        <w:tabs>
          <w:tab w:val="left" w:pos="9214"/>
        </w:tabs>
        <w:spacing w:after="20" w:line="280" w:lineRule="exact"/>
        <w:ind w:right="-143"/>
        <w:jc w:val="right"/>
        <w:rPr>
          <w:rFonts w:eastAsia="Times New Roman" w:cs="Calibri"/>
          <w:b/>
          <w:i/>
          <w:color w:val="003C96" w:themeColor="text2"/>
          <w:sz w:val="23"/>
          <w:szCs w:val="23"/>
        </w:rPr>
      </w:pPr>
      <w:r w:rsidRPr="00837001">
        <w:rPr>
          <w:rFonts w:eastAsia="Times New Roman" w:cs="Calibri"/>
          <w:b/>
          <w:i/>
          <w:color w:val="003C96" w:themeColor="text2"/>
          <w:sz w:val="23"/>
          <w:szCs w:val="23"/>
        </w:rPr>
        <w:lastRenderedPageBreak/>
        <w:t>Κύρια Σημεία Αποτελεσμάτων</w:t>
      </w:r>
      <w:r>
        <w:rPr>
          <w:rFonts w:eastAsia="Times New Roman" w:cs="Calibri"/>
          <w:b/>
          <w:i/>
          <w:color w:val="003C96" w:themeColor="text2"/>
          <w:sz w:val="23"/>
          <w:szCs w:val="23"/>
        </w:rPr>
        <w:t xml:space="preserve"> 9</w:t>
      </w:r>
      <w:r w:rsidRPr="00837001">
        <w:rPr>
          <w:rFonts w:eastAsia="Times New Roman" w:cs="Calibri"/>
          <w:b/>
          <w:i/>
          <w:color w:val="003C96" w:themeColor="text2"/>
          <w:sz w:val="23"/>
          <w:szCs w:val="23"/>
        </w:rPr>
        <w:t>μήνου 2017:</w:t>
      </w:r>
    </w:p>
    <w:p w:rsidR="00823683" w:rsidRPr="0058533F" w:rsidRDefault="008C4CEC" w:rsidP="0058533F">
      <w:pPr>
        <w:shd w:val="clear" w:color="auto" w:fill="FFFFFF" w:themeFill="background1"/>
        <w:tabs>
          <w:tab w:val="left" w:pos="9214"/>
        </w:tabs>
        <w:spacing w:after="20" w:line="280" w:lineRule="exact"/>
        <w:ind w:left="-142" w:right="-143"/>
        <w:jc w:val="right"/>
        <w:rPr>
          <w:rFonts w:eastAsia="Times New Roman" w:cs="Calibri"/>
          <w:b/>
          <w:i/>
          <w:color w:val="003C96" w:themeColor="text2"/>
          <w:sz w:val="23"/>
          <w:szCs w:val="23"/>
        </w:rPr>
      </w:pPr>
      <w:r>
        <w:rPr>
          <w:rFonts w:eastAsia="Times New Roman" w:cs="Calibri"/>
          <w:b/>
          <w:i/>
          <w:color w:val="003C96" w:themeColor="text2"/>
          <w:sz w:val="23"/>
          <w:szCs w:val="23"/>
        </w:rPr>
        <w:t xml:space="preserve"> 16</w:t>
      </w:r>
      <w:r w:rsidRPr="00837001">
        <w:rPr>
          <w:rFonts w:eastAsia="Times New Roman" w:cs="Calibri"/>
          <w:b/>
          <w:i/>
          <w:color w:val="003C96" w:themeColor="text2"/>
          <w:sz w:val="23"/>
          <w:szCs w:val="23"/>
        </w:rPr>
        <w:t>% Αύξηση στα Κέρδη προ Φόρων και Προβλέψεων σε Ετήσια Βάση</w:t>
      </w:r>
    </w:p>
    <w:p w:rsidR="00AE53DB" w:rsidRDefault="00EC4175" w:rsidP="00AE53DB">
      <w:pPr>
        <w:tabs>
          <w:tab w:val="left" w:pos="284"/>
          <w:tab w:val="left" w:pos="8262"/>
        </w:tabs>
        <w:spacing w:before="160" w:after="0" w:line="240" w:lineRule="auto"/>
        <w:ind w:left="-567" w:right="-143"/>
        <w:jc w:val="both"/>
        <w:rPr>
          <w:color w:val="808080" w:themeColor="background1" w:themeShade="80"/>
          <w:sz w:val="12"/>
          <w:szCs w:val="12"/>
        </w:rPr>
      </w:pPr>
      <w:r w:rsidRPr="009245BF">
        <w:rPr>
          <w:color w:val="808080" w:themeColor="background1" w:themeShade="80"/>
          <w:sz w:val="12"/>
          <w:szCs w:val="12"/>
        </w:rPr>
        <w:t>Σημείωση: από το 1o 3μηνο 2017, οι δραστηριότητες δύο εγχώριων θυγατρικών εταιρειών, της</w:t>
      </w:r>
      <w:r w:rsidR="00EC5DB2" w:rsidRPr="009245BF">
        <w:rPr>
          <w:color w:val="808080" w:themeColor="background1" w:themeShade="80"/>
          <w:sz w:val="12"/>
          <w:szCs w:val="12"/>
        </w:rPr>
        <w:t xml:space="preserve"> Olympic Εμπ. και Τουρ. Επιχ.</w:t>
      </w:r>
      <w:r w:rsidRPr="009245BF">
        <w:rPr>
          <w:color w:val="808080" w:themeColor="background1" w:themeShade="80"/>
          <w:sz w:val="12"/>
          <w:szCs w:val="12"/>
        </w:rPr>
        <w:t xml:space="preserve"> AE (</w:t>
      </w:r>
      <w:r w:rsidRPr="009245BF">
        <w:rPr>
          <w:color w:val="808080" w:themeColor="background1" w:themeShade="80"/>
          <w:sz w:val="12"/>
          <w:szCs w:val="12"/>
          <w:lang w:val="en-US"/>
        </w:rPr>
        <w:t>AVIS</w:t>
      </w:r>
      <w:r w:rsidRPr="009245BF">
        <w:rPr>
          <w:color w:val="808080" w:themeColor="background1" w:themeShade="80"/>
          <w:sz w:val="12"/>
          <w:szCs w:val="12"/>
        </w:rPr>
        <w:t xml:space="preserve"> Ελλάς) και της ΗΜΙΘΕΑ ΑΕ (Νοσοκομείο Ε. Ντυνάν), έχουν ταξινομηθεί ως διακοπτόμενες</w:t>
      </w:r>
      <w:r w:rsidR="001033BA" w:rsidRPr="009245BF">
        <w:rPr>
          <w:color w:val="808080" w:themeColor="background1" w:themeShade="80"/>
          <w:sz w:val="12"/>
          <w:szCs w:val="12"/>
        </w:rPr>
        <w:t xml:space="preserve"> δραστηριότητες</w:t>
      </w:r>
      <w:r w:rsidRPr="009245BF">
        <w:rPr>
          <w:color w:val="808080" w:themeColor="background1" w:themeShade="80"/>
          <w:sz w:val="12"/>
          <w:szCs w:val="12"/>
        </w:rPr>
        <w:t xml:space="preserve">. Επιπλέον, από το 2ο 3μηνο 2017, οι δραστηριότητες της Τράπεζας στη Σερβία (Piraeus Bank </w:t>
      </w:r>
      <w:r w:rsidRPr="009245BF">
        <w:rPr>
          <w:color w:val="808080" w:themeColor="background1" w:themeShade="80"/>
          <w:sz w:val="12"/>
          <w:szCs w:val="12"/>
          <w:lang w:val="en-US"/>
        </w:rPr>
        <w:t>Beograd</w:t>
      </w:r>
      <w:r w:rsidRPr="009245BF">
        <w:rPr>
          <w:color w:val="808080" w:themeColor="background1" w:themeShade="80"/>
          <w:sz w:val="12"/>
          <w:szCs w:val="12"/>
        </w:rPr>
        <w:t xml:space="preserve"> και η τοπική θυγατρική leasing) έχουν επίσης ταξινομηθεί ως διακοπτόμενες.</w:t>
      </w:r>
      <w:r w:rsidR="001033BA" w:rsidRPr="009245BF">
        <w:rPr>
          <w:color w:val="808080" w:themeColor="background1" w:themeShade="80"/>
          <w:sz w:val="12"/>
          <w:szCs w:val="12"/>
        </w:rPr>
        <w:t xml:space="preserve"> Η ΑΤΕ </w:t>
      </w:r>
      <w:r w:rsidR="001033BA" w:rsidRPr="009245BF">
        <w:rPr>
          <w:color w:val="808080" w:themeColor="background1" w:themeShade="80"/>
          <w:sz w:val="12"/>
          <w:szCs w:val="12"/>
          <w:lang w:val="en-US"/>
        </w:rPr>
        <w:t>InsuranceRomania</w:t>
      </w:r>
      <w:r w:rsidR="001033BA" w:rsidRPr="009245BF">
        <w:rPr>
          <w:color w:val="808080" w:themeColor="background1" w:themeShade="80"/>
          <w:sz w:val="12"/>
          <w:szCs w:val="12"/>
        </w:rPr>
        <w:t xml:space="preserve"> έχει επίσης ταξινομηθεί ως διακοπτόμενη δραστηριότητα</w:t>
      </w:r>
      <w:r w:rsidR="000B50F4">
        <w:rPr>
          <w:color w:val="808080" w:themeColor="background1" w:themeShade="80"/>
          <w:sz w:val="12"/>
          <w:szCs w:val="12"/>
        </w:rPr>
        <w:t>.</w:t>
      </w:r>
    </w:p>
    <w:p w:rsidR="00AE53DB" w:rsidRPr="009245BF" w:rsidRDefault="00AE53DB" w:rsidP="009245BF">
      <w:pPr>
        <w:tabs>
          <w:tab w:val="left" w:pos="993"/>
        </w:tabs>
        <w:spacing w:after="240" w:line="240" w:lineRule="auto"/>
        <w:ind w:right="-143"/>
        <w:rPr>
          <w:color w:val="808080" w:themeColor="background1" w:themeShade="80"/>
          <w:sz w:val="12"/>
          <w:szCs w:val="12"/>
        </w:rPr>
      </w:pPr>
      <w:r w:rsidRPr="009245BF">
        <w:rPr>
          <w:rFonts w:eastAsia="Times New Roman" w:cs="Calibri"/>
          <w:b/>
          <w:i/>
          <w:color w:val="003C96" w:themeColor="text2"/>
          <w:sz w:val="23"/>
          <w:szCs w:val="23"/>
        </w:rPr>
        <w:t>Κύρια Σημεία Ισολογισμού: 8ο Συνεχόμενο 3μηνο Μείωσης Υπολοίπων NPEs/NPLs</w:t>
      </w:r>
    </w:p>
    <w:tbl>
      <w:tblPr>
        <w:tblStyle w:val="TableGrid1"/>
        <w:tblpPr w:leftFromText="180" w:rightFromText="180" w:vertAnchor="page" w:horzAnchor="page" w:tblpX="1569" w:tblpY="3076"/>
        <w:tblW w:w="9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8"/>
        <w:gridCol w:w="2169"/>
        <w:gridCol w:w="182"/>
        <w:gridCol w:w="7048"/>
        <w:gridCol w:w="178"/>
      </w:tblGrid>
      <w:tr w:rsidR="00B47088" w:rsidRPr="00D90737" w:rsidTr="009245BF">
        <w:trPr>
          <w:gridAfter w:val="1"/>
          <w:wAfter w:w="178" w:type="dxa"/>
          <w:trHeight w:val="749"/>
        </w:trPr>
        <w:tc>
          <w:tcPr>
            <w:tcW w:w="2347" w:type="dxa"/>
            <w:gridSpan w:val="2"/>
            <w:tcMar>
              <w:top w:w="57" w:type="dxa"/>
              <w:bottom w:w="57" w:type="dxa"/>
            </w:tcMar>
          </w:tcPr>
          <w:p w:rsidR="00B47088" w:rsidRPr="009245BF" w:rsidRDefault="00C952E2" w:rsidP="00D4414F">
            <w:pPr>
              <w:tabs>
                <w:tab w:val="left" w:pos="8262"/>
              </w:tabs>
              <w:spacing w:after="60"/>
              <w:ind w:left="604" w:right="74"/>
              <w:contextualSpacing/>
              <w:rPr>
                <w:rFonts w:eastAsiaTheme="minorEastAsia" w:cs="Calibri"/>
                <w:i/>
                <w:color w:val="003C96" w:themeColor="text2"/>
              </w:rPr>
            </w:pPr>
            <w:r w:rsidRPr="00855906">
              <w:rPr>
                <w:rFonts w:eastAsiaTheme="minorEastAsia" w:cs="Calibri"/>
                <w:i/>
                <w:color w:val="003C96" w:themeColor="text2"/>
              </w:rPr>
              <w:t>Καταθέσεις πελατών</w:t>
            </w:r>
          </w:p>
        </w:tc>
        <w:tc>
          <w:tcPr>
            <w:tcW w:w="7230" w:type="dxa"/>
            <w:gridSpan w:val="2"/>
            <w:tcMar>
              <w:top w:w="57" w:type="dxa"/>
              <w:bottom w:w="57" w:type="dxa"/>
            </w:tcMar>
          </w:tcPr>
          <w:p w:rsidR="00B47088" w:rsidRPr="00D90737" w:rsidRDefault="00C952E2" w:rsidP="008640A5">
            <w:pPr>
              <w:tabs>
                <w:tab w:val="left" w:pos="6856"/>
                <w:tab w:val="left" w:pos="8262"/>
              </w:tabs>
              <w:spacing w:before="40" w:after="40" w:line="264" w:lineRule="auto"/>
              <w:ind w:right="74"/>
              <w:jc w:val="both"/>
              <w:rPr>
                <w:rFonts w:cstheme="majorHAnsi"/>
                <w:sz w:val="18"/>
                <w:szCs w:val="18"/>
              </w:rPr>
            </w:pPr>
            <w:r w:rsidRPr="00513BA5">
              <w:rPr>
                <w:sz w:val="16"/>
                <w:szCs w:val="16"/>
              </w:rPr>
              <w:t>Οι καταθέσ</w:t>
            </w:r>
            <w:r>
              <w:rPr>
                <w:sz w:val="16"/>
                <w:szCs w:val="16"/>
              </w:rPr>
              <w:t>εις πελατών διαμορφώθηκαν σε €41</w:t>
            </w:r>
            <w:r w:rsidRPr="00513BA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8 δισ. στα τέλη Σεπτεμβρί</w:t>
            </w:r>
            <w:r w:rsidRPr="00513BA5">
              <w:rPr>
                <w:sz w:val="16"/>
                <w:szCs w:val="16"/>
              </w:rPr>
              <w:t>ου 2017</w:t>
            </w:r>
            <w:r>
              <w:rPr>
                <w:sz w:val="16"/>
                <w:szCs w:val="16"/>
              </w:rPr>
              <w:t>,</w:t>
            </w:r>
            <w:r w:rsidR="006F654D">
              <w:rPr>
                <w:sz w:val="16"/>
                <w:szCs w:val="16"/>
              </w:rPr>
              <w:t>αυξημένες κατά €0,9</w:t>
            </w:r>
            <w:r w:rsidR="00F30C9A">
              <w:rPr>
                <w:sz w:val="16"/>
                <w:szCs w:val="16"/>
              </w:rPr>
              <w:t>δισ.</w:t>
            </w:r>
            <w:r w:rsidR="005F0B59">
              <w:rPr>
                <w:sz w:val="16"/>
                <w:szCs w:val="16"/>
              </w:rPr>
              <w:t xml:space="preserve"> (+2</w:t>
            </w:r>
            <w:r w:rsidR="006F654D">
              <w:rPr>
                <w:sz w:val="16"/>
                <w:szCs w:val="16"/>
              </w:rPr>
              <w:t>%),</w:t>
            </w:r>
            <w:r w:rsidR="005F0B59">
              <w:rPr>
                <w:sz w:val="16"/>
                <w:szCs w:val="16"/>
              </w:rPr>
              <w:t xml:space="preserve"> ως αποτέλεσμα της διαδικασίας αναπλήρ</w:t>
            </w:r>
            <w:r w:rsidR="00855906">
              <w:rPr>
                <w:sz w:val="16"/>
                <w:szCs w:val="16"/>
              </w:rPr>
              <w:t>ωσης καταθέσεων που επιταχύνεται</w:t>
            </w:r>
            <w:r w:rsidRPr="00513BA5">
              <w:rPr>
                <w:sz w:val="16"/>
                <w:szCs w:val="16"/>
              </w:rPr>
              <w:t xml:space="preserve">μετά την ολοκλήρωση της 2ης </w:t>
            </w:r>
            <w:r w:rsidRPr="00D22E20">
              <w:rPr>
                <w:sz w:val="16"/>
                <w:szCs w:val="16"/>
              </w:rPr>
              <w:t>αξιολ</w:t>
            </w:r>
            <w:r>
              <w:rPr>
                <w:sz w:val="16"/>
                <w:szCs w:val="16"/>
              </w:rPr>
              <w:t>όγησης</w:t>
            </w:r>
            <w:r w:rsidRPr="00513BA5">
              <w:rPr>
                <w:sz w:val="16"/>
                <w:szCs w:val="16"/>
              </w:rPr>
              <w:t xml:space="preserve"> του ελληνικού προγράμματος οικονομικής προσ</w:t>
            </w:r>
            <w:r w:rsidR="00AD5544">
              <w:rPr>
                <w:sz w:val="16"/>
                <w:szCs w:val="16"/>
              </w:rPr>
              <w:t>αρμογής</w:t>
            </w:r>
            <w:r w:rsidRPr="00513BA5">
              <w:rPr>
                <w:sz w:val="16"/>
                <w:szCs w:val="16"/>
              </w:rPr>
              <w:t>.</w:t>
            </w:r>
            <w:r w:rsidR="00AD5544">
              <w:rPr>
                <w:sz w:val="16"/>
                <w:szCs w:val="16"/>
              </w:rPr>
              <w:t xml:space="preserve"> Από τον Ιούνιο του 2017 και μετά, η τάση μείωσης των καταθέσεων που είχε παρατηρηθεί στις αρχές του 2017 αντιστράφηκε. </w:t>
            </w:r>
            <w:r w:rsidR="00855906">
              <w:rPr>
                <w:sz w:val="16"/>
                <w:szCs w:val="16"/>
              </w:rPr>
              <w:t>Σ</w:t>
            </w:r>
            <w:r w:rsidR="00855906" w:rsidRPr="00513BA5">
              <w:rPr>
                <w:sz w:val="16"/>
                <w:szCs w:val="16"/>
              </w:rPr>
              <w:t>το τέλος του</w:t>
            </w:r>
            <w:r w:rsidR="00855906">
              <w:rPr>
                <w:sz w:val="16"/>
                <w:szCs w:val="16"/>
              </w:rPr>
              <w:t xml:space="preserve"> 3</w:t>
            </w:r>
            <w:r w:rsidR="00855906" w:rsidRPr="00513BA5">
              <w:rPr>
                <w:sz w:val="16"/>
                <w:szCs w:val="16"/>
              </w:rPr>
              <w:t>ου 3μήνου</w:t>
            </w:r>
            <w:r w:rsidR="00855906">
              <w:rPr>
                <w:sz w:val="16"/>
                <w:szCs w:val="16"/>
              </w:rPr>
              <w:t>,ο</w:t>
            </w:r>
            <w:r w:rsidRPr="00513BA5">
              <w:rPr>
                <w:sz w:val="16"/>
                <w:szCs w:val="16"/>
              </w:rPr>
              <w:t>ι καταθέ</w:t>
            </w:r>
            <w:r w:rsidR="00D90737">
              <w:rPr>
                <w:sz w:val="16"/>
                <w:szCs w:val="16"/>
              </w:rPr>
              <w:t>σεις στην Ελλάδα έφτασαν στα €39,1</w:t>
            </w:r>
            <w:r w:rsidRPr="00513BA5">
              <w:rPr>
                <w:sz w:val="16"/>
                <w:szCs w:val="16"/>
              </w:rPr>
              <w:t xml:space="preserve"> δισ.</w:t>
            </w:r>
            <w:r w:rsidR="00D90737">
              <w:rPr>
                <w:sz w:val="16"/>
                <w:szCs w:val="16"/>
              </w:rPr>
              <w:t xml:space="preserve"> (+€90</w:t>
            </w:r>
            <w:r>
              <w:rPr>
                <w:sz w:val="16"/>
                <w:szCs w:val="16"/>
              </w:rPr>
              <w:t>0 εκατ. σε τριμηνιαία βάση)</w:t>
            </w:r>
            <w:r w:rsidRPr="00513BA5">
              <w:rPr>
                <w:sz w:val="16"/>
                <w:szCs w:val="16"/>
              </w:rPr>
              <w:t>,</w:t>
            </w:r>
            <w:r w:rsidR="00AD5544">
              <w:rPr>
                <w:sz w:val="16"/>
                <w:szCs w:val="16"/>
              </w:rPr>
              <w:t xml:space="preserve"> αντιπροσωπεύοντας </w:t>
            </w:r>
            <w:r w:rsidR="00255692">
              <w:rPr>
                <w:sz w:val="16"/>
                <w:szCs w:val="16"/>
              </w:rPr>
              <w:t xml:space="preserve">σχεδόν </w:t>
            </w:r>
            <w:r w:rsidR="00AD5544">
              <w:rPr>
                <w:sz w:val="16"/>
                <w:szCs w:val="16"/>
              </w:rPr>
              <w:t>το 40% της τριμηνιαίας αύξησης της αγοράς,</w:t>
            </w:r>
            <w:r w:rsidRPr="00513BA5">
              <w:rPr>
                <w:sz w:val="16"/>
                <w:szCs w:val="16"/>
              </w:rPr>
              <w:t xml:space="preserve"> ενώ οι καταθέσεις εξωτερικού στα €2,7 δισ.</w:t>
            </w:r>
            <w:r w:rsidR="00D90737">
              <w:rPr>
                <w:sz w:val="16"/>
                <w:szCs w:val="16"/>
              </w:rPr>
              <w:t xml:space="preserve"> (σταθερές σε τριμηνιαίαβάση)</w:t>
            </w:r>
            <w:r w:rsidRPr="00513BA5">
              <w:rPr>
                <w:sz w:val="16"/>
                <w:szCs w:val="16"/>
              </w:rPr>
              <w:t xml:space="preserve">. Η θετική τάση </w:t>
            </w:r>
            <w:r w:rsidR="00D90737">
              <w:rPr>
                <w:sz w:val="16"/>
                <w:szCs w:val="16"/>
              </w:rPr>
              <w:t xml:space="preserve">συνεχίζεται και κατά </w:t>
            </w:r>
            <w:r w:rsidRPr="00513BA5">
              <w:rPr>
                <w:sz w:val="16"/>
                <w:szCs w:val="16"/>
              </w:rPr>
              <w:t xml:space="preserve">το </w:t>
            </w:r>
            <w:r w:rsidR="00D90737">
              <w:rPr>
                <w:sz w:val="16"/>
                <w:szCs w:val="16"/>
              </w:rPr>
              <w:t>4</w:t>
            </w:r>
            <w:r w:rsidRPr="00513BA5">
              <w:rPr>
                <w:sz w:val="16"/>
                <w:szCs w:val="16"/>
              </w:rPr>
              <w:t>ο 3μηνο.</w:t>
            </w:r>
          </w:p>
        </w:tc>
      </w:tr>
      <w:tr w:rsidR="00B47088" w:rsidRPr="008C4CEC" w:rsidTr="009245BF">
        <w:trPr>
          <w:gridAfter w:val="1"/>
          <w:wAfter w:w="178" w:type="dxa"/>
          <w:trHeight w:val="578"/>
        </w:trPr>
        <w:tc>
          <w:tcPr>
            <w:tcW w:w="234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B47088" w:rsidRPr="00855906" w:rsidRDefault="00EA6C87" w:rsidP="00D4414F">
            <w:pPr>
              <w:tabs>
                <w:tab w:val="left" w:pos="8262"/>
              </w:tabs>
              <w:spacing w:after="60"/>
              <w:ind w:left="604" w:right="74"/>
              <w:contextualSpacing/>
              <w:rPr>
                <w:rFonts w:cs="Calibri"/>
                <w:b/>
                <w:i/>
                <w:color w:val="003C96" w:themeColor="text2"/>
                <w:lang w:val="en-US"/>
              </w:rPr>
            </w:pPr>
            <w:r w:rsidRPr="00855906">
              <w:rPr>
                <w:rFonts w:eastAsiaTheme="minorEastAsia" w:cs="Calibri"/>
                <w:i/>
                <w:color w:val="003C96" w:themeColor="text2"/>
              </w:rPr>
              <w:lastRenderedPageBreak/>
              <w:t>Χρηματοδότηση εκτός καταθέσεων</w:t>
            </w:r>
          </w:p>
        </w:tc>
        <w:tc>
          <w:tcPr>
            <w:tcW w:w="7230" w:type="dxa"/>
            <w:gridSpan w:val="2"/>
            <w:tcMar>
              <w:top w:w="57" w:type="dxa"/>
              <w:bottom w:w="57" w:type="dxa"/>
            </w:tcMar>
          </w:tcPr>
          <w:p w:rsidR="00B47088" w:rsidRPr="005425B9" w:rsidRDefault="00F26395" w:rsidP="008640A5">
            <w:pPr>
              <w:tabs>
                <w:tab w:val="left" w:pos="6856"/>
                <w:tab w:val="left" w:pos="8262"/>
              </w:tabs>
              <w:spacing w:before="40" w:after="40" w:line="264" w:lineRule="auto"/>
              <w:ind w:right="74"/>
              <w:jc w:val="both"/>
              <w:rPr>
                <w:rFonts w:cstheme="majorHAnsi"/>
                <w:sz w:val="16"/>
                <w:szCs w:val="16"/>
              </w:rPr>
            </w:pPr>
            <w:r w:rsidRPr="005425B9">
              <w:rPr>
                <w:sz w:val="16"/>
                <w:szCs w:val="16"/>
              </w:rPr>
              <w:t xml:space="preserve">Η </w:t>
            </w:r>
            <w:r w:rsidRPr="005425B9">
              <w:rPr>
                <w:bCs/>
                <w:sz w:val="16"/>
                <w:szCs w:val="16"/>
              </w:rPr>
              <w:t xml:space="preserve">χρηματοδότηση από το Ευρωσύστημα </w:t>
            </w:r>
            <w:r w:rsidRPr="005425B9">
              <w:rPr>
                <w:sz w:val="16"/>
                <w:szCs w:val="16"/>
              </w:rPr>
              <w:t xml:space="preserve">υποδιπλασιάσθηκε κατά το τελευταίο 12μηνο, υποχωρώντας στα €12,0 δισ. στο τέλος Σεπτεμβρίου 2017 από €23,8 δισ. ένα έτος νωρίτερα και €20,9 δισ. στο τέλος του 2016, δηλαδή μειώθηκε </w:t>
            </w:r>
            <w:r w:rsidRPr="005425B9">
              <w:rPr>
                <w:bCs/>
                <w:sz w:val="16"/>
                <w:szCs w:val="16"/>
              </w:rPr>
              <w:t xml:space="preserve">κατά €8,9 δισ. στο 9μηνο του 2017. </w:t>
            </w:r>
            <w:r w:rsidRPr="005425B9">
              <w:rPr>
                <w:sz w:val="16"/>
                <w:szCs w:val="16"/>
              </w:rPr>
              <w:t>Ειδικότερα, η χρηματοδότηση από το</w:t>
            </w:r>
            <w:r w:rsidR="005425B9" w:rsidRPr="005425B9">
              <w:rPr>
                <w:sz w:val="16"/>
                <w:szCs w:val="16"/>
              </w:rPr>
              <w:t>ν</w:t>
            </w:r>
            <w:r w:rsidRPr="005425B9">
              <w:rPr>
                <w:sz w:val="16"/>
                <w:szCs w:val="16"/>
              </w:rPr>
              <w:t xml:space="preserve"> μηχανισμό ELA μειώθηκε στα €7,8 δισ. στο τέλος Σεπτεμβρίου 2017 από €11,9 δισ. στα τέ</w:t>
            </w:r>
            <w:r w:rsidR="005425B9" w:rsidRPr="005425B9">
              <w:rPr>
                <w:sz w:val="16"/>
                <w:szCs w:val="16"/>
              </w:rPr>
              <w:t>λη του 2016, ενώ από την ΕΚΤ</w:t>
            </w:r>
            <w:r w:rsidRPr="005425B9">
              <w:rPr>
                <w:sz w:val="16"/>
                <w:szCs w:val="16"/>
              </w:rPr>
              <w:t xml:space="preserve"> στα €4,2 δισ. από €9,0 δισ. αντίστοιχα. Η </w:t>
            </w:r>
            <w:r w:rsidRPr="005425B9">
              <w:rPr>
                <w:bCs/>
                <w:sz w:val="16"/>
                <w:szCs w:val="16"/>
              </w:rPr>
              <w:t>χρηματοδότηση από το Ευρωσύστημα υποχώρησε περαιτέρω κατά το 4ο3μηνο σε €10 δι</w:t>
            </w:r>
            <w:r w:rsidR="00255692">
              <w:rPr>
                <w:bCs/>
                <w:sz w:val="16"/>
                <w:szCs w:val="16"/>
              </w:rPr>
              <w:t>σ.</w:t>
            </w:r>
            <w:r w:rsidRPr="005425B9">
              <w:rPr>
                <w:bCs/>
                <w:sz w:val="16"/>
                <w:szCs w:val="16"/>
              </w:rPr>
              <w:t xml:space="preserve"> στα τέλη Νοεμβρίου</w:t>
            </w:r>
            <w:r w:rsidR="005425B9" w:rsidRPr="005425B9">
              <w:rPr>
                <w:bCs/>
                <w:sz w:val="16"/>
                <w:szCs w:val="16"/>
              </w:rPr>
              <w:t xml:space="preserve">, με τον </w:t>
            </w:r>
            <w:r w:rsidR="005425B9" w:rsidRPr="005425B9">
              <w:rPr>
                <w:bCs/>
                <w:sz w:val="16"/>
                <w:szCs w:val="16"/>
                <w:lang w:val="en-US"/>
              </w:rPr>
              <w:t>ELA</w:t>
            </w:r>
            <w:r w:rsidR="005425B9" w:rsidRPr="005425B9">
              <w:rPr>
                <w:bCs/>
                <w:sz w:val="16"/>
                <w:szCs w:val="16"/>
              </w:rPr>
              <w:t xml:space="preserve"> κάτω από €6 δι</w:t>
            </w:r>
            <w:r w:rsidR="00F30C9A">
              <w:rPr>
                <w:bCs/>
                <w:sz w:val="16"/>
                <w:szCs w:val="16"/>
              </w:rPr>
              <w:t>σ</w:t>
            </w:r>
            <w:r w:rsidRPr="005425B9">
              <w:rPr>
                <w:sz w:val="16"/>
                <w:szCs w:val="16"/>
              </w:rPr>
              <w:t xml:space="preserve">. </w:t>
            </w:r>
            <w:r w:rsidRPr="005425B9">
              <w:rPr>
                <w:sz w:val="16"/>
                <w:szCs w:val="16"/>
                <w:lang w:val="en-US"/>
              </w:rPr>
              <w:t>H</w:t>
            </w:r>
            <w:r w:rsidRPr="005425B9">
              <w:rPr>
                <w:sz w:val="16"/>
                <w:szCs w:val="16"/>
              </w:rPr>
              <w:t xml:space="preserve"> χρηματοδότηση από διατραπεζικά repos διαμ</w:t>
            </w:r>
            <w:r w:rsidR="005425B9" w:rsidRPr="005425B9">
              <w:rPr>
                <w:sz w:val="16"/>
                <w:szCs w:val="16"/>
              </w:rPr>
              <w:t>ορφώθηκε στα €2</w:t>
            </w:r>
            <w:r w:rsidR="00495DF8" w:rsidRPr="005425B9">
              <w:rPr>
                <w:sz w:val="16"/>
                <w:szCs w:val="16"/>
              </w:rPr>
              <w:t xml:space="preserve"> δισ. τον Σεπτέμβρ</w:t>
            </w:r>
            <w:r w:rsidR="005425B9" w:rsidRPr="005425B9">
              <w:rPr>
                <w:sz w:val="16"/>
                <w:szCs w:val="16"/>
              </w:rPr>
              <w:t>ιο 2017 έναντι €6</w:t>
            </w:r>
            <w:r w:rsidRPr="005425B9">
              <w:rPr>
                <w:sz w:val="16"/>
                <w:szCs w:val="16"/>
              </w:rPr>
              <w:t xml:space="preserve"> δισ. στα τέλη </w:t>
            </w:r>
            <w:r w:rsidR="00495DF8" w:rsidRPr="005425B9">
              <w:rPr>
                <w:sz w:val="16"/>
                <w:szCs w:val="16"/>
              </w:rPr>
              <w:t>του 2016, αντικατοπτρίζοντας ταχαμηλότερα υπόλοιπα</w:t>
            </w:r>
            <w:r w:rsidRPr="005425B9">
              <w:rPr>
                <w:sz w:val="16"/>
                <w:szCs w:val="16"/>
              </w:rPr>
              <w:t xml:space="preserve"> ομολόγων EFSF/ESM λόγω της συνεχιζόμενης ανταλλαγής στο πλαίσιο των βραχυπρόθεσμων μ</w:t>
            </w:r>
            <w:r w:rsidR="0035467A">
              <w:rPr>
                <w:sz w:val="16"/>
                <w:szCs w:val="16"/>
              </w:rPr>
              <w:t>έτρων για την ελάφρυνση του δημοσί</w:t>
            </w:r>
            <w:r w:rsidRPr="005425B9">
              <w:rPr>
                <w:sz w:val="16"/>
                <w:szCs w:val="16"/>
              </w:rPr>
              <w:t>ου χρέους: από €13,2 δισ. το Δεκέμβριο 2016 τα ομόλογα EFSF</w:t>
            </w:r>
            <w:r w:rsidR="00495DF8" w:rsidRPr="005425B9">
              <w:rPr>
                <w:sz w:val="16"/>
                <w:szCs w:val="16"/>
              </w:rPr>
              <w:t>/ESM μειώθηκαν στα €3,6 δισ. στο τέλος Σεπτεμβρ</w:t>
            </w:r>
            <w:r w:rsidRPr="005425B9">
              <w:rPr>
                <w:sz w:val="16"/>
                <w:szCs w:val="16"/>
              </w:rPr>
              <w:t xml:space="preserve">ίου 2017. </w:t>
            </w:r>
            <w:r w:rsidR="005425B9" w:rsidRPr="005425B9">
              <w:rPr>
                <w:sz w:val="16"/>
                <w:szCs w:val="16"/>
              </w:rPr>
              <w:t>Στα τέλη</w:t>
            </w:r>
            <w:r w:rsidR="005425B9">
              <w:rPr>
                <w:sz w:val="16"/>
                <w:szCs w:val="16"/>
              </w:rPr>
              <w:t xml:space="preserve"> Οκτωβρίου 2017, η Τράπεζα Πειραιώς εξέδωσε 5ετείς καλυμμένες ομολογίες ύψους €5</w:t>
            </w:r>
            <w:r w:rsidR="00855906">
              <w:rPr>
                <w:sz w:val="16"/>
                <w:szCs w:val="16"/>
              </w:rPr>
              <w:t>00 εκατ</w:t>
            </w:r>
            <w:r w:rsidR="005425B9">
              <w:rPr>
                <w:sz w:val="16"/>
                <w:szCs w:val="16"/>
              </w:rPr>
              <w:t>. μέσω ιδιωτικής τοποθέτηση</w:t>
            </w:r>
            <w:r w:rsidR="0035467A">
              <w:rPr>
                <w:sz w:val="16"/>
                <w:szCs w:val="16"/>
              </w:rPr>
              <w:t>ς</w:t>
            </w:r>
            <w:r w:rsidR="00F30C9A">
              <w:rPr>
                <w:sz w:val="16"/>
                <w:szCs w:val="16"/>
              </w:rPr>
              <w:t xml:space="preserve">η οποία καλύφθηκε κυρίως </w:t>
            </w:r>
            <w:r w:rsidR="005425B9">
              <w:rPr>
                <w:sz w:val="16"/>
                <w:szCs w:val="16"/>
              </w:rPr>
              <w:t xml:space="preserve">από την Ευρωπαϊκή Τράπεζα Επενδύσεων, το Ευρωπαϊκό Επενδυτικό Ταμείο και την Ευρωπαϊκή Τράπεζα Ανασυγκρότησης και Ανάπτυξης. </w:t>
            </w:r>
            <w:r w:rsidR="006D34D5">
              <w:rPr>
                <w:sz w:val="16"/>
                <w:szCs w:val="16"/>
              </w:rPr>
              <w:t xml:space="preserve">Αυτή ήταν η πρώτη έκδοση καλυμμένων ομολογιών από την Τράπεζα </w:t>
            </w:r>
            <w:r w:rsidR="00F30C9A">
              <w:rPr>
                <w:sz w:val="16"/>
                <w:szCs w:val="16"/>
              </w:rPr>
              <w:t>η οποία διατέθηκε σε επενδυτές</w:t>
            </w:r>
            <w:r w:rsidR="0035467A">
              <w:rPr>
                <w:sz w:val="16"/>
                <w:szCs w:val="16"/>
              </w:rPr>
              <w:t>.</w:t>
            </w:r>
          </w:p>
        </w:tc>
      </w:tr>
      <w:tr w:rsidR="00B47088" w:rsidRPr="008C4CEC" w:rsidTr="009245BF">
        <w:trPr>
          <w:gridAfter w:val="1"/>
          <w:wAfter w:w="178" w:type="dxa"/>
          <w:trHeight w:val="375"/>
        </w:trPr>
        <w:tc>
          <w:tcPr>
            <w:tcW w:w="2347" w:type="dxa"/>
            <w:gridSpan w:val="2"/>
            <w:tcMar>
              <w:top w:w="57" w:type="dxa"/>
              <w:bottom w:w="57" w:type="dxa"/>
            </w:tcMar>
          </w:tcPr>
          <w:p w:rsidR="00B47088" w:rsidRPr="00855906" w:rsidRDefault="00495DF8" w:rsidP="00D4414F">
            <w:pPr>
              <w:tabs>
                <w:tab w:val="left" w:pos="8262"/>
              </w:tabs>
              <w:spacing w:after="60"/>
              <w:ind w:left="604" w:right="74"/>
              <w:contextualSpacing/>
              <w:rPr>
                <w:rFonts w:cs="Calibri"/>
                <w:b/>
                <w:i/>
                <w:color w:val="003C96" w:themeColor="text2"/>
                <w:lang w:val="en-US"/>
              </w:rPr>
            </w:pPr>
            <w:r w:rsidRPr="00855906">
              <w:rPr>
                <w:rFonts w:eastAsiaTheme="minorEastAsia" w:cs="Calibri"/>
                <w:i/>
                <w:color w:val="003C96" w:themeColor="text2"/>
              </w:rPr>
              <w:t>Δάνεια προ προβλέψεων &amp; προσαρμογών</w:t>
            </w:r>
          </w:p>
        </w:tc>
        <w:tc>
          <w:tcPr>
            <w:tcW w:w="7230" w:type="dxa"/>
            <w:gridSpan w:val="2"/>
            <w:tcMar>
              <w:top w:w="57" w:type="dxa"/>
              <w:bottom w:w="57" w:type="dxa"/>
            </w:tcMar>
          </w:tcPr>
          <w:p w:rsidR="00B47088" w:rsidRPr="005425B9" w:rsidRDefault="00FD2EE2" w:rsidP="008640A5">
            <w:pPr>
              <w:tabs>
                <w:tab w:val="left" w:pos="6856"/>
                <w:tab w:val="left" w:pos="8262"/>
              </w:tabs>
              <w:spacing w:before="40" w:after="40" w:line="264" w:lineRule="auto"/>
              <w:ind w:right="74"/>
              <w:jc w:val="both"/>
              <w:rPr>
                <w:sz w:val="16"/>
                <w:szCs w:val="16"/>
              </w:rPr>
            </w:pPr>
            <w:r w:rsidRPr="005425B9">
              <w:rPr>
                <w:bCs/>
                <w:sz w:val="16"/>
                <w:szCs w:val="16"/>
              </w:rPr>
              <w:t xml:space="preserve">Τα δάνεια προ προβλέψεων </w:t>
            </w:r>
            <w:r w:rsidRPr="005425B9">
              <w:rPr>
                <w:sz w:val="16"/>
                <w:szCs w:val="16"/>
              </w:rPr>
              <w:t>διαμορφώθηκαν στα €61,0 δισ. στα τέλη Σεπτεμβρίου 2017, ενώ μετά από προβλέψεις διαμορφώθηκαν στα €45,7 δισ. αντίστοιχα. Το σύνολο των προ προβλέψεων δανείων στην Ελλάδα διαμορφώθηκε στα €57,9 δισ., ενώ των διεθνών δραστηριοτήτων στα €3,1 δισ. Ο δείκτης δανείων</w:t>
            </w:r>
            <w:r w:rsidR="00855906">
              <w:rPr>
                <w:sz w:val="16"/>
                <w:szCs w:val="16"/>
              </w:rPr>
              <w:t xml:space="preserve"> προς καταθέσεις βελτιώθηκε ουσιαστικά, στο </w:t>
            </w:r>
            <w:r w:rsidRPr="005425B9">
              <w:rPr>
                <w:sz w:val="16"/>
                <w:szCs w:val="16"/>
              </w:rPr>
              <w:t>109</w:t>
            </w:r>
            <w:r w:rsidR="0035467A">
              <w:rPr>
                <w:sz w:val="16"/>
                <w:szCs w:val="16"/>
              </w:rPr>
              <w:t>% από 122</w:t>
            </w:r>
            <w:r w:rsidRPr="005425B9">
              <w:rPr>
                <w:sz w:val="16"/>
                <w:szCs w:val="16"/>
              </w:rPr>
              <w:t>% πριν από ένα έ</w:t>
            </w:r>
            <w:r w:rsidR="006E1EBC">
              <w:rPr>
                <w:sz w:val="16"/>
                <w:szCs w:val="16"/>
              </w:rPr>
              <w:t>τος.</w:t>
            </w:r>
          </w:p>
        </w:tc>
      </w:tr>
      <w:tr w:rsidR="00B47088" w:rsidRPr="007A1D13" w:rsidTr="009245BF">
        <w:trPr>
          <w:gridAfter w:val="1"/>
          <w:wAfter w:w="178" w:type="dxa"/>
          <w:trHeight w:val="386"/>
        </w:trPr>
        <w:tc>
          <w:tcPr>
            <w:tcW w:w="2347" w:type="dxa"/>
            <w:gridSpan w:val="2"/>
            <w:tcMar>
              <w:top w:w="57" w:type="dxa"/>
              <w:bottom w:w="57" w:type="dxa"/>
            </w:tcMar>
          </w:tcPr>
          <w:p w:rsidR="00255692" w:rsidRDefault="007A1D13" w:rsidP="008640A5">
            <w:pPr>
              <w:tabs>
                <w:tab w:val="left" w:pos="8262"/>
              </w:tabs>
              <w:spacing w:after="60"/>
              <w:ind w:left="604" w:right="74"/>
              <w:contextualSpacing/>
              <w:rPr>
                <w:rFonts w:cs="Calibri"/>
                <w:i/>
                <w:noProof/>
                <w:color w:val="003C96" w:themeColor="text2"/>
                <w:lang w:eastAsia="el-GR"/>
              </w:rPr>
            </w:pPr>
            <w:r w:rsidRPr="00855906">
              <w:rPr>
                <w:rFonts w:cs="Calibri"/>
                <w:i/>
                <w:noProof/>
                <w:color w:val="003C96" w:themeColor="text2"/>
                <w:lang w:eastAsia="el-GR"/>
              </w:rPr>
              <w:t>Δείκτης κεφαλαιακής επάρκειας</w:t>
            </w:r>
          </w:p>
          <w:p w:rsidR="00B47088" w:rsidRPr="00855906" w:rsidRDefault="00B47088" w:rsidP="008640A5">
            <w:pPr>
              <w:tabs>
                <w:tab w:val="left" w:pos="8262"/>
              </w:tabs>
              <w:spacing w:after="60"/>
              <w:ind w:left="604" w:right="74"/>
              <w:contextualSpacing/>
              <w:rPr>
                <w:rFonts w:cs="Calibri"/>
                <w:i/>
                <w:color w:val="003C96" w:themeColor="text2"/>
              </w:rPr>
            </w:pPr>
            <w:r w:rsidRPr="00855906">
              <w:rPr>
                <w:rFonts w:cs="Calibri"/>
                <w:i/>
                <w:noProof/>
                <w:color w:val="003C96" w:themeColor="text2"/>
                <w:lang w:val="en-US" w:eastAsia="el-GR"/>
              </w:rPr>
              <w:t>CET</w:t>
            </w:r>
            <w:r w:rsidR="007A1D13" w:rsidRPr="00855906">
              <w:rPr>
                <w:rFonts w:cs="Calibri"/>
                <w:i/>
                <w:noProof/>
                <w:color w:val="003C96" w:themeColor="text2"/>
                <w:lang w:eastAsia="el-GR"/>
              </w:rPr>
              <w:t>-</w:t>
            </w:r>
            <w:r w:rsidRPr="00855906">
              <w:rPr>
                <w:rFonts w:cs="Calibri"/>
                <w:i/>
                <w:noProof/>
                <w:color w:val="003C96" w:themeColor="text2"/>
                <w:lang w:eastAsia="el-GR"/>
              </w:rPr>
              <w:t xml:space="preserve">1 </w:t>
            </w:r>
          </w:p>
        </w:tc>
        <w:tc>
          <w:tcPr>
            <w:tcW w:w="7230" w:type="dxa"/>
            <w:gridSpan w:val="2"/>
            <w:tcMar>
              <w:top w:w="57" w:type="dxa"/>
              <w:bottom w:w="57" w:type="dxa"/>
            </w:tcMar>
          </w:tcPr>
          <w:p w:rsidR="00B47088" w:rsidRPr="007A1D13" w:rsidRDefault="007A1D13" w:rsidP="008640A5">
            <w:pPr>
              <w:tabs>
                <w:tab w:val="left" w:pos="6856"/>
                <w:tab w:val="left" w:pos="8262"/>
              </w:tabs>
              <w:spacing w:before="40" w:after="40" w:line="264" w:lineRule="auto"/>
              <w:ind w:right="74"/>
              <w:jc w:val="both"/>
              <w:rPr>
                <w:rFonts w:cstheme="majorHAnsi"/>
                <w:sz w:val="18"/>
                <w:szCs w:val="18"/>
              </w:rPr>
            </w:pPr>
            <w:r w:rsidRPr="00513BA5">
              <w:rPr>
                <w:sz w:val="16"/>
                <w:szCs w:val="16"/>
              </w:rPr>
              <w:t xml:space="preserve">Ο </w:t>
            </w:r>
            <w:r w:rsidRPr="00513BA5">
              <w:rPr>
                <w:bCs/>
                <w:sz w:val="16"/>
                <w:szCs w:val="16"/>
              </w:rPr>
              <w:t xml:space="preserve">δείκτης κεφαλαιακής επάρκειας Common Equity Tier 1 </w:t>
            </w:r>
            <w:r w:rsidRPr="00513BA5">
              <w:rPr>
                <w:sz w:val="16"/>
                <w:szCs w:val="16"/>
              </w:rPr>
              <w:t>του Ομίλου διαμορφώ</w:t>
            </w:r>
            <w:r>
              <w:rPr>
                <w:sz w:val="16"/>
                <w:szCs w:val="16"/>
              </w:rPr>
              <w:t xml:space="preserve">θηκε στο τέλος Σεπτεμβρίου 2017 σε </w:t>
            </w:r>
            <w:r w:rsidRPr="00513BA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7,0</w:t>
            </w:r>
            <w:r w:rsidRPr="00513BA5">
              <w:rPr>
                <w:sz w:val="16"/>
                <w:szCs w:val="16"/>
              </w:rPr>
              <w:t>%, ενώ με πλήρη εφαρμογή του πλ</w:t>
            </w:r>
            <w:r>
              <w:rPr>
                <w:sz w:val="16"/>
                <w:szCs w:val="16"/>
              </w:rPr>
              <w:t>αισίου της Βασιλείας ΙΙΙ σε 16,6</w:t>
            </w:r>
            <w:r w:rsidRPr="00513BA5">
              <w:rPr>
                <w:sz w:val="16"/>
                <w:szCs w:val="16"/>
              </w:rPr>
              <w:t xml:space="preserve">%. Και οι δύο δείκτες είναι </w:t>
            </w:r>
            <w:r w:rsidRPr="00513BA5">
              <w:rPr>
                <w:sz w:val="16"/>
                <w:szCs w:val="16"/>
                <w:lang w:val="en-US"/>
              </w:rPr>
              <w:t>pro</w:t>
            </w:r>
            <w:r w:rsidRPr="00513BA5">
              <w:rPr>
                <w:sz w:val="16"/>
                <w:szCs w:val="16"/>
              </w:rPr>
              <w:t>-</w:t>
            </w:r>
            <w:r w:rsidRPr="00513BA5">
              <w:rPr>
                <w:sz w:val="16"/>
                <w:szCs w:val="16"/>
                <w:lang w:val="en-US"/>
              </w:rPr>
              <w:t>forma</w:t>
            </w:r>
            <w:r w:rsidRPr="00513BA5">
              <w:rPr>
                <w:sz w:val="16"/>
                <w:szCs w:val="16"/>
              </w:rPr>
              <w:t xml:space="preserve"> για την πώληση της </w:t>
            </w:r>
            <w:r w:rsidRPr="00513BA5">
              <w:rPr>
                <w:sz w:val="16"/>
                <w:szCs w:val="16"/>
                <w:lang w:val="en-US"/>
              </w:rPr>
              <w:t>PiraeusBankBeograd</w:t>
            </w:r>
            <w:r w:rsidR="00255692">
              <w:rPr>
                <w:sz w:val="16"/>
                <w:szCs w:val="16"/>
              </w:rPr>
              <w:t>,</w:t>
            </w:r>
            <w:r w:rsidRPr="00513BA5">
              <w:rPr>
                <w:sz w:val="16"/>
                <w:szCs w:val="16"/>
              </w:rPr>
              <w:t xml:space="preserve"> της </w:t>
            </w:r>
            <w:r w:rsidRPr="003D448C">
              <w:rPr>
                <w:sz w:val="16"/>
                <w:szCs w:val="16"/>
              </w:rPr>
              <w:t>AVIS Ελλάς</w:t>
            </w:r>
            <w:r w:rsidR="00255692">
              <w:rPr>
                <w:sz w:val="16"/>
                <w:szCs w:val="16"/>
              </w:rPr>
              <w:t xml:space="preserve"> και του Ε. Ντυνάν</w:t>
            </w:r>
            <w:r w:rsidRPr="00513BA5">
              <w:rPr>
                <w:sz w:val="16"/>
                <w:szCs w:val="16"/>
              </w:rPr>
              <w:t>, ενώ είναι ελαφρώς υψηλότεροι σε τριμηνιαία βάση</w:t>
            </w:r>
            <w:r>
              <w:rPr>
                <w:sz w:val="16"/>
                <w:szCs w:val="16"/>
              </w:rPr>
              <w:t xml:space="preserve"> κατά 10 μ.β. περίπου </w:t>
            </w:r>
            <w:r w:rsidR="00855906">
              <w:rPr>
                <w:sz w:val="16"/>
                <w:szCs w:val="16"/>
              </w:rPr>
              <w:t>για δεύτερο συνεχ</w:t>
            </w:r>
            <w:r w:rsidR="006E1EBC">
              <w:rPr>
                <w:sz w:val="16"/>
                <w:szCs w:val="16"/>
              </w:rPr>
              <w:t xml:space="preserve">όμενο τρίμηνο </w:t>
            </w:r>
            <w:r>
              <w:rPr>
                <w:sz w:val="16"/>
                <w:szCs w:val="16"/>
              </w:rPr>
              <w:t>λόγω μείωσης του σταθμισμένου ενεργητικού.Στο τέλος Σεπτεμβρ</w:t>
            </w:r>
            <w:r w:rsidRPr="00513BA5">
              <w:rPr>
                <w:sz w:val="16"/>
                <w:szCs w:val="16"/>
              </w:rPr>
              <w:t xml:space="preserve">ίου 2017, </w:t>
            </w:r>
            <w:r>
              <w:rPr>
                <w:sz w:val="16"/>
                <w:szCs w:val="16"/>
              </w:rPr>
              <w:t>το</w:t>
            </w:r>
            <w:r w:rsidRPr="00513BA5">
              <w:rPr>
                <w:sz w:val="16"/>
                <w:szCs w:val="16"/>
              </w:rPr>
              <w:t xml:space="preserve"> σύνολο των ιδίων κεφαλαίων διαμορφώθηκε σε €9,7δισ. ενώ τα εποπτικά κεφάλαια σε €8,8δισ.</w:t>
            </w:r>
          </w:p>
        </w:tc>
      </w:tr>
      <w:tr w:rsidR="00B47088" w:rsidRPr="008C4CEC" w:rsidTr="009245BF">
        <w:trPr>
          <w:gridAfter w:val="1"/>
          <w:wAfter w:w="178" w:type="dxa"/>
          <w:trHeight w:val="606"/>
        </w:trPr>
        <w:tc>
          <w:tcPr>
            <w:tcW w:w="2347" w:type="dxa"/>
            <w:gridSpan w:val="2"/>
            <w:tcMar>
              <w:top w:w="57" w:type="dxa"/>
              <w:bottom w:w="57" w:type="dxa"/>
            </w:tcMar>
          </w:tcPr>
          <w:p w:rsidR="00B47088" w:rsidRPr="00855906" w:rsidRDefault="00855906" w:rsidP="007E098D">
            <w:pPr>
              <w:tabs>
                <w:tab w:val="left" w:pos="8262"/>
              </w:tabs>
              <w:spacing w:after="60"/>
              <w:ind w:left="604" w:right="74"/>
              <w:contextualSpacing/>
              <w:rPr>
                <w:rFonts w:cs="Calibri"/>
                <w:i/>
                <w:noProof/>
                <w:color w:val="003C96" w:themeColor="text2"/>
                <w:lang w:eastAsia="el-GR"/>
              </w:rPr>
            </w:pPr>
            <w:r>
              <w:rPr>
                <w:rFonts w:cs="Calibri"/>
                <w:i/>
                <w:noProof/>
                <w:color w:val="003C96" w:themeColor="text2"/>
                <w:lang w:val="en-US" w:eastAsia="el-GR"/>
              </w:rPr>
              <w:t>NPΕ</w:t>
            </w:r>
            <w:r w:rsidR="00B47088" w:rsidRPr="00855906">
              <w:rPr>
                <w:rFonts w:cs="Calibri"/>
                <w:i/>
                <w:noProof/>
                <w:color w:val="003C96" w:themeColor="text2"/>
                <w:lang w:val="en-US" w:eastAsia="el-GR"/>
              </w:rPr>
              <w:t>s/</w:t>
            </w:r>
            <w:r>
              <w:rPr>
                <w:rFonts w:cs="Calibri"/>
                <w:i/>
                <w:noProof/>
                <w:color w:val="003C96" w:themeColor="text2"/>
                <w:lang w:val="en-US" w:eastAsia="el-GR"/>
              </w:rPr>
              <w:t>NPL</w:t>
            </w:r>
            <w:r w:rsidR="00B47088" w:rsidRPr="00855906">
              <w:rPr>
                <w:rFonts w:cs="Calibri"/>
                <w:i/>
                <w:noProof/>
                <w:color w:val="003C96" w:themeColor="text2"/>
                <w:lang w:val="en-US" w:eastAsia="el-GR"/>
              </w:rPr>
              <w:t>s &amp;</w:t>
            </w:r>
            <w:r w:rsidR="007A1D13" w:rsidRPr="00855906">
              <w:rPr>
                <w:rFonts w:cs="Calibri"/>
                <w:i/>
                <w:noProof/>
                <w:color w:val="003C96" w:themeColor="text2"/>
                <w:lang w:val="en-US" w:eastAsia="el-GR"/>
              </w:rPr>
              <w:t>κ</w:t>
            </w:r>
            <w:r w:rsidR="007A1D13" w:rsidRPr="00855906">
              <w:rPr>
                <w:rFonts w:cs="Calibri"/>
                <w:i/>
                <w:noProof/>
                <w:color w:val="003C96" w:themeColor="text2"/>
                <w:lang w:eastAsia="el-GR"/>
              </w:rPr>
              <w:t>άλυψη</w:t>
            </w:r>
          </w:p>
        </w:tc>
        <w:tc>
          <w:tcPr>
            <w:tcW w:w="7230" w:type="dxa"/>
            <w:gridSpan w:val="2"/>
            <w:tcMar>
              <w:top w:w="57" w:type="dxa"/>
              <w:bottom w:w="57" w:type="dxa"/>
            </w:tcMar>
          </w:tcPr>
          <w:p w:rsidR="00B47088" w:rsidRPr="00337847" w:rsidRDefault="00B75800" w:rsidP="008640A5">
            <w:pPr>
              <w:tabs>
                <w:tab w:val="left" w:pos="6856"/>
                <w:tab w:val="left" w:pos="8262"/>
              </w:tabs>
              <w:spacing w:before="40" w:after="40" w:line="264" w:lineRule="auto"/>
              <w:ind w:right="74"/>
              <w:jc w:val="both"/>
              <w:rPr>
                <w:rFonts w:cstheme="majorHAnsi"/>
                <w:sz w:val="18"/>
                <w:szCs w:val="18"/>
              </w:rPr>
            </w:pPr>
            <w:r w:rsidRPr="00513BA5">
              <w:rPr>
                <w:sz w:val="16"/>
                <w:szCs w:val="16"/>
              </w:rPr>
              <w:t xml:space="preserve">Ο </w:t>
            </w:r>
            <w:r w:rsidR="00855906">
              <w:rPr>
                <w:bCs/>
                <w:sz w:val="16"/>
                <w:szCs w:val="16"/>
              </w:rPr>
              <w:t>δείκτης NPE</w:t>
            </w:r>
            <w:r>
              <w:rPr>
                <w:sz w:val="16"/>
                <w:szCs w:val="16"/>
              </w:rPr>
              <w:t>στο τέλος Σεπτεμβρ</w:t>
            </w:r>
            <w:r w:rsidRPr="00513BA5">
              <w:rPr>
                <w:sz w:val="16"/>
                <w:szCs w:val="16"/>
              </w:rPr>
              <w:t xml:space="preserve">ίου 2017 ήταν στο </w:t>
            </w:r>
            <w:r w:rsidRPr="00855906">
              <w:rPr>
                <w:sz w:val="16"/>
                <w:szCs w:val="16"/>
              </w:rPr>
              <w:t>55%, με</w:t>
            </w:r>
            <w:r w:rsidRPr="00513BA5">
              <w:rPr>
                <w:sz w:val="16"/>
                <w:szCs w:val="16"/>
              </w:rPr>
              <w:t xml:space="preserve"> κάλυψη από σωρευμένες προβλέψεις </w:t>
            </w:r>
            <w:r w:rsidRPr="006E1EBC">
              <w:rPr>
                <w:sz w:val="16"/>
                <w:szCs w:val="16"/>
              </w:rPr>
              <w:t xml:space="preserve">στο </w:t>
            </w:r>
            <w:r>
              <w:rPr>
                <w:sz w:val="16"/>
                <w:szCs w:val="16"/>
              </w:rPr>
              <w:t>46</w:t>
            </w:r>
            <w:r w:rsidRPr="006E1EBC">
              <w:rPr>
                <w:sz w:val="16"/>
                <w:szCs w:val="16"/>
              </w:rPr>
              <w:t>%.</w:t>
            </w:r>
            <w:r>
              <w:rPr>
                <w:sz w:val="16"/>
                <w:szCs w:val="16"/>
              </w:rPr>
              <w:t xml:space="preserve">Ο σχηματισμός νέων </w:t>
            </w:r>
            <w:r w:rsidR="00855906">
              <w:rPr>
                <w:sz w:val="16"/>
                <w:szCs w:val="16"/>
                <w:lang w:val="en-US"/>
              </w:rPr>
              <w:t>NPE</w:t>
            </w:r>
            <w:r>
              <w:rPr>
                <w:sz w:val="16"/>
                <w:szCs w:val="16"/>
              </w:rPr>
              <w:t>προ διαγραφών</w:t>
            </w:r>
            <w:r w:rsidR="00855906">
              <w:rPr>
                <w:sz w:val="16"/>
                <w:szCs w:val="16"/>
              </w:rPr>
              <w:t xml:space="preserve"> κατά το 3ο 3μηνο, στα -€0,3 δισ</w:t>
            </w:r>
            <w:r>
              <w:rPr>
                <w:sz w:val="16"/>
                <w:szCs w:val="16"/>
              </w:rPr>
              <w:t>. ήταν ο καλύτερος που έχει σημειώσει ποτέ η Τράπεζα.</w:t>
            </w:r>
            <w:r w:rsidRPr="00513BA5">
              <w:rPr>
                <w:sz w:val="16"/>
                <w:szCs w:val="16"/>
              </w:rPr>
              <w:t xml:space="preserve"> Η Τράπεζα </w:t>
            </w:r>
            <w:r>
              <w:rPr>
                <w:sz w:val="16"/>
                <w:szCs w:val="16"/>
              </w:rPr>
              <w:t>πέτυχε</w:t>
            </w:r>
            <w:r w:rsidRPr="00513BA5">
              <w:rPr>
                <w:sz w:val="16"/>
                <w:szCs w:val="16"/>
              </w:rPr>
              <w:t xml:space="preserve"> τον στόχο των </w:t>
            </w:r>
            <w:r w:rsidR="0001674D">
              <w:rPr>
                <w:sz w:val="16"/>
                <w:szCs w:val="16"/>
                <w:lang w:val="en-US"/>
              </w:rPr>
              <w:t>NPE</w:t>
            </w:r>
            <w:r w:rsidRPr="00513BA5">
              <w:rPr>
                <w:sz w:val="16"/>
                <w:szCs w:val="16"/>
              </w:rPr>
              <w:t xml:space="preserve"> που έχει υποβάλει στον </w:t>
            </w:r>
            <w:r w:rsidRPr="00513BA5">
              <w:rPr>
                <w:sz w:val="16"/>
                <w:szCs w:val="16"/>
                <w:lang w:val="en-US"/>
              </w:rPr>
              <w:t>SSM</w:t>
            </w:r>
            <w:r w:rsidRPr="00513BA5">
              <w:rPr>
                <w:sz w:val="16"/>
                <w:szCs w:val="16"/>
              </w:rPr>
              <w:t xml:space="preserve"> για </w:t>
            </w:r>
            <w:r w:rsidR="00677440">
              <w:rPr>
                <w:sz w:val="16"/>
                <w:szCs w:val="16"/>
              </w:rPr>
              <w:t>5</w:t>
            </w:r>
            <w:r w:rsidR="00677440" w:rsidRPr="008640A5">
              <w:rPr>
                <w:sz w:val="16"/>
                <w:szCs w:val="16"/>
                <w:vertAlign w:val="superscript"/>
              </w:rPr>
              <w:t>ο</w:t>
            </w:r>
            <w:r w:rsidRPr="00513BA5">
              <w:rPr>
                <w:sz w:val="16"/>
                <w:szCs w:val="16"/>
              </w:rPr>
              <w:t>συνεχόμενο τρίμηνο.</w:t>
            </w:r>
            <w:r w:rsidR="0001674D">
              <w:rPr>
                <w:bCs/>
                <w:sz w:val="16"/>
                <w:szCs w:val="16"/>
              </w:rPr>
              <w:t xml:space="preserve">Ο δείκτης </w:t>
            </w:r>
            <w:r w:rsidR="0001674D">
              <w:rPr>
                <w:bCs/>
                <w:sz w:val="16"/>
                <w:szCs w:val="16"/>
                <w:lang w:val="en-US"/>
              </w:rPr>
              <w:t>NPL</w:t>
            </w:r>
            <w:r w:rsidR="00F97548" w:rsidRPr="00513BA5">
              <w:rPr>
                <w:bCs/>
                <w:sz w:val="16"/>
                <w:szCs w:val="16"/>
              </w:rPr>
              <w:t>μειώθηκε σε</w:t>
            </w:r>
            <w:r w:rsidR="00F97548">
              <w:rPr>
                <w:bCs/>
                <w:sz w:val="16"/>
                <w:szCs w:val="16"/>
              </w:rPr>
              <w:t xml:space="preserve"> 36,2% τον Σεπτέμβρ</w:t>
            </w:r>
            <w:r w:rsidR="00F97548" w:rsidRPr="00513BA5">
              <w:rPr>
                <w:bCs/>
                <w:sz w:val="16"/>
                <w:szCs w:val="16"/>
              </w:rPr>
              <w:t>ιο 2017</w:t>
            </w:r>
            <w:r w:rsidR="00F97548">
              <w:rPr>
                <w:bCs/>
                <w:sz w:val="16"/>
                <w:szCs w:val="16"/>
              </w:rPr>
              <w:t xml:space="preserve"> (36,1% στην Ελλάδα) έναντι 37,1</w:t>
            </w:r>
            <w:r w:rsidR="00F97548" w:rsidRPr="00513BA5">
              <w:rPr>
                <w:bCs/>
                <w:sz w:val="16"/>
                <w:szCs w:val="16"/>
              </w:rPr>
              <w:t>% το</w:t>
            </w:r>
            <w:r w:rsidR="0001674D">
              <w:rPr>
                <w:bCs/>
                <w:sz w:val="16"/>
                <w:szCs w:val="16"/>
              </w:rPr>
              <w:t>υ Ιου</w:t>
            </w:r>
            <w:r w:rsidR="00F97548">
              <w:rPr>
                <w:bCs/>
                <w:sz w:val="16"/>
                <w:szCs w:val="16"/>
              </w:rPr>
              <w:t>ν</w:t>
            </w:r>
            <w:r w:rsidR="0001674D">
              <w:rPr>
                <w:bCs/>
                <w:sz w:val="16"/>
                <w:szCs w:val="16"/>
              </w:rPr>
              <w:t>ίου</w:t>
            </w:r>
            <w:r w:rsidR="00F97548" w:rsidRPr="00513BA5">
              <w:rPr>
                <w:bCs/>
                <w:sz w:val="16"/>
                <w:szCs w:val="16"/>
              </w:rPr>
              <w:t xml:space="preserve"> 2017</w:t>
            </w:r>
            <w:r w:rsidR="00F97548">
              <w:rPr>
                <w:bCs/>
                <w:sz w:val="16"/>
                <w:szCs w:val="16"/>
              </w:rPr>
              <w:t xml:space="preserve"> για τον Όμιλο και 37</w:t>
            </w:r>
            <w:r w:rsidR="00677440">
              <w:rPr>
                <w:bCs/>
                <w:sz w:val="16"/>
                <w:szCs w:val="16"/>
              </w:rPr>
              <w:t>,0</w:t>
            </w:r>
            <w:r w:rsidR="00F97548">
              <w:rPr>
                <w:bCs/>
                <w:sz w:val="16"/>
                <w:szCs w:val="16"/>
              </w:rPr>
              <w:t>% για την Ελλάδα.Τ</w:t>
            </w:r>
            <w:r>
              <w:rPr>
                <w:sz w:val="16"/>
                <w:szCs w:val="16"/>
              </w:rPr>
              <w:t xml:space="preserve">o υπόλοιπο </w:t>
            </w:r>
            <w:r w:rsidR="001A2CA2">
              <w:rPr>
                <w:sz w:val="16"/>
                <w:szCs w:val="16"/>
                <w:lang w:val="en-US"/>
              </w:rPr>
              <w:t>NPEs</w:t>
            </w:r>
            <w:r w:rsidR="001A2CA2">
              <w:rPr>
                <w:sz w:val="16"/>
                <w:szCs w:val="16"/>
              </w:rPr>
              <w:t>/</w:t>
            </w:r>
            <w:r w:rsidR="00F97548">
              <w:rPr>
                <w:sz w:val="16"/>
                <w:szCs w:val="16"/>
                <w:lang w:val="en-US"/>
              </w:rPr>
              <w:t>NPLs</w:t>
            </w:r>
            <w:r>
              <w:rPr>
                <w:sz w:val="16"/>
                <w:szCs w:val="16"/>
              </w:rPr>
              <w:t xml:space="preserve"> μειώθηκε</w:t>
            </w:r>
            <w:r w:rsidR="00F97548">
              <w:rPr>
                <w:sz w:val="16"/>
                <w:szCs w:val="16"/>
              </w:rPr>
              <w:t xml:space="preserve"> για 8</w:t>
            </w:r>
            <w:r w:rsidR="00F97548" w:rsidRPr="00513BA5">
              <w:rPr>
                <w:sz w:val="16"/>
                <w:szCs w:val="16"/>
              </w:rPr>
              <w:t>ο συνεχόμενο</w:t>
            </w:r>
            <w:r>
              <w:rPr>
                <w:sz w:val="16"/>
                <w:szCs w:val="16"/>
              </w:rPr>
              <w:t xml:space="preserve"> 3μηνο. Η συνολική μείωσή τους </w:t>
            </w:r>
            <w:r w:rsidR="00F97548" w:rsidRPr="00513BA5">
              <w:rPr>
                <w:sz w:val="16"/>
                <w:szCs w:val="16"/>
              </w:rPr>
              <w:t>τους τ</w:t>
            </w:r>
            <w:r w:rsidR="00F97548">
              <w:rPr>
                <w:sz w:val="16"/>
                <w:szCs w:val="16"/>
              </w:rPr>
              <w:t xml:space="preserve">ελευταίους 12 μήνες </w:t>
            </w:r>
            <w:r w:rsidR="00677440">
              <w:rPr>
                <w:sz w:val="16"/>
                <w:szCs w:val="16"/>
              </w:rPr>
              <w:t xml:space="preserve">ήταν </w:t>
            </w:r>
            <w:r w:rsidR="00C2719C">
              <w:rPr>
                <w:sz w:val="16"/>
                <w:szCs w:val="16"/>
              </w:rPr>
              <w:t>€</w:t>
            </w:r>
            <w:r w:rsidR="00C2719C" w:rsidRPr="00C2719C">
              <w:rPr>
                <w:sz w:val="16"/>
                <w:szCs w:val="16"/>
              </w:rPr>
              <w:t>2</w:t>
            </w:r>
            <w:r w:rsidR="00C2719C">
              <w:rPr>
                <w:sz w:val="16"/>
                <w:szCs w:val="16"/>
              </w:rPr>
              <w:t>,</w:t>
            </w:r>
            <w:r w:rsidR="00C2719C" w:rsidRPr="009245BF">
              <w:rPr>
                <w:sz w:val="16"/>
                <w:szCs w:val="16"/>
              </w:rPr>
              <w:t xml:space="preserve">5 </w:t>
            </w:r>
            <w:r w:rsidR="00C2719C">
              <w:rPr>
                <w:sz w:val="16"/>
                <w:szCs w:val="16"/>
              </w:rPr>
              <w:t xml:space="preserve">δισ. / </w:t>
            </w:r>
            <w:r w:rsidR="00F97548">
              <w:rPr>
                <w:sz w:val="16"/>
                <w:szCs w:val="16"/>
              </w:rPr>
              <w:t>€3,3 δισ.</w:t>
            </w:r>
            <w:r w:rsidR="00C2719C">
              <w:rPr>
                <w:sz w:val="16"/>
                <w:szCs w:val="16"/>
              </w:rPr>
              <w:t xml:space="preserve"> αντίστοιχα</w:t>
            </w:r>
            <w:r w:rsidR="00F97548">
              <w:rPr>
                <w:sz w:val="16"/>
                <w:szCs w:val="16"/>
              </w:rPr>
              <w:t xml:space="preserve">, με το σύνολό τους να υποχωρεί στα </w:t>
            </w:r>
            <w:r w:rsidR="00C2719C">
              <w:rPr>
                <w:sz w:val="16"/>
                <w:szCs w:val="16"/>
              </w:rPr>
              <w:t>€33,</w:t>
            </w:r>
            <w:r w:rsidR="00033D99" w:rsidRPr="00B35B2A">
              <w:rPr>
                <w:sz w:val="16"/>
                <w:szCs w:val="16"/>
              </w:rPr>
              <w:t>8</w:t>
            </w:r>
            <w:r w:rsidR="00C2719C" w:rsidRPr="00513BA5">
              <w:rPr>
                <w:sz w:val="16"/>
                <w:szCs w:val="16"/>
              </w:rPr>
              <w:t xml:space="preserve"> δισ.</w:t>
            </w:r>
            <w:r w:rsidR="00C2719C">
              <w:rPr>
                <w:sz w:val="16"/>
                <w:szCs w:val="16"/>
              </w:rPr>
              <w:t xml:space="preserve"> / </w:t>
            </w:r>
            <w:r w:rsidR="00F97548">
              <w:rPr>
                <w:sz w:val="16"/>
                <w:szCs w:val="16"/>
              </w:rPr>
              <w:t>€22,1</w:t>
            </w:r>
            <w:r w:rsidR="00F97548" w:rsidRPr="00513BA5">
              <w:rPr>
                <w:sz w:val="16"/>
                <w:szCs w:val="16"/>
              </w:rPr>
              <w:t xml:space="preserve"> δισ. τον</w:t>
            </w:r>
            <w:r w:rsidR="00F97548">
              <w:rPr>
                <w:sz w:val="16"/>
                <w:szCs w:val="16"/>
              </w:rPr>
              <w:t xml:space="preserve"> Σεπτέμβριο</w:t>
            </w:r>
            <w:r w:rsidR="00F97548" w:rsidRPr="00513BA5">
              <w:rPr>
                <w:sz w:val="16"/>
                <w:szCs w:val="16"/>
              </w:rPr>
              <w:t xml:space="preserve"> 2017. Ο σχηματ</w:t>
            </w:r>
            <w:r w:rsidR="00F97548">
              <w:rPr>
                <w:sz w:val="16"/>
                <w:szCs w:val="16"/>
              </w:rPr>
              <w:t xml:space="preserve">ισμός νέων </w:t>
            </w:r>
            <w:r w:rsidR="0001674D">
              <w:rPr>
                <w:sz w:val="16"/>
                <w:szCs w:val="16"/>
                <w:lang w:val="en-US"/>
              </w:rPr>
              <w:t>NPL</w:t>
            </w:r>
            <w:r>
              <w:rPr>
                <w:sz w:val="16"/>
                <w:szCs w:val="16"/>
              </w:rPr>
              <w:t xml:space="preserve">προ διαγραφών </w:t>
            </w:r>
            <w:r w:rsidR="00F97548" w:rsidRPr="00513BA5">
              <w:rPr>
                <w:sz w:val="16"/>
                <w:szCs w:val="16"/>
              </w:rPr>
              <w:t>του Ομίλου, μετά την αύξηση που σημειώθηκε το 1ο 3μηνο 2017, επανήλθε σε αρνητικό επίπεδο</w:t>
            </w:r>
            <w:r w:rsidR="00F97548">
              <w:rPr>
                <w:sz w:val="16"/>
                <w:szCs w:val="16"/>
              </w:rPr>
              <w:t>τόσο για το 2ο όσο και για το 3ο 3μηνο</w:t>
            </w:r>
            <w:r w:rsidR="00F97548" w:rsidRPr="00513BA5">
              <w:rPr>
                <w:sz w:val="16"/>
                <w:szCs w:val="16"/>
              </w:rPr>
              <w:t>, ακολουθώντας την τάση των τεσσάρων 3μήνων του 2016</w:t>
            </w:r>
            <w:r w:rsidR="0001674D">
              <w:rPr>
                <w:sz w:val="16"/>
                <w:szCs w:val="16"/>
              </w:rPr>
              <w:t>, φτάνοντας τα -€0,5 δισ</w:t>
            </w:r>
            <w:r w:rsidR="00F97548" w:rsidRPr="00513BA5">
              <w:rPr>
                <w:sz w:val="16"/>
                <w:szCs w:val="16"/>
              </w:rPr>
              <w:t xml:space="preserve">. Ο </w:t>
            </w:r>
            <w:r w:rsidR="009803C9">
              <w:rPr>
                <w:bCs/>
                <w:sz w:val="16"/>
                <w:szCs w:val="16"/>
              </w:rPr>
              <w:t>δείκτης κάλυψης</w:t>
            </w:r>
            <w:r w:rsidR="0001674D">
              <w:rPr>
                <w:bCs/>
                <w:sz w:val="16"/>
                <w:szCs w:val="16"/>
                <w:lang w:val="en-US"/>
              </w:rPr>
              <w:t>NPL</w:t>
            </w:r>
            <w:r w:rsidR="00F97548" w:rsidRPr="00513BA5">
              <w:rPr>
                <w:bCs/>
                <w:sz w:val="16"/>
                <w:szCs w:val="16"/>
              </w:rPr>
              <w:t xml:space="preserve"> από σωρευμένες προβλέψεις </w:t>
            </w:r>
            <w:r w:rsidR="00B05B32">
              <w:rPr>
                <w:sz w:val="16"/>
                <w:szCs w:val="16"/>
              </w:rPr>
              <w:t>στο τέλος Σεπτεμβρίου 2017 ανήλθε στο 70% από 68</w:t>
            </w:r>
            <w:r w:rsidR="00F97548" w:rsidRPr="00513BA5">
              <w:rPr>
                <w:sz w:val="16"/>
                <w:szCs w:val="16"/>
              </w:rPr>
              <w:t xml:space="preserve">% ένα χρόνο νωρίτερα. </w:t>
            </w:r>
          </w:p>
        </w:tc>
      </w:tr>
      <w:tr w:rsidR="00927F6A" w:rsidRPr="008C4CEC" w:rsidTr="009245BF">
        <w:trPr>
          <w:gridAfter w:val="1"/>
          <w:wAfter w:w="178" w:type="dxa"/>
          <w:trHeight w:val="606"/>
        </w:trPr>
        <w:tc>
          <w:tcPr>
            <w:tcW w:w="2347" w:type="dxa"/>
            <w:gridSpan w:val="2"/>
            <w:tcMar>
              <w:top w:w="57" w:type="dxa"/>
              <w:bottom w:w="57" w:type="dxa"/>
            </w:tcMar>
          </w:tcPr>
          <w:p w:rsidR="00927F6A" w:rsidRPr="0041090F" w:rsidRDefault="0041090F" w:rsidP="00D4414F">
            <w:pPr>
              <w:tabs>
                <w:tab w:val="left" w:pos="8262"/>
              </w:tabs>
              <w:spacing w:after="60"/>
              <w:ind w:left="604" w:right="74"/>
              <w:contextualSpacing/>
              <w:rPr>
                <w:rFonts w:cs="Calibri"/>
                <w:i/>
                <w:noProof/>
                <w:color w:val="003C96" w:themeColor="text2"/>
                <w:sz w:val="24"/>
                <w:szCs w:val="24"/>
                <w:lang w:eastAsia="el-GR"/>
              </w:rPr>
            </w:pPr>
            <w:r>
              <w:rPr>
                <w:rFonts w:cs="Calibri"/>
                <w:i/>
                <w:noProof/>
                <w:color w:val="003C96" w:themeColor="text2"/>
                <w:sz w:val="24"/>
                <w:szCs w:val="24"/>
                <w:lang w:val="en-US" w:eastAsia="el-GR"/>
              </w:rPr>
              <w:t>Δ</w:t>
            </w:r>
            <w:r>
              <w:rPr>
                <w:rFonts w:cs="Calibri"/>
                <w:i/>
                <w:noProof/>
                <w:color w:val="003C96" w:themeColor="text2"/>
                <w:sz w:val="24"/>
                <w:szCs w:val="24"/>
                <w:lang w:eastAsia="el-GR"/>
              </w:rPr>
              <w:t>ίκτυο καταστημάτων &amp; εργαζόμενοι</w:t>
            </w:r>
          </w:p>
        </w:tc>
        <w:tc>
          <w:tcPr>
            <w:tcW w:w="7230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927F6A" w:rsidRPr="00B05B32" w:rsidRDefault="00B05B32" w:rsidP="00742B54">
            <w:pPr>
              <w:tabs>
                <w:tab w:val="left" w:pos="8262"/>
              </w:tabs>
              <w:spacing w:before="40" w:after="200" w:line="264" w:lineRule="auto"/>
              <w:ind w:right="116"/>
              <w:jc w:val="both"/>
              <w:rPr>
                <w:rFonts w:cs="Calibri"/>
                <w:sz w:val="16"/>
                <w:szCs w:val="16"/>
              </w:rPr>
            </w:pPr>
            <w:r w:rsidRPr="00B05B32">
              <w:rPr>
                <w:rFonts w:cstheme="majorHAnsi"/>
                <w:sz w:val="16"/>
                <w:szCs w:val="16"/>
              </w:rPr>
              <w:t xml:space="preserve">Το δίκτυο καταστημάτων στην Ελλάδα στο τέλος </w:t>
            </w:r>
            <w:r>
              <w:rPr>
                <w:rFonts w:cstheme="majorHAnsi"/>
                <w:sz w:val="16"/>
                <w:szCs w:val="16"/>
              </w:rPr>
              <w:t>Σεπτεμβρ</w:t>
            </w:r>
            <w:r w:rsidRPr="00B05B32">
              <w:rPr>
                <w:rFonts w:cstheme="majorHAnsi"/>
                <w:sz w:val="16"/>
                <w:szCs w:val="16"/>
              </w:rPr>
              <w:t>ίου 2017 διαμορφώθηκε στις</w:t>
            </w:r>
            <w:r>
              <w:rPr>
                <w:rFonts w:cstheme="majorHAnsi"/>
                <w:sz w:val="16"/>
                <w:szCs w:val="16"/>
              </w:rPr>
              <w:t xml:space="preserve"> 628</w:t>
            </w:r>
            <w:r w:rsidR="009803C9">
              <w:rPr>
                <w:rFonts w:cstheme="majorHAnsi"/>
                <w:sz w:val="16"/>
                <w:szCs w:val="16"/>
              </w:rPr>
              <w:t xml:space="preserve"> μονάδες (-</w:t>
            </w:r>
            <w:r w:rsidR="00C2719C">
              <w:rPr>
                <w:rFonts w:cstheme="majorHAnsi"/>
                <w:sz w:val="16"/>
                <w:szCs w:val="16"/>
              </w:rPr>
              <w:t>43</w:t>
            </w:r>
            <w:r w:rsidRPr="00B05B32">
              <w:rPr>
                <w:rFonts w:cstheme="majorHAnsi"/>
                <w:sz w:val="16"/>
                <w:szCs w:val="16"/>
              </w:rPr>
              <w:t>σε ετήσια βάση), ενώ σε επίπεδο Ομίλου διαμορφώθηκε στις</w:t>
            </w:r>
            <w:r>
              <w:rPr>
                <w:rFonts w:cstheme="majorHAnsi"/>
                <w:sz w:val="16"/>
                <w:szCs w:val="16"/>
              </w:rPr>
              <w:t xml:space="preserve"> 860</w:t>
            </w:r>
            <w:r w:rsidRPr="00B05B32">
              <w:rPr>
                <w:rFonts w:cstheme="majorHAnsi"/>
                <w:sz w:val="16"/>
                <w:szCs w:val="16"/>
              </w:rPr>
              <w:t xml:space="preserve"> μονάδες (-</w:t>
            </w:r>
            <w:r>
              <w:rPr>
                <w:rFonts w:cstheme="majorHAnsi"/>
                <w:sz w:val="16"/>
                <w:szCs w:val="16"/>
              </w:rPr>
              <w:t xml:space="preserve">71 </w:t>
            </w:r>
            <w:r w:rsidRPr="00B05B32">
              <w:rPr>
                <w:rFonts w:cstheme="majorHAnsi"/>
                <w:sz w:val="16"/>
                <w:szCs w:val="16"/>
              </w:rPr>
              <w:t xml:space="preserve">σε ετήσια βάση). Έτσι, ο </w:t>
            </w:r>
            <w:r w:rsidRPr="00B05B32">
              <w:rPr>
                <w:rFonts w:cs="Calibri"/>
                <w:sz w:val="16"/>
                <w:szCs w:val="16"/>
              </w:rPr>
              <w:t>στόχος του Σχεδίου Αναδιάρθρωσης της Τράπεζας για 650 μονάδες στην Ελλάδα στο τέλος του 2017, έχει ήδη επιτευχθεί.</w:t>
            </w:r>
            <w:r w:rsidR="0035467A" w:rsidRPr="008749F9">
              <w:rPr>
                <w:sz w:val="16"/>
                <w:szCs w:val="16"/>
              </w:rPr>
              <w:t xml:space="preserve"> Το ανθρώπινο δυναμικό του Ομίλου για τις συνεχιζόμενες δραστηριότητε</w:t>
            </w:r>
            <w:r w:rsidR="0035467A">
              <w:rPr>
                <w:sz w:val="16"/>
                <w:szCs w:val="16"/>
              </w:rPr>
              <w:t>ς διαμορφώθηκε στο τέλος Σεπτεμβρ</w:t>
            </w:r>
            <w:r w:rsidR="0035467A" w:rsidRPr="008749F9">
              <w:rPr>
                <w:sz w:val="16"/>
                <w:szCs w:val="16"/>
              </w:rPr>
              <w:t>ίου</w:t>
            </w:r>
            <w:r w:rsidR="009803C9">
              <w:rPr>
                <w:sz w:val="16"/>
                <w:szCs w:val="16"/>
              </w:rPr>
              <w:t xml:space="preserve"> 2017 σε 16.978</w:t>
            </w:r>
            <w:r w:rsidR="0035467A">
              <w:rPr>
                <w:sz w:val="16"/>
                <w:szCs w:val="16"/>
              </w:rPr>
              <w:t xml:space="preserve"> άτομα, από τα οποία τα 13.</w:t>
            </w:r>
            <w:r w:rsidR="0035467A" w:rsidRPr="008749F9">
              <w:rPr>
                <w:sz w:val="16"/>
                <w:szCs w:val="16"/>
              </w:rPr>
              <w:t>8</w:t>
            </w:r>
            <w:r w:rsidR="0035467A">
              <w:rPr>
                <w:sz w:val="16"/>
                <w:szCs w:val="16"/>
              </w:rPr>
              <w:t>92</w:t>
            </w:r>
            <w:r w:rsidR="0035467A" w:rsidRPr="008749F9">
              <w:rPr>
                <w:sz w:val="16"/>
                <w:szCs w:val="16"/>
              </w:rPr>
              <w:t xml:space="preserve"> στην Ελλάδα. </w:t>
            </w:r>
          </w:p>
        </w:tc>
      </w:tr>
      <w:tr w:rsidR="00927F6A" w:rsidRPr="00C92B37" w:rsidTr="009245BF">
        <w:trPr>
          <w:gridAfter w:val="1"/>
          <w:wAfter w:w="178" w:type="dxa"/>
          <w:trHeight w:val="91"/>
        </w:trPr>
        <w:tc>
          <w:tcPr>
            <w:tcW w:w="2347" w:type="dxa"/>
            <w:gridSpan w:val="2"/>
            <w:tcMar>
              <w:top w:w="57" w:type="dxa"/>
              <w:bottom w:w="57" w:type="dxa"/>
            </w:tcMar>
          </w:tcPr>
          <w:p w:rsidR="00927F6A" w:rsidRPr="0035467A" w:rsidRDefault="00927F6A" w:rsidP="0041090F">
            <w:pPr>
              <w:tabs>
                <w:tab w:val="left" w:pos="8262"/>
              </w:tabs>
              <w:spacing w:after="60"/>
              <w:ind w:right="74"/>
              <w:contextualSpacing/>
              <w:rPr>
                <w:rFonts w:cs="Calibri"/>
                <w:i/>
                <w:color w:val="003C96" w:themeColor="text2"/>
                <w:sz w:val="24"/>
                <w:szCs w:val="24"/>
              </w:rPr>
            </w:pPr>
          </w:p>
        </w:tc>
        <w:tc>
          <w:tcPr>
            <w:tcW w:w="7230" w:type="dxa"/>
            <w:gridSpan w:val="2"/>
            <w:tcMar>
              <w:top w:w="57" w:type="dxa"/>
              <w:bottom w:w="57" w:type="dxa"/>
            </w:tcMar>
          </w:tcPr>
          <w:p w:rsidR="00927F6A" w:rsidRPr="00C92B37" w:rsidRDefault="00927F6A" w:rsidP="001C2EB1">
            <w:pPr>
              <w:tabs>
                <w:tab w:val="left" w:pos="6856"/>
                <w:tab w:val="left" w:pos="8262"/>
              </w:tabs>
              <w:spacing w:before="40" w:after="80" w:line="264" w:lineRule="auto"/>
              <w:ind w:right="74"/>
              <w:jc w:val="both"/>
              <w:rPr>
                <w:rFonts w:cstheme="majorHAnsi"/>
                <w:sz w:val="18"/>
                <w:szCs w:val="18"/>
              </w:rPr>
            </w:pPr>
          </w:p>
        </w:tc>
      </w:tr>
      <w:tr w:rsidR="00927F6A" w:rsidRPr="00C92B37" w:rsidTr="009245BF">
        <w:trPr>
          <w:gridBefore w:val="1"/>
          <w:wBefore w:w="178" w:type="dxa"/>
          <w:trHeight w:val="311"/>
        </w:trPr>
        <w:tc>
          <w:tcPr>
            <w:tcW w:w="2351" w:type="dxa"/>
            <w:gridSpan w:val="2"/>
            <w:tcMar>
              <w:top w:w="57" w:type="dxa"/>
              <w:bottom w:w="57" w:type="dxa"/>
            </w:tcMar>
          </w:tcPr>
          <w:p w:rsidR="00927F6A" w:rsidRPr="00C92B37" w:rsidRDefault="00927F6A" w:rsidP="00D4414F">
            <w:pPr>
              <w:tabs>
                <w:tab w:val="left" w:pos="8262"/>
              </w:tabs>
              <w:spacing w:after="60"/>
              <w:ind w:right="74"/>
              <w:contextualSpacing/>
              <w:jc w:val="both"/>
              <w:rPr>
                <w:rFonts w:cs="Calibri"/>
                <w:color w:val="003C96" w:themeColor="text2"/>
                <w:sz w:val="24"/>
                <w:szCs w:val="24"/>
              </w:rPr>
            </w:pPr>
          </w:p>
        </w:tc>
        <w:tc>
          <w:tcPr>
            <w:tcW w:w="7226" w:type="dxa"/>
            <w:gridSpan w:val="2"/>
            <w:tcMar>
              <w:top w:w="57" w:type="dxa"/>
              <w:bottom w:w="57" w:type="dxa"/>
            </w:tcMar>
          </w:tcPr>
          <w:p w:rsidR="00927F6A" w:rsidRPr="00A41214" w:rsidRDefault="00927F6A" w:rsidP="009245BF">
            <w:pPr>
              <w:tabs>
                <w:tab w:val="left" w:pos="6856"/>
              </w:tabs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42B54" w:rsidRPr="00C92B37" w:rsidTr="009245BF">
        <w:trPr>
          <w:gridBefore w:val="1"/>
          <w:wBefore w:w="178" w:type="dxa"/>
          <w:trHeight w:val="311"/>
        </w:trPr>
        <w:tc>
          <w:tcPr>
            <w:tcW w:w="2351" w:type="dxa"/>
            <w:gridSpan w:val="2"/>
            <w:tcMar>
              <w:top w:w="57" w:type="dxa"/>
              <w:bottom w:w="57" w:type="dxa"/>
            </w:tcMar>
          </w:tcPr>
          <w:p w:rsidR="00742B54" w:rsidRPr="00C92B37" w:rsidRDefault="00742B54" w:rsidP="00D4414F">
            <w:pPr>
              <w:tabs>
                <w:tab w:val="left" w:pos="8262"/>
              </w:tabs>
              <w:spacing w:after="60"/>
              <w:ind w:right="74"/>
              <w:contextualSpacing/>
              <w:jc w:val="both"/>
              <w:rPr>
                <w:rFonts w:cs="Calibri"/>
                <w:color w:val="003C96" w:themeColor="text2"/>
                <w:sz w:val="24"/>
                <w:szCs w:val="24"/>
              </w:rPr>
            </w:pPr>
          </w:p>
        </w:tc>
        <w:tc>
          <w:tcPr>
            <w:tcW w:w="7226" w:type="dxa"/>
            <w:gridSpan w:val="2"/>
            <w:tcMar>
              <w:top w:w="57" w:type="dxa"/>
              <w:bottom w:w="57" w:type="dxa"/>
            </w:tcMar>
          </w:tcPr>
          <w:p w:rsidR="00742B54" w:rsidRPr="00742B54" w:rsidRDefault="00742B54" w:rsidP="009245BF">
            <w:pPr>
              <w:tabs>
                <w:tab w:val="left" w:pos="6856"/>
              </w:tabs>
              <w:jc w:val="right"/>
              <w:rPr>
                <w:rFonts w:eastAsia="Times New Roman" w:cs="Calibri"/>
                <w:b/>
                <w:i/>
                <w:color w:val="003C96" w:themeColor="text2"/>
                <w:sz w:val="25"/>
                <w:szCs w:val="25"/>
              </w:rPr>
            </w:pPr>
            <w:r w:rsidRPr="007208A9">
              <w:rPr>
                <w:rFonts w:eastAsia="Times New Roman" w:cs="Calibri"/>
                <w:b/>
                <w:i/>
                <w:color w:val="003C96" w:themeColor="text2"/>
                <w:sz w:val="25"/>
                <w:szCs w:val="25"/>
                <w:lang w:val="en-US"/>
              </w:rPr>
              <w:t>Agenda</w:t>
            </w:r>
            <w:r w:rsidRPr="009245BF">
              <w:rPr>
                <w:rFonts w:eastAsia="Times New Roman" w:cs="Calibri"/>
                <w:b/>
                <w:i/>
                <w:color w:val="003C96" w:themeColor="text2"/>
                <w:sz w:val="25"/>
                <w:szCs w:val="25"/>
              </w:rPr>
              <w:t xml:space="preserve"> 2020: </w:t>
            </w:r>
            <w:r>
              <w:rPr>
                <w:rFonts w:eastAsia="Times New Roman" w:cs="Calibri"/>
                <w:b/>
                <w:i/>
                <w:color w:val="003C96" w:themeColor="text2"/>
                <w:sz w:val="25"/>
                <w:szCs w:val="25"/>
              </w:rPr>
              <w:t>Στρατηγικές Προτεραιότητες και Πρόοδος</w:t>
            </w:r>
          </w:p>
        </w:tc>
      </w:tr>
    </w:tbl>
    <w:p w:rsidR="00C952E2" w:rsidRPr="00C952E2" w:rsidRDefault="00C952E2" w:rsidP="00C952E2">
      <w:pPr>
        <w:tabs>
          <w:tab w:val="left" w:pos="993"/>
        </w:tabs>
        <w:spacing w:after="240" w:line="240" w:lineRule="auto"/>
        <w:ind w:right="-143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tbl>
      <w:tblPr>
        <w:tblStyle w:val="TableGrid1"/>
        <w:tblpPr w:leftFromText="181" w:rightFromText="181" w:vertAnchor="page" w:horzAnchor="page" w:tblpX="2130" w:tblpY="2919"/>
        <w:tblW w:w="9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60"/>
        <w:gridCol w:w="7242"/>
      </w:tblGrid>
      <w:tr w:rsidR="00742B54" w:rsidRPr="00744581" w:rsidTr="00742B54">
        <w:trPr>
          <w:trHeight w:val="484"/>
        </w:trPr>
        <w:tc>
          <w:tcPr>
            <w:tcW w:w="1960" w:type="dxa"/>
            <w:tcMar>
              <w:top w:w="57" w:type="dxa"/>
              <w:bottom w:w="57" w:type="dxa"/>
            </w:tcMar>
          </w:tcPr>
          <w:p w:rsidR="00742B54" w:rsidRPr="00AD0857" w:rsidRDefault="00742B54" w:rsidP="00742B54">
            <w:pPr>
              <w:tabs>
                <w:tab w:val="left" w:pos="8262"/>
              </w:tabs>
              <w:spacing w:after="60"/>
              <w:ind w:left="177" w:right="74"/>
              <w:contextualSpacing/>
              <w:rPr>
                <w:rFonts w:eastAsiaTheme="minorEastAsia" w:cs="Calibri"/>
                <w:i/>
                <w:color w:val="003C96" w:themeColor="text2"/>
              </w:rPr>
            </w:pPr>
            <w:r w:rsidRPr="00AD0857">
              <w:rPr>
                <w:rFonts w:eastAsiaTheme="minorEastAsia" w:cs="Calibri"/>
                <w:i/>
                <w:color w:val="003C96" w:themeColor="text2"/>
                <w:lang w:val="en-US"/>
              </w:rPr>
              <w:t>Με</w:t>
            </w:r>
            <w:r w:rsidRPr="00AD0857">
              <w:rPr>
                <w:rFonts w:eastAsiaTheme="minorEastAsia" w:cs="Calibri"/>
                <w:i/>
                <w:color w:val="003C96" w:themeColor="text2"/>
              </w:rPr>
              <w:t>ίωση των κινδύνων</w:t>
            </w:r>
            <w:r w:rsidRPr="00AD0857">
              <w:rPr>
                <w:rFonts w:eastAsiaTheme="minorEastAsia" w:cs="Calibri"/>
                <w:i/>
                <w:color w:val="003C96" w:themeColor="text2"/>
                <w:lang w:val="en-US"/>
              </w:rPr>
              <w:t xml:space="preserve"> ισολογισμο</w:t>
            </w:r>
            <w:r w:rsidRPr="00AD0857">
              <w:rPr>
                <w:rFonts w:eastAsiaTheme="minorEastAsia" w:cs="Calibri"/>
                <w:i/>
                <w:color w:val="003C96" w:themeColor="text2"/>
              </w:rPr>
              <w:t>ύ</w:t>
            </w:r>
          </w:p>
        </w:tc>
        <w:tc>
          <w:tcPr>
            <w:tcW w:w="7242" w:type="dxa"/>
            <w:tcMar>
              <w:top w:w="57" w:type="dxa"/>
              <w:bottom w:w="57" w:type="dxa"/>
            </w:tcMar>
          </w:tcPr>
          <w:p w:rsidR="00742B54" w:rsidRDefault="00742B54" w:rsidP="00742B54">
            <w:pPr>
              <w:pStyle w:val="Default"/>
              <w:ind w:left="5"/>
              <w:jc w:val="both"/>
              <w:rPr>
                <w:rFonts w:asciiTheme="minorHAnsi" w:hAnsiTheme="minorHAnsi"/>
                <w:noProof/>
                <w:color w:val="003C96" w:themeColor="text2"/>
                <w:sz w:val="16"/>
                <w:szCs w:val="16"/>
                <w:lang w:eastAsia="el-GR"/>
              </w:rPr>
            </w:pPr>
            <w:r w:rsidRPr="001B126F">
              <w:rPr>
                <w:rFonts w:asciiTheme="minorHAnsi" w:hAnsiTheme="minorHAnsi"/>
                <w:noProof/>
                <w:color w:val="003C96" w:themeColor="text2"/>
                <w:sz w:val="16"/>
                <w:szCs w:val="16"/>
                <w:lang w:eastAsia="el-GR"/>
              </w:rPr>
              <w:t xml:space="preserve">Διαχωρισμός του Ομίλου Πειραιώς σε δύο λειτουργικούς πυλώνες, </w:t>
            </w:r>
            <w:r>
              <w:rPr>
                <w:rFonts w:asciiTheme="minorHAnsi" w:hAnsiTheme="minorHAnsi"/>
                <w:noProof/>
                <w:color w:val="003C96" w:themeColor="text2"/>
                <w:sz w:val="16"/>
                <w:szCs w:val="16"/>
                <w:lang w:eastAsia="el-GR"/>
              </w:rPr>
              <w:t>ώστε να μεγιστοποιηθεί η</w:t>
            </w:r>
            <w:r w:rsidRPr="001B126F">
              <w:rPr>
                <w:rFonts w:asciiTheme="minorHAnsi" w:hAnsiTheme="minorHAnsi"/>
                <w:noProof/>
                <w:color w:val="003C96" w:themeColor="text2"/>
                <w:sz w:val="16"/>
                <w:szCs w:val="16"/>
                <w:lang w:eastAsia="el-GR"/>
              </w:rPr>
              <w:t xml:space="preserve"> αξία των κύριων τραπεζικών μας δραστηριοτήτων </w:t>
            </w:r>
            <w:r>
              <w:rPr>
                <w:rFonts w:asciiTheme="minorHAnsi" w:hAnsiTheme="minorHAnsi"/>
                <w:noProof/>
                <w:color w:val="003C96" w:themeColor="text2"/>
                <w:sz w:val="16"/>
                <w:szCs w:val="16"/>
                <w:lang w:eastAsia="el-GR"/>
              </w:rPr>
              <w:t xml:space="preserve">και να εξαχθεί αξία από τομείς της Τράπεζας προς αποεπένδυση ή εξυγίανση. </w:t>
            </w:r>
            <w:r w:rsidRPr="001B126F">
              <w:rPr>
                <w:rFonts w:asciiTheme="minorHAnsi" w:hAnsiTheme="minorHAnsi"/>
                <w:noProof/>
                <w:color w:val="003C96" w:themeColor="text2"/>
                <w:sz w:val="16"/>
                <w:szCs w:val="16"/>
                <w:lang w:eastAsia="el-GR"/>
              </w:rPr>
              <w:t xml:space="preserve">Επιτάχυνση του ρυθμού υλοποίησης των </w:t>
            </w:r>
            <w:r>
              <w:rPr>
                <w:rFonts w:asciiTheme="minorHAnsi" w:hAnsiTheme="minorHAnsi"/>
                <w:noProof/>
                <w:color w:val="003C96" w:themeColor="text2"/>
                <w:sz w:val="16"/>
                <w:szCs w:val="16"/>
                <w:lang w:eastAsia="el-GR"/>
              </w:rPr>
              <w:t>δεσμεύσεων</w:t>
            </w:r>
            <w:r w:rsidRPr="001B126F">
              <w:rPr>
                <w:rFonts w:asciiTheme="minorHAnsi" w:hAnsiTheme="minorHAnsi"/>
                <w:noProof/>
                <w:color w:val="003C96" w:themeColor="text2"/>
                <w:sz w:val="16"/>
                <w:szCs w:val="16"/>
                <w:lang w:eastAsia="el-GR"/>
              </w:rPr>
              <w:t xml:space="preserve"> του σχεδίου αναδιάρθρωσης και </w:t>
            </w:r>
            <w:r>
              <w:rPr>
                <w:rFonts w:asciiTheme="minorHAnsi" w:hAnsiTheme="minorHAnsi"/>
                <w:noProof/>
                <w:color w:val="003C96" w:themeColor="text2"/>
                <w:sz w:val="16"/>
                <w:szCs w:val="16"/>
                <w:lang w:eastAsia="el-GR"/>
              </w:rPr>
              <w:t>επίλυση</w:t>
            </w:r>
            <w:r w:rsidRPr="001B126F">
              <w:rPr>
                <w:rFonts w:asciiTheme="minorHAnsi" w:hAnsiTheme="minorHAnsi"/>
                <w:noProof/>
                <w:color w:val="003C96" w:themeColor="text2"/>
                <w:sz w:val="16"/>
                <w:szCs w:val="16"/>
                <w:lang w:eastAsia="el-GR"/>
              </w:rPr>
              <w:t xml:space="preserve"> των </w:t>
            </w:r>
            <w:r>
              <w:rPr>
                <w:rFonts w:asciiTheme="minorHAnsi" w:hAnsiTheme="minorHAnsi"/>
                <w:noProof/>
                <w:color w:val="003C96" w:themeColor="text2"/>
                <w:sz w:val="16"/>
                <w:szCs w:val="16"/>
                <w:lang w:eastAsia="el-GR"/>
              </w:rPr>
              <w:t>θεμάτων που σχετίζονται με αποεπένδυση ή εξυγίανση</w:t>
            </w:r>
          </w:p>
          <w:p w:rsidR="00742B54" w:rsidRPr="00744581" w:rsidRDefault="00742B54" w:rsidP="00742B54">
            <w:pPr>
              <w:pStyle w:val="Default"/>
              <w:jc w:val="both"/>
              <w:rPr>
                <w:rFonts w:cstheme="majorHAnsi"/>
                <w:sz w:val="18"/>
                <w:szCs w:val="18"/>
              </w:rPr>
            </w:pPr>
          </w:p>
          <w:p w:rsidR="00742B54" w:rsidRPr="001B126F" w:rsidRDefault="00742B54" w:rsidP="00742B54">
            <w:pPr>
              <w:pStyle w:val="Default"/>
              <w:numPr>
                <w:ilvl w:val="0"/>
                <w:numId w:val="11"/>
              </w:numPr>
              <w:ind w:left="207" w:hanging="142"/>
              <w:jc w:val="both"/>
              <w:rPr>
                <w:rFonts w:cs="Segoe UI"/>
                <w:iCs/>
                <w:color w:val="000000" w:themeColor="text1"/>
                <w:sz w:val="16"/>
                <w:szCs w:val="16"/>
              </w:rPr>
            </w:pP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Ο τομέας 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>«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  <w:lang w:val="en-US"/>
              </w:rPr>
              <w:t>PiraeusLegacyUnit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>» (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  <w:lang w:val="en-US"/>
              </w:rPr>
              <w:t>PLU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) κατέγραψεμείωση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σταθμισμένων στοιχείων ενεργητικού (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  <w:lang w:val="en-US"/>
              </w:rPr>
              <w:t>RWA</w:t>
            </w:r>
            <w:r w:rsidRPr="003D7487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) 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>κατά €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0,6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δ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ι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>σ. σε τριμηνιαία βάση</w:t>
            </w:r>
          </w:p>
          <w:p w:rsidR="00742B54" w:rsidRPr="001B126F" w:rsidRDefault="00742B54" w:rsidP="00742B54">
            <w:pPr>
              <w:pStyle w:val="Default"/>
              <w:numPr>
                <w:ilvl w:val="0"/>
                <w:numId w:val="11"/>
              </w:numPr>
              <w:ind w:left="207" w:hanging="142"/>
              <w:jc w:val="both"/>
              <w:rPr>
                <w:rFonts w:cs="Segoe UI"/>
                <w:iCs/>
                <w:color w:val="000000" w:themeColor="text1"/>
                <w:sz w:val="16"/>
                <w:szCs w:val="16"/>
              </w:rPr>
            </w:pP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lastRenderedPageBreak/>
              <w:t>Για τον Όμιλο Τράπεζα Πειραιώς, μ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είωση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  <w:lang w:val="en-US"/>
              </w:rPr>
              <w:t>NP</w:t>
            </w:r>
            <w:r w:rsidRPr="00744581">
              <w:rPr>
                <w:rFonts w:cs="Segoe UI"/>
                <w:iCs/>
                <w:color w:val="000000" w:themeColor="text1"/>
                <w:sz w:val="16"/>
                <w:szCs w:val="16"/>
              </w:rPr>
              <w:t>Ε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κατά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€0,7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δισ. και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  <w:lang w:val="en-US"/>
              </w:rPr>
              <w:t>NPL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κατά €0,9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δισ. σε τριμηνιαία βάση. Οι στόχοι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της«</w:t>
            </w:r>
            <w:r w:rsidRPr="001B126F">
              <w:rPr>
                <w:rFonts w:asciiTheme="minorHAnsi" w:hAnsiTheme="minorHAnsi" w:cstheme="majorHAnsi"/>
                <w:color w:val="auto"/>
                <w:sz w:val="16"/>
                <w:szCs w:val="16"/>
                <w:lang w:val="en-US"/>
              </w:rPr>
              <w:t>Agenda</w:t>
            </w:r>
            <w:r w:rsidRPr="001B126F">
              <w:rPr>
                <w:rFonts w:asciiTheme="minorHAnsi" w:hAnsiTheme="minorHAnsi" w:cstheme="majorHAnsi"/>
                <w:color w:val="auto"/>
                <w:sz w:val="16"/>
                <w:szCs w:val="16"/>
              </w:rPr>
              <w:t xml:space="preserve"> 2020</w:t>
            </w:r>
            <w:r>
              <w:rPr>
                <w:rFonts w:asciiTheme="minorHAnsi" w:hAnsiTheme="minorHAnsi" w:cstheme="majorHAnsi"/>
                <w:color w:val="auto"/>
                <w:sz w:val="16"/>
                <w:szCs w:val="16"/>
              </w:rPr>
              <w:t xml:space="preserve">»έχουν τεθεί σε επίπεδο χαμηλότερο των €20 δισ. για τα </w:t>
            </w:r>
            <w:r w:rsidRPr="001B126F">
              <w:rPr>
                <w:rFonts w:asciiTheme="minorHAnsi" w:hAnsiTheme="minorHAnsi" w:cstheme="majorHAnsi"/>
                <w:color w:val="auto"/>
                <w:sz w:val="16"/>
                <w:szCs w:val="16"/>
                <w:lang w:val="en-US"/>
              </w:rPr>
              <w:t>NP</w:t>
            </w:r>
            <w:r w:rsidRPr="001B126F">
              <w:rPr>
                <w:rFonts w:asciiTheme="minorHAnsi" w:hAnsiTheme="minorHAnsi" w:cstheme="majorHAnsi"/>
                <w:color w:val="auto"/>
                <w:sz w:val="16"/>
                <w:szCs w:val="16"/>
              </w:rPr>
              <w:t>Ε</w:t>
            </w:r>
            <w:r>
              <w:rPr>
                <w:rFonts w:asciiTheme="minorHAnsi" w:hAnsiTheme="minorHAnsi" w:cstheme="majorHAnsi"/>
                <w:color w:val="auto"/>
                <w:sz w:val="16"/>
                <w:szCs w:val="16"/>
              </w:rPr>
              <w:t xml:space="preserve"> και χαμηλότερο των €10 δισ. γιατα </w:t>
            </w:r>
            <w:r>
              <w:rPr>
                <w:rFonts w:asciiTheme="minorHAnsi" w:hAnsiTheme="minorHAnsi" w:cstheme="majorHAnsi"/>
                <w:color w:val="auto"/>
                <w:sz w:val="16"/>
                <w:szCs w:val="16"/>
                <w:lang w:val="en-US"/>
              </w:rPr>
              <w:t>NPLto</w:t>
            </w:r>
            <w:r>
              <w:rPr>
                <w:rFonts w:asciiTheme="minorHAnsi" w:hAnsiTheme="minorHAnsi" w:cstheme="majorHAnsi"/>
                <w:color w:val="auto"/>
                <w:sz w:val="16"/>
                <w:szCs w:val="16"/>
              </w:rPr>
              <w:t xml:space="preserve"> 2020</w:t>
            </w:r>
          </w:p>
          <w:p w:rsidR="00742B54" w:rsidRDefault="00742B54" w:rsidP="00742B54">
            <w:pPr>
              <w:pStyle w:val="Default"/>
              <w:numPr>
                <w:ilvl w:val="0"/>
                <w:numId w:val="11"/>
              </w:numPr>
              <w:ind w:left="207" w:hanging="142"/>
              <w:jc w:val="both"/>
              <w:rPr>
                <w:rFonts w:cs="Segoe UI"/>
                <w:iCs/>
                <w:color w:val="000000" w:themeColor="text1"/>
                <w:sz w:val="16"/>
                <w:szCs w:val="16"/>
              </w:rPr>
            </w:pP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>Αποεπένδυση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από </w:t>
            </w:r>
            <w:r w:rsidRPr="003D448C">
              <w:rPr>
                <w:color w:val="auto"/>
                <w:sz w:val="16"/>
                <w:szCs w:val="16"/>
              </w:rPr>
              <w:t>AVIS Ελλάς</w:t>
            </w:r>
          </w:p>
          <w:p w:rsidR="00742B54" w:rsidRPr="00EF6407" w:rsidRDefault="00742B54" w:rsidP="00742B54">
            <w:pPr>
              <w:pStyle w:val="Default"/>
              <w:numPr>
                <w:ilvl w:val="0"/>
                <w:numId w:val="11"/>
              </w:numPr>
              <w:ind w:left="207" w:hanging="142"/>
              <w:jc w:val="both"/>
              <w:rPr>
                <w:rFonts w:cs="Segoe UI"/>
                <w:iCs/>
                <w:color w:val="000000" w:themeColor="text1"/>
                <w:sz w:val="16"/>
                <w:szCs w:val="16"/>
              </w:rPr>
            </w:pPr>
            <w:r w:rsidRPr="00EF6407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Αποεπένδυση από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δραστηριότητες</w:t>
            </w:r>
            <w:r w:rsidRPr="00EF6407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στη Σερβία</w:t>
            </w:r>
          </w:p>
          <w:p w:rsidR="00742B54" w:rsidRPr="00EF6407" w:rsidRDefault="00742B54" w:rsidP="00742B54">
            <w:pPr>
              <w:pStyle w:val="Default"/>
              <w:numPr>
                <w:ilvl w:val="0"/>
                <w:numId w:val="11"/>
              </w:numPr>
              <w:ind w:left="207" w:hanging="142"/>
              <w:jc w:val="both"/>
              <w:rPr>
                <w:sz w:val="18"/>
                <w:szCs w:val="18"/>
              </w:rPr>
            </w:pPr>
            <w:r>
              <w:rPr>
                <w:rFonts w:asciiTheme="minorHAnsi" w:hAnsiTheme="minorHAnsi" w:cstheme="majorHAnsi"/>
                <w:color w:val="auto"/>
                <w:sz w:val="16"/>
                <w:szCs w:val="16"/>
              </w:rPr>
              <w:t xml:space="preserve">Δύο δημόσιες δημοπρασίας μέσω </w:t>
            </w:r>
            <w:r w:rsidRPr="001B126F">
              <w:rPr>
                <w:rFonts w:asciiTheme="minorHAnsi" w:hAnsiTheme="minorHAnsi" w:cstheme="majorHAnsi"/>
                <w:color w:val="auto"/>
                <w:sz w:val="16"/>
                <w:szCs w:val="16"/>
              </w:rPr>
              <w:t>διαδικασία</w:t>
            </w:r>
            <w:r>
              <w:rPr>
                <w:rFonts w:asciiTheme="minorHAnsi" w:hAnsiTheme="minorHAnsi" w:cstheme="majorHAnsi"/>
                <w:color w:val="auto"/>
                <w:sz w:val="16"/>
                <w:szCs w:val="16"/>
              </w:rPr>
              <w:t>ς</w:t>
            </w:r>
            <w:r w:rsidRPr="001B126F">
              <w:rPr>
                <w:rFonts w:asciiTheme="minorHAnsi" w:hAnsiTheme="minorHAnsi" w:cstheme="majorHAnsi"/>
                <w:color w:val="auto"/>
                <w:sz w:val="16"/>
                <w:szCs w:val="16"/>
              </w:rPr>
              <w:t xml:space="preserve"> ηλεκτρονικών πλειστηριασμών </w:t>
            </w:r>
            <w:r>
              <w:rPr>
                <w:rFonts w:asciiTheme="minorHAnsi" w:hAnsiTheme="minorHAnsi" w:cstheme="majorHAnsi"/>
                <w:color w:val="auto"/>
                <w:sz w:val="16"/>
                <w:szCs w:val="16"/>
              </w:rPr>
              <w:t>από τηνέα ψηφιακή πύλη της Τράπεζας Πειραιώς</w:t>
            </w:r>
            <w:r w:rsidRPr="001B126F">
              <w:rPr>
                <w:rFonts w:asciiTheme="minorHAnsi" w:hAnsiTheme="minorHAnsi" w:cstheme="majorHAnsi"/>
                <w:color w:val="0000FF"/>
                <w:sz w:val="16"/>
                <w:szCs w:val="16"/>
                <w:u w:val="single"/>
                <w:lang w:val="en-US"/>
              </w:rPr>
              <w:t>www</w:t>
            </w:r>
            <w:r w:rsidRPr="001B126F">
              <w:rPr>
                <w:rFonts w:asciiTheme="minorHAnsi" w:hAnsiTheme="minorHAnsi" w:cstheme="majorHAnsi"/>
                <w:color w:val="0000FF"/>
                <w:sz w:val="16"/>
                <w:szCs w:val="16"/>
                <w:u w:val="single"/>
              </w:rPr>
              <w:t>.</w:t>
            </w:r>
            <w:r w:rsidRPr="001B126F">
              <w:rPr>
                <w:rFonts w:asciiTheme="minorHAnsi" w:hAnsiTheme="minorHAnsi" w:cstheme="majorHAnsi"/>
                <w:color w:val="0000FF"/>
                <w:sz w:val="16"/>
                <w:szCs w:val="16"/>
                <w:u w:val="single"/>
                <w:lang w:val="en-US"/>
              </w:rPr>
              <w:t>properties</w:t>
            </w:r>
            <w:r w:rsidRPr="001B126F">
              <w:rPr>
                <w:rFonts w:asciiTheme="minorHAnsi" w:hAnsiTheme="minorHAnsi" w:cstheme="majorHAnsi"/>
                <w:color w:val="0000FF"/>
                <w:sz w:val="16"/>
                <w:szCs w:val="16"/>
                <w:u w:val="single"/>
              </w:rPr>
              <w:t>4</w:t>
            </w:r>
            <w:r w:rsidRPr="001B126F">
              <w:rPr>
                <w:rFonts w:asciiTheme="minorHAnsi" w:hAnsiTheme="minorHAnsi" w:cstheme="majorHAnsi"/>
                <w:color w:val="0000FF"/>
                <w:sz w:val="16"/>
                <w:szCs w:val="16"/>
                <w:u w:val="single"/>
                <w:lang w:val="en-US"/>
              </w:rPr>
              <w:t>sale</w:t>
            </w:r>
            <w:r w:rsidRPr="001B126F">
              <w:rPr>
                <w:rFonts w:asciiTheme="minorHAnsi" w:hAnsiTheme="minorHAnsi" w:cstheme="majorHAnsi"/>
                <w:color w:val="0000FF"/>
                <w:sz w:val="16"/>
                <w:szCs w:val="16"/>
                <w:u w:val="single"/>
              </w:rPr>
              <w:t>.</w:t>
            </w:r>
            <w:r w:rsidRPr="001B126F">
              <w:rPr>
                <w:rFonts w:asciiTheme="minorHAnsi" w:hAnsiTheme="minorHAnsi" w:cstheme="majorHAnsi"/>
                <w:color w:val="0000FF"/>
                <w:sz w:val="16"/>
                <w:szCs w:val="16"/>
                <w:u w:val="single"/>
                <w:lang w:val="en-US"/>
              </w:rPr>
              <w:t>gr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ολοκληρώθηκε στ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  <w:lang w:val="en-US"/>
              </w:rPr>
              <w:t>o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9μηνο</w:t>
            </w:r>
            <w:r w:rsidRPr="00227701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2017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,</w:t>
            </w:r>
            <w:r w:rsidRPr="00227701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ενώ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έχει</w:t>
            </w:r>
            <w:r w:rsidRPr="00227701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προγραμματισθεί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άλλη 1 δημοπρασίατο 4ο3μηνο και τουλάχιστον 6 αναμένονται το 2018</w:t>
            </w:r>
          </w:p>
          <w:p w:rsidR="00742B54" w:rsidRPr="00744581" w:rsidRDefault="00742B54" w:rsidP="00742B54">
            <w:pPr>
              <w:pStyle w:val="Default"/>
              <w:jc w:val="both"/>
              <w:rPr>
                <w:sz w:val="18"/>
                <w:szCs w:val="18"/>
              </w:rPr>
            </w:pPr>
          </w:p>
        </w:tc>
      </w:tr>
      <w:tr w:rsidR="00742B54" w:rsidRPr="00A05013" w:rsidTr="00742B54">
        <w:trPr>
          <w:trHeight w:val="374"/>
        </w:trPr>
        <w:tc>
          <w:tcPr>
            <w:tcW w:w="1960" w:type="dxa"/>
            <w:shd w:val="clear" w:color="auto" w:fill="auto"/>
            <w:tcMar>
              <w:top w:w="57" w:type="dxa"/>
              <w:bottom w:w="57" w:type="dxa"/>
            </w:tcMar>
          </w:tcPr>
          <w:p w:rsidR="00742B54" w:rsidRPr="00AD0857" w:rsidRDefault="00742B54" w:rsidP="00742B54">
            <w:pPr>
              <w:tabs>
                <w:tab w:val="left" w:pos="8262"/>
              </w:tabs>
              <w:spacing w:after="60"/>
              <w:ind w:left="176" w:right="74"/>
              <w:contextualSpacing/>
              <w:rPr>
                <w:rFonts w:eastAsiaTheme="minorEastAsia" w:cs="Calibri"/>
                <w:i/>
                <w:color w:val="003C96" w:themeColor="text2"/>
              </w:rPr>
            </w:pPr>
            <w:r w:rsidRPr="00AD0857">
              <w:rPr>
                <w:rFonts w:eastAsiaTheme="minorEastAsia" w:cs="Calibri"/>
                <w:i/>
                <w:color w:val="003C96" w:themeColor="text2"/>
              </w:rPr>
              <w:lastRenderedPageBreak/>
              <w:t>Επανεστίαση/</w:t>
            </w:r>
          </w:p>
          <w:p w:rsidR="00742B54" w:rsidRPr="00AD0857" w:rsidRDefault="00742B54" w:rsidP="00742B54">
            <w:pPr>
              <w:tabs>
                <w:tab w:val="left" w:pos="8262"/>
              </w:tabs>
              <w:spacing w:after="60"/>
              <w:ind w:left="177" w:right="74"/>
              <w:contextualSpacing/>
              <w:rPr>
                <w:rFonts w:eastAsiaTheme="minorEastAsia" w:cs="Calibri"/>
                <w:i/>
                <w:color w:val="003C96" w:themeColor="text2"/>
              </w:rPr>
            </w:pPr>
            <w:r w:rsidRPr="00AD0857">
              <w:rPr>
                <w:rFonts w:eastAsiaTheme="minorEastAsia" w:cs="Calibri"/>
                <w:i/>
                <w:color w:val="003C96" w:themeColor="text2"/>
              </w:rPr>
              <w:t>επαναπροσ-διορισμός των δραστηριοτήτων</w:t>
            </w:r>
          </w:p>
        </w:tc>
        <w:tc>
          <w:tcPr>
            <w:tcW w:w="7242" w:type="dxa"/>
            <w:tcMar>
              <w:top w:w="57" w:type="dxa"/>
              <w:bottom w:w="57" w:type="dxa"/>
            </w:tcMar>
          </w:tcPr>
          <w:p w:rsidR="00742B54" w:rsidRDefault="00742B54" w:rsidP="00742B54">
            <w:pPr>
              <w:autoSpaceDE w:val="0"/>
              <w:autoSpaceDN w:val="0"/>
              <w:adjustRightInd w:val="0"/>
              <w:ind w:left="5"/>
              <w:jc w:val="both"/>
              <w:rPr>
                <w:rFonts w:cs="Calibri"/>
                <w:noProof/>
                <w:color w:val="003C96" w:themeColor="text2"/>
                <w:sz w:val="16"/>
                <w:szCs w:val="16"/>
                <w:lang w:eastAsia="el-GR"/>
              </w:rPr>
            </w:pPr>
            <w:r w:rsidRPr="00DA534D">
              <w:rPr>
                <w:rFonts w:cs="Calibri"/>
                <w:noProof/>
                <w:color w:val="003C96" w:themeColor="text2"/>
                <w:sz w:val="16"/>
                <w:szCs w:val="16"/>
                <w:lang w:eastAsia="el-GR"/>
              </w:rPr>
              <w:t>Διενέργεια συνεχούς αναθεώρησης όλων των υφιστάμενων δραστηριοτήτων, με σκοπό να μεγιστοποιηθούν οι πόροι στους τομείς που η Τράπεζα Πειραιώς έχει ιστορικά δεσπόζουσα θέση</w:t>
            </w:r>
          </w:p>
          <w:p w:rsidR="00742B54" w:rsidRPr="00DA534D" w:rsidRDefault="00742B54" w:rsidP="00742B54">
            <w:pPr>
              <w:autoSpaceDE w:val="0"/>
              <w:autoSpaceDN w:val="0"/>
              <w:adjustRightInd w:val="0"/>
              <w:ind w:left="5"/>
              <w:jc w:val="both"/>
              <w:rPr>
                <w:rFonts w:cs="Calibri"/>
                <w:noProof/>
                <w:color w:val="003C96" w:themeColor="text2"/>
                <w:sz w:val="16"/>
                <w:szCs w:val="16"/>
                <w:lang w:eastAsia="el-GR"/>
              </w:rPr>
            </w:pPr>
          </w:p>
          <w:p w:rsidR="00742B54" w:rsidRPr="001B126F" w:rsidRDefault="00742B54" w:rsidP="00742B54">
            <w:pPr>
              <w:pStyle w:val="Default"/>
              <w:numPr>
                <w:ilvl w:val="0"/>
                <w:numId w:val="11"/>
              </w:numPr>
              <w:ind w:left="207" w:hanging="142"/>
              <w:jc w:val="both"/>
              <w:rPr>
                <w:rFonts w:cs="Segoe UI"/>
                <w:iCs/>
                <w:color w:val="000000" w:themeColor="text1"/>
                <w:sz w:val="16"/>
                <w:szCs w:val="16"/>
              </w:rPr>
            </w:pP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>Περαιτέρω εξορθολογισμός του εγχώριου δικτύου καταστημάτων, μείω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ση 32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καταστημάτων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σε σχέση με τον Δεκέμβριο 2016,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με στόχο να μειωθούν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κάτω από 620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έως το τέλος του 2017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και περαιτέρω εξορθολογισμός τους το 2018</w:t>
            </w:r>
          </w:p>
          <w:p w:rsidR="00742B54" w:rsidRPr="005A5929" w:rsidRDefault="00742B54" w:rsidP="00742B5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07" w:hanging="142"/>
              <w:jc w:val="both"/>
              <w:rPr>
                <w:rFonts w:cstheme="majorHAnsi"/>
                <w:sz w:val="16"/>
                <w:szCs w:val="16"/>
              </w:rPr>
            </w:pP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>Επιπρόσθετη βελτιστοποίηση του πλήθους των εργαζομένων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στις εγχώριες δραστηριότητες, </w:t>
            </w:r>
            <w:r w:rsidR="00887A9F" w:rsidRPr="00887A9F">
              <w:rPr>
                <w:rFonts w:cs="Segoe UI"/>
                <w:iCs/>
                <w:color w:val="000000" w:themeColor="text1"/>
                <w:sz w:val="16"/>
                <w:szCs w:val="16"/>
              </w:rPr>
              <w:t>-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215 εργαζόμενοι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σε σχ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έση με τον Δεκέμβριο 2016,ώστε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να διαμορφωθεί σ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το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επίπεδο των 13.200 έως το τέλος του 2017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(ενέργειες σε εξέλιξη)</w:t>
            </w:r>
          </w:p>
          <w:p w:rsidR="00742B54" w:rsidRPr="005A5929" w:rsidRDefault="00742B54" w:rsidP="00742B5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07" w:hanging="142"/>
              <w:jc w:val="both"/>
              <w:rPr>
                <w:rFonts w:cstheme="majorHAnsi"/>
                <w:sz w:val="16"/>
                <w:szCs w:val="16"/>
              </w:rPr>
            </w:pPr>
            <w:r w:rsidRPr="005A5929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Τα λειτουργικά κόστη μειώθηκαν κατά 5%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σε </w:t>
            </w:r>
            <w:r w:rsidRPr="005A5929">
              <w:rPr>
                <w:rFonts w:cs="Segoe UI"/>
                <w:iCs/>
                <w:color w:val="000000" w:themeColor="text1"/>
                <w:sz w:val="16"/>
                <w:szCs w:val="16"/>
              </w:rPr>
              <w:t>ετήσια βάση, ενώ ο δείκτης κόστους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προς έσοδα για το9</w:t>
            </w:r>
            <w:r w:rsidRPr="005A5929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μηνο 2017 βελτιώθηκε σε 51% από 56%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το 9</w:t>
            </w:r>
            <w:r w:rsidRPr="005A5929">
              <w:rPr>
                <w:rFonts w:cs="Segoe UI"/>
                <w:iCs/>
                <w:color w:val="000000" w:themeColor="text1"/>
                <w:sz w:val="16"/>
                <w:szCs w:val="16"/>
              </w:rPr>
              <w:t>μηνο του προηγούμενου έτους, κινούμενος προς το μεσοπρόθεσμο στόχο για &lt;45% το 2020</w:t>
            </w:r>
          </w:p>
          <w:p w:rsidR="00742B54" w:rsidRPr="00A05013" w:rsidRDefault="00742B54" w:rsidP="00742B54">
            <w:pPr>
              <w:pStyle w:val="Default"/>
              <w:numPr>
                <w:ilvl w:val="0"/>
                <w:numId w:val="11"/>
              </w:numPr>
              <w:ind w:left="207" w:hanging="142"/>
              <w:jc w:val="both"/>
              <w:rPr>
                <w:rFonts w:cstheme="majorHAnsi"/>
                <w:sz w:val="16"/>
                <w:szCs w:val="16"/>
              </w:rPr>
            </w:pP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Η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μετακύλιση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των συναλλαγών σε ψηφιακά κανάλια εξυπηρέτησης αποτελεί βασικό παράγοντα για την επίτευξη περαιτέρω μείωσης του κόστους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, με το ρυθμό μετακύλισης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να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κινείται επιτυχώς προςτο στόχο του 86% μέχρι τα τέλη του 2018 (76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%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τον Σεπτέμβριο 2017)</w:t>
            </w:r>
          </w:p>
          <w:p w:rsidR="00742B54" w:rsidRPr="00A05013" w:rsidRDefault="00742B54" w:rsidP="00742B54">
            <w:pPr>
              <w:pStyle w:val="Default"/>
              <w:ind w:left="456"/>
              <w:jc w:val="both"/>
              <w:rPr>
                <w:rFonts w:cstheme="majorHAnsi"/>
                <w:sz w:val="18"/>
                <w:szCs w:val="18"/>
              </w:rPr>
            </w:pPr>
          </w:p>
        </w:tc>
      </w:tr>
      <w:tr w:rsidR="00742B54" w:rsidRPr="007A2F40" w:rsidTr="00742B54">
        <w:trPr>
          <w:trHeight w:val="242"/>
        </w:trPr>
        <w:tc>
          <w:tcPr>
            <w:tcW w:w="1960" w:type="dxa"/>
            <w:tcMar>
              <w:top w:w="57" w:type="dxa"/>
              <w:bottom w:w="57" w:type="dxa"/>
            </w:tcMar>
          </w:tcPr>
          <w:p w:rsidR="00742B54" w:rsidRPr="00AD0857" w:rsidRDefault="00742B54" w:rsidP="00742B54">
            <w:pPr>
              <w:tabs>
                <w:tab w:val="left" w:pos="8262"/>
              </w:tabs>
              <w:spacing w:after="60"/>
              <w:ind w:left="177" w:right="74"/>
              <w:contextualSpacing/>
              <w:rPr>
                <w:rFonts w:eastAsiaTheme="minorEastAsia" w:cs="Calibri"/>
                <w:i/>
                <w:color w:val="003C96" w:themeColor="text2"/>
              </w:rPr>
            </w:pPr>
            <w:r w:rsidRPr="00AD0857">
              <w:rPr>
                <w:rFonts w:eastAsiaTheme="minorEastAsia" w:cs="Calibri"/>
                <w:i/>
                <w:color w:val="003C96" w:themeColor="text2"/>
              </w:rPr>
              <w:t xml:space="preserve">Εφαρμογή ενός κερδοφόρου &amp; αειφόρου επιχειρηματικού μοντέλου </w:t>
            </w:r>
          </w:p>
        </w:tc>
        <w:tc>
          <w:tcPr>
            <w:tcW w:w="7242" w:type="dxa"/>
            <w:tcMar>
              <w:top w:w="57" w:type="dxa"/>
              <w:bottom w:w="57" w:type="dxa"/>
            </w:tcMar>
          </w:tcPr>
          <w:p w:rsidR="00742B54" w:rsidRPr="00F82BE2" w:rsidRDefault="00742B54" w:rsidP="00742B54">
            <w:pPr>
              <w:autoSpaceDE w:val="0"/>
              <w:autoSpaceDN w:val="0"/>
              <w:adjustRightInd w:val="0"/>
              <w:ind w:left="5"/>
              <w:jc w:val="both"/>
              <w:rPr>
                <w:rFonts w:cs="Calibri"/>
                <w:noProof/>
                <w:color w:val="003C96" w:themeColor="text2"/>
                <w:sz w:val="16"/>
                <w:szCs w:val="16"/>
                <w:lang w:eastAsia="el-GR"/>
              </w:rPr>
            </w:pPr>
            <w:r w:rsidRPr="00F82BE2">
              <w:rPr>
                <w:rFonts w:cs="Calibri"/>
                <w:noProof/>
                <w:color w:val="003C96" w:themeColor="text2"/>
                <w:sz w:val="16"/>
                <w:szCs w:val="16"/>
                <w:lang w:eastAsia="el-GR"/>
              </w:rPr>
              <w:t xml:space="preserve">Εφαρμογή ενός βιώσιμου κερδοφόρου επιχειρησιακού μοντέλου, διατηρώντας δεσπόζουσα θέση στη χρηματοδότηση των </w:t>
            </w:r>
            <w:r>
              <w:rPr>
                <w:rFonts w:cs="Calibri"/>
                <w:noProof/>
                <w:color w:val="003C96" w:themeColor="text2"/>
                <w:sz w:val="16"/>
                <w:szCs w:val="16"/>
                <w:lang w:eastAsia="el-GR"/>
              </w:rPr>
              <w:t xml:space="preserve">μεγάλων </w:t>
            </w:r>
            <w:r w:rsidRPr="00F82BE2">
              <w:rPr>
                <w:rFonts w:cs="Calibri"/>
                <w:noProof/>
                <w:color w:val="003C96" w:themeColor="text2"/>
                <w:sz w:val="16"/>
                <w:szCs w:val="16"/>
                <w:lang w:eastAsia="el-GR"/>
              </w:rPr>
              <w:t>επιχειρήσεων, των μεσαίων/μικρών επιχειρήσεων</w:t>
            </w:r>
            <w:r>
              <w:rPr>
                <w:rFonts w:cs="Calibri"/>
                <w:noProof/>
                <w:color w:val="003C96" w:themeColor="text2"/>
                <w:sz w:val="16"/>
                <w:szCs w:val="16"/>
                <w:lang w:eastAsia="el-GR"/>
              </w:rPr>
              <w:t xml:space="preserve"> (ΜΜΕ)</w:t>
            </w:r>
            <w:r w:rsidRPr="00F82BE2">
              <w:rPr>
                <w:rFonts w:cs="Calibri"/>
                <w:noProof/>
                <w:color w:val="003C96" w:themeColor="text2"/>
                <w:sz w:val="16"/>
                <w:szCs w:val="16"/>
                <w:lang w:eastAsia="el-GR"/>
              </w:rPr>
              <w:t xml:space="preserve"> και στην αγροτική τραπεζική, εστιάζοντας σε μεγαλύτερες δυνατότητες πολλαπλής πώλησης, καθώς και σε δραστηριότητες που δημιουργούν προμήθειες</w:t>
            </w:r>
          </w:p>
          <w:p w:rsidR="00742B54" w:rsidRDefault="00742B54" w:rsidP="00742B54">
            <w:pPr>
              <w:pStyle w:val="Default"/>
              <w:numPr>
                <w:ilvl w:val="0"/>
                <w:numId w:val="11"/>
              </w:numPr>
              <w:ind w:left="349" w:hanging="284"/>
              <w:jc w:val="both"/>
              <w:rPr>
                <w:rFonts w:cs="Segoe UI"/>
                <w:iCs/>
                <w:color w:val="000000" w:themeColor="text1"/>
                <w:sz w:val="16"/>
                <w:szCs w:val="16"/>
              </w:rPr>
            </w:pP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Το καθαρό κέρδος του κύριου τραπεζικού πυλώνα «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  <w:lang w:val="en-US"/>
              </w:rPr>
              <w:t>Piraeus</w:t>
            </w:r>
            <w:r w:rsidR="0061681F">
              <w:rPr>
                <w:rFonts w:cs="Segoe UI"/>
                <w:iCs/>
                <w:color w:val="000000" w:themeColor="text1"/>
                <w:sz w:val="16"/>
                <w:szCs w:val="16"/>
                <w:lang w:val="en-US"/>
              </w:rPr>
              <w:t>Core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  <w:lang w:val="en-US"/>
              </w:rPr>
              <w:t>Bank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» διαμορφώθηκε στα €311 εκατ. στο 9μηνο, επιτυγχάνοντας απόδοση εσόδων 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προς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το σύνολο του ενεργητικού 1,1%. Καθαρό ε</w:t>
            </w:r>
            <w:r w:rsidRPr="00311C78">
              <w:rPr>
                <w:rFonts w:cs="Segoe UI"/>
                <w:iCs/>
                <w:color w:val="000000" w:themeColor="text1"/>
                <w:sz w:val="16"/>
                <w:szCs w:val="16"/>
              </w:rPr>
              <w:t>πιτοκιακ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όπεριθώ</w:t>
            </w:r>
            <w:r w:rsidRPr="00311C78">
              <w:rPr>
                <w:rFonts w:cs="Segoe UI"/>
                <w:iCs/>
                <w:color w:val="000000" w:themeColor="text1"/>
                <w:sz w:val="16"/>
                <w:szCs w:val="16"/>
              </w:rPr>
              <w:t>ρ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ι</w:t>
            </w:r>
            <w:r w:rsidRPr="00311C78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ο NIM στις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3</w:t>
            </w:r>
            <w:r w:rsidR="00126F7A" w:rsidRPr="00126F7A">
              <w:rPr>
                <w:rFonts w:cs="Segoe UI"/>
                <w:iCs/>
                <w:color w:val="000000" w:themeColor="text1"/>
                <w:sz w:val="16"/>
                <w:szCs w:val="16"/>
              </w:rPr>
              <w:t>09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μ.β.,έ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>σ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ο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>δ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α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από προμήθειες προς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το σύ</w:t>
            </w:r>
            <w:r w:rsidRPr="001B126F">
              <w:rPr>
                <w:rFonts w:cs="Segoe UI"/>
                <w:iCs/>
                <w:color w:val="000000" w:themeColor="text1"/>
                <w:sz w:val="16"/>
                <w:szCs w:val="16"/>
              </w:rPr>
              <w:t>νολ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ο του ενεργητικούστις 8</w:t>
            </w:r>
            <w:r w:rsidR="00126F7A" w:rsidRPr="00126F7A">
              <w:rPr>
                <w:rFonts w:cs="Segoe UI"/>
                <w:iCs/>
                <w:color w:val="000000" w:themeColor="text1"/>
                <w:sz w:val="16"/>
                <w:szCs w:val="16"/>
              </w:rPr>
              <w:t>7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μ.β.</w:t>
            </w:r>
          </w:p>
          <w:p w:rsidR="00742B54" w:rsidRPr="007A2F40" w:rsidRDefault="00742B54" w:rsidP="00742B54">
            <w:pPr>
              <w:pStyle w:val="Default"/>
              <w:numPr>
                <w:ilvl w:val="0"/>
                <w:numId w:val="11"/>
              </w:numPr>
              <w:ind w:left="349" w:hanging="284"/>
              <w:jc w:val="both"/>
              <w:rPr>
                <w:rFonts w:cs="Segoe UI"/>
                <w:iCs/>
                <w:color w:val="000000" w:themeColor="text1"/>
                <w:sz w:val="16"/>
                <w:szCs w:val="16"/>
              </w:rPr>
            </w:pPr>
            <w:r w:rsidRPr="00F82BE2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Νέα παραγωγή δανείων ελαφρώς καλύτερη για το δανειακό χαρτοφυλάκιο των </w:t>
            </w:r>
            <w:r w:rsidR="00887A9F">
              <w:rPr>
                <w:rFonts w:cs="Segoe UI"/>
                <w:iCs/>
                <w:color w:val="000000" w:themeColor="text1"/>
                <w:sz w:val="16"/>
                <w:szCs w:val="16"/>
              </w:rPr>
              <w:t>επιχειρηματικών δανείων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Το 3ο 3μηνο ο ετησιοποιημένος ρυθμός νέων εκταμιεύσεων δανείων ήταν κατά 30% υψηλότερος του 2016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. Πραγματοποιώντας τη δέσμευση μας να υποστηρίζουμε τις ΜΜΕ, στη διάρκεια του 2018 περίπου €1 δισ. νέας χρηματοδότησης θα γίνει διαθέσιμη για Ελληνικές ΜΜΕ από όλους τους τομείς της οικονομίας</w:t>
            </w:r>
            <w:r>
              <w:rPr>
                <w:sz w:val="16"/>
                <w:szCs w:val="16"/>
              </w:rPr>
              <w:t>. Το 2018 αναμένεται να είναι η πρώτη χρονιά οριακής πιστωτικής επέκτασης (με προσαρμογή για δια</w:t>
            </w:r>
            <w:r w:rsidR="00887A9F">
              <w:rPr>
                <w:sz w:val="16"/>
                <w:szCs w:val="16"/>
              </w:rPr>
              <w:t>γραφές) από την αρχή της κρίσης</w:t>
            </w:r>
          </w:p>
          <w:p w:rsidR="00887A9F" w:rsidRPr="00887A9F" w:rsidRDefault="00742B54" w:rsidP="00887A9F">
            <w:pPr>
              <w:pStyle w:val="Default"/>
              <w:numPr>
                <w:ilvl w:val="0"/>
                <w:numId w:val="11"/>
              </w:numPr>
              <w:ind w:left="349" w:hanging="284"/>
              <w:jc w:val="both"/>
              <w:rPr>
                <w:rFonts w:cstheme="majorHAnsi"/>
                <w:sz w:val="18"/>
                <w:szCs w:val="18"/>
              </w:rPr>
            </w:pPr>
            <w:r w:rsidRPr="007A2F40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Περαιτέρω μείωση της χρηματοδότησης μέσω </w:t>
            </w:r>
            <w:r w:rsidRPr="007A2F40">
              <w:rPr>
                <w:rFonts w:cs="Segoe UI"/>
                <w:iCs/>
                <w:color w:val="000000" w:themeColor="text1"/>
                <w:sz w:val="16"/>
                <w:szCs w:val="16"/>
                <w:lang w:val="en-US"/>
              </w:rPr>
              <w:t>ELA</w:t>
            </w:r>
            <w:r w:rsidRPr="007A2F40">
              <w:rPr>
                <w:rFonts w:cs="Segoe UI"/>
                <w:iCs/>
                <w:color w:val="000000" w:themeColor="text1"/>
                <w:sz w:val="16"/>
                <w:szCs w:val="16"/>
              </w:rPr>
              <w:t>, -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€4</w:t>
            </w:r>
            <w:r w:rsidRPr="007A2F40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δισ.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στο 9</w:t>
            </w:r>
            <w:r w:rsidRPr="007A2F40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μηνο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2017 και -€6</w:t>
            </w:r>
            <w:r w:rsidRPr="007A2F40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δισ.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στο 11μηνο</w:t>
            </w:r>
            <w:r w:rsidRPr="007A2F40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, μεταξύ των βασικών συνιστωσών για την περαιτέρω βελτίωση του </w:t>
            </w:r>
            <w:r w:rsidRPr="007A2F40">
              <w:rPr>
                <w:rFonts w:cs="Segoe UI"/>
                <w:iCs/>
                <w:color w:val="000000" w:themeColor="text1"/>
                <w:sz w:val="16"/>
                <w:szCs w:val="16"/>
                <w:lang w:val="en-US"/>
              </w:rPr>
              <w:t>NIM</w:t>
            </w:r>
            <w:r w:rsidRPr="007A2F40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σε &gt;310 μ.β. έως το 2020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. Η 2</w:t>
            </w:r>
            <w:r w:rsidRPr="00086F81">
              <w:rPr>
                <w:rFonts w:cs="Segoe UI"/>
                <w:iCs/>
                <w:color w:val="000000" w:themeColor="text1"/>
                <w:sz w:val="16"/>
                <w:szCs w:val="16"/>
                <w:vertAlign w:val="superscript"/>
              </w:rPr>
              <w:t>η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μικρότερη εξάρτηση από τον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  <w:lang w:val="en-US"/>
              </w:rPr>
              <w:t>ELA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στην ελληνική αγορά</w:t>
            </w:r>
            <w:r w:rsidR="00887A9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. </w:t>
            </w:r>
          </w:p>
          <w:p w:rsidR="00742B54" w:rsidRPr="007A2F40" w:rsidRDefault="00742B54" w:rsidP="00887A9F">
            <w:pPr>
              <w:pStyle w:val="Default"/>
              <w:numPr>
                <w:ilvl w:val="0"/>
                <w:numId w:val="11"/>
              </w:numPr>
              <w:ind w:left="349" w:hanging="284"/>
              <w:jc w:val="both"/>
              <w:rPr>
                <w:rFonts w:cstheme="majorHAnsi"/>
                <w:sz w:val="18"/>
                <w:szCs w:val="18"/>
              </w:rPr>
            </w:pPr>
            <w:r w:rsidRPr="00311C78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Αύξηση πελατών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σε</w:t>
            </w:r>
            <w:r w:rsidRPr="00311C78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5,1 εκατ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. στην Ελλάδα (+11</w:t>
            </w:r>
            <w:r w:rsidRPr="00311C78">
              <w:rPr>
                <w:rFonts w:cs="Segoe UI"/>
                <w:iCs/>
                <w:color w:val="000000" w:themeColor="text1"/>
                <w:sz w:val="16"/>
                <w:szCs w:val="16"/>
              </w:rPr>
              <w:t>0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χιλ.</w:t>
            </w:r>
            <w:r w:rsidRPr="00311C78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από την αρχή του έτους), με </w:t>
            </w:r>
            <w:r>
              <w:rPr>
                <w:rFonts w:cs="Segoe UI"/>
                <w:iCs/>
                <w:color w:val="000000" w:themeColor="text1"/>
                <w:sz w:val="16"/>
                <w:szCs w:val="16"/>
              </w:rPr>
              <w:t>το δείκτη σταυροειδών πωλήσεων βελτιωμένο σε 3,41 προϊόντα ανά πελάτη</w:t>
            </w:r>
            <w:r w:rsidR="00887A9F">
              <w:rPr>
                <w:rFonts w:cs="Segoe UI"/>
                <w:iCs/>
                <w:color w:val="000000" w:themeColor="text1"/>
                <w:sz w:val="16"/>
                <w:szCs w:val="16"/>
              </w:rPr>
              <w:t xml:space="preserve"> από3,25 στο τέλος του 2016</w:t>
            </w:r>
          </w:p>
        </w:tc>
      </w:tr>
      <w:tr w:rsidR="00742B54" w:rsidRPr="00086F81" w:rsidTr="00742B54">
        <w:trPr>
          <w:trHeight w:val="242"/>
        </w:trPr>
        <w:tc>
          <w:tcPr>
            <w:tcW w:w="1960" w:type="dxa"/>
            <w:tcMar>
              <w:top w:w="57" w:type="dxa"/>
              <w:bottom w:w="57" w:type="dxa"/>
            </w:tcMar>
          </w:tcPr>
          <w:p w:rsidR="00742B54" w:rsidRPr="007A2F40" w:rsidRDefault="00742B54" w:rsidP="00742B54">
            <w:pPr>
              <w:tabs>
                <w:tab w:val="left" w:pos="8262"/>
              </w:tabs>
              <w:spacing w:after="60"/>
              <w:ind w:left="177" w:right="74"/>
              <w:contextualSpacing/>
              <w:rPr>
                <w:rFonts w:eastAsiaTheme="minorEastAsia" w:cs="Calibri"/>
                <w:i/>
                <w:color w:val="003C96" w:themeColor="text2"/>
                <w:sz w:val="24"/>
                <w:szCs w:val="24"/>
              </w:rPr>
            </w:pPr>
          </w:p>
        </w:tc>
        <w:tc>
          <w:tcPr>
            <w:tcW w:w="7242" w:type="dxa"/>
            <w:tcMar>
              <w:top w:w="57" w:type="dxa"/>
              <w:bottom w:w="57" w:type="dxa"/>
            </w:tcMar>
          </w:tcPr>
          <w:p w:rsidR="00742B54" w:rsidRPr="00086F81" w:rsidRDefault="00742B54" w:rsidP="00742B54">
            <w:pPr>
              <w:tabs>
                <w:tab w:val="left" w:pos="8262"/>
              </w:tabs>
              <w:spacing w:before="120" w:line="264" w:lineRule="auto"/>
              <w:ind w:left="142" w:right="93"/>
              <w:contextualSpacing/>
              <w:jc w:val="both"/>
              <w:rPr>
                <w:color w:val="808080" w:themeColor="background1" w:themeShade="80"/>
                <w:sz w:val="13"/>
                <w:szCs w:val="13"/>
              </w:rPr>
            </w:pPr>
            <w:r w:rsidRPr="00B56CFE">
              <w:rPr>
                <w:color w:val="808080" w:themeColor="background1" w:themeShade="80"/>
                <w:sz w:val="13"/>
                <w:szCs w:val="13"/>
              </w:rPr>
              <w:t xml:space="preserve">Οι </w:t>
            </w:r>
            <w:r>
              <w:rPr>
                <w:color w:val="808080" w:themeColor="background1" w:themeShade="80"/>
                <w:sz w:val="13"/>
                <w:szCs w:val="13"/>
              </w:rPr>
              <w:t xml:space="preserve">ενδιάμεσες </w:t>
            </w:r>
            <w:r w:rsidRPr="00B56CFE">
              <w:rPr>
                <w:color w:val="808080" w:themeColor="background1" w:themeShade="80"/>
                <w:sz w:val="13"/>
                <w:szCs w:val="13"/>
              </w:rPr>
              <w:t>ενοποιημένες οικονομικές καταστάσε</w:t>
            </w:r>
            <w:r>
              <w:rPr>
                <w:color w:val="808080" w:themeColor="background1" w:themeShade="80"/>
                <w:sz w:val="13"/>
                <w:szCs w:val="13"/>
              </w:rPr>
              <w:t>ις του Ομίλου Πειραιώς για το 9</w:t>
            </w:r>
            <w:r w:rsidRPr="00B56CFE">
              <w:rPr>
                <w:color w:val="808080" w:themeColor="background1" w:themeShade="80"/>
                <w:sz w:val="13"/>
                <w:szCs w:val="13"/>
              </w:rPr>
              <w:t>μηνο 2017 θα αναρτηθούν στην ιστοσελίδα του Ομίλου (</w:t>
            </w:r>
            <w:hyperlink r:id="rId8" w:history="1">
              <w:r w:rsidRPr="00DC2709">
                <w:rPr>
                  <w:color w:val="0033CC"/>
                  <w:sz w:val="13"/>
                  <w:szCs w:val="13"/>
                  <w:u w:val="single"/>
                </w:rPr>
                <w:t>www.piraeusbankgroup.com</w:t>
              </w:r>
            </w:hyperlink>
            <w:r>
              <w:rPr>
                <w:color w:val="808080" w:themeColor="background1" w:themeShade="80"/>
                <w:sz w:val="13"/>
                <w:szCs w:val="13"/>
              </w:rPr>
              <w:t>) στις 28 Νοεμβρίου</w:t>
            </w:r>
            <w:r w:rsidRPr="00B56CFE">
              <w:rPr>
                <w:color w:val="808080" w:themeColor="background1" w:themeShade="80"/>
                <w:sz w:val="13"/>
                <w:szCs w:val="13"/>
              </w:rPr>
              <w:t xml:space="preserve"> 2017. Στις </w:t>
            </w:r>
            <w:r>
              <w:rPr>
                <w:color w:val="808080" w:themeColor="background1" w:themeShade="80"/>
                <w:sz w:val="13"/>
                <w:szCs w:val="13"/>
              </w:rPr>
              <w:t>ενδιάμεσες οικονομικές καταστάσεις 9</w:t>
            </w:r>
            <w:r w:rsidRPr="00B56CFE">
              <w:rPr>
                <w:color w:val="808080" w:themeColor="background1" w:themeShade="80"/>
                <w:sz w:val="13"/>
                <w:szCs w:val="13"/>
              </w:rPr>
              <w:t>μήνου 2017, όπως και στην</w:t>
            </w:r>
            <w:r>
              <w:rPr>
                <w:color w:val="808080" w:themeColor="background1" w:themeShade="80"/>
                <w:sz w:val="13"/>
                <w:szCs w:val="13"/>
              </w:rPr>
              <w:t xml:space="preserve"> επενδυτική παρουσίαση του 9</w:t>
            </w:r>
            <w:r w:rsidRPr="00B56CFE">
              <w:rPr>
                <w:color w:val="808080" w:themeColor="background1" w:themeShade="80"/>
                <w:sz w:val="13"/>
                <w:szCs w:val="13"/>
              </w:rPr>
              <w:t>μήνου 2017, περιλαμβάνεται πίνακας με τους Εναλλακτικούς Δείκτες Μέτρησης Απόδοσης σύμφωνα με τις οδηγίες της Ευρωπαϊκής Αρχής Κινητών Αξιών &amp; Αγορών.</w:t>
            </w:r>
          </w:p>
          <w:p w:rsidR="00742B54" w:rsidRPr="00086F81" w:rsidRDefault="00742B54" w:rsidP="00742B54">
            <w:pPr>
              <w:pStyle w:val="Default"/>
              <w:jc w:val="both"/>
              <w:rPr>
                <w:rFonts w:asciiTheme="minorHAnsi" w:hAnsiTheme="minorHAnsi"/>
                <w:noProof/>
                <w:color w:val="003C96" w:themeColor="text2"/>
                <w:sz w:val="18"/>
                <w:szCs w:val="18"/>
                <w:lang w:eastAsia="el-GR"/>
              </w:rPr>
            </w:pPr>
          </w:p>
        </w:tc>
      </w:tr>
    </w:tbl>
    <w:p w:rsidR="00B35B2A" w:rsidRDefault="00B35B2A" w:rsidP="00E0021F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B5582" w:themeColor="accent1" w:themeShade="BF"/>
          <w:sz w:val="32"/>
          <w:szCs w:val="32"/>
        </w:rPr>
      </w:pPr>
    </w:p>
    <w:p w:rsidR="00E0021F" w:rsidRPr="0058533F" w:rsidRDefault="0058533F" w:rsidP="00E0021F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B5582" w:themeColor="accent1" w:themeShade="BF"/>
          <w:sz w:val="32"/>
          <w:szCs w:val="32"/>
        </w:rPr>
      </w:pPr>
      <w:r w:rsidRPr="0058533F">
        <w:rPr>
          <w:rFonts w:asciiTheme="majorHAnsi" w:eastAsiaTheme="majorEastAsia" w:hAnsiTheme="majorHAnsi" w:cstheme="majorBidi"/>
          <w:color w:val="2B5582" w:themeColor="accent1" w:themeShade="BF"/>
          <w:sz w:val="32"/>
          <w:szCs w:val="32"/>
        </w:rPr>
        <w:t>Επιλεγμ</w:t>
      </w:r>
      <w:r>
        <w:rPr>
          <w:rFonts w:asciiTheme="majorHAnsi" w:eastAsiaTheme="majorEastAsia" w:hAnsiTheme="majorHAnsi" w:cstheme="majorBidi"/>
          <w:color w:val="2B5582" w:themeColor="accent1" w:themeShade="BF"/>
          <w:sz w:val="32"/>
          <w:szCs w:val="32"/>
        </w:rPr>
        <w:t>ένα Στοιχεία Ομίλου Τράπεζας Πειραιώς</w:t>
      </w:r>
    </w:p>
    <w:tbl>
      <w:tblPr>
        <w:tblpPr w:leftFromText="180" w:rightFromText="180" w:vertAnchor="text" w:horzAnchor="margin" w:tblpY="60"/>
        <w:tblW w:w="5279" w:type="pct"/>
        <w:shd w:val="clear" w:color="auto" w:fill="EDEBE5"/>
        <w:tblLayout w:type="fixed"/>
        <w:tblCellMar>
          <w:left w:w="113" w:type="dxa"/>
          <w:right w:w="113" w:type="dxa"/>
        </w:tblCellMar>
        <w:tblLook w:val="00A0"/>
      </w:tblPr>
      <w:tblGrid>
        <w:gridCol w:w="3609"/>
        <w:gridCol w:w="984"/>
        <w:gridCol w:w="984"/>
        <w:gridCol w:w="986"/>
        <w:gridCol w:w="952"/>
        <w:gridCol w:w="954"/>
      </w:tblGrid>
      <w:tr w:rsidR="00A3188F" w:rsidRPr="00AF272C" w:rsidTr="00995BB2">
        <w:trPr>
          <w:trHeight w:val="419"/>
        </w:trPr>
        <w:tc>
          <w:tcPr>
            <w:tcW w:w="2131" w:type="pct"/>
            <w:tcBorders>
              <w:top w:val="single" w:sz="4" w:space="0" w:color="003C96" w:themeColor="text2"/>
              <w:left w:val="single" w:sz="4" w:space="0" w:color="003C96" w:themeColor="text2"/>
              <w:bottom w:val="single" w:sz="4" w:space="0" w:color="003C96" w:themeColor="text2"/>
            </w:tcBorders>
            <w:shd w:val="clear" w:color="auto" w:fill="003C96" w:themeFill="text2"/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jc w:val="both"/>
              <w:rPr>
                <w:rFonts w:eastAsiaTheme="minorEastAsia" w:cs="Calibri"/>
                <w:b/>
                <w:color w:val="FFFFFF" w:themeColor="background1"/>
                <w:sz w:val="16"/>
                <w:szCs w:val="16"/>
              </w:rPr>
            </w:pPr>
            <w:r w:rsidRPr="00052821"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>Ενοποιημένα Στοιχεία  (ποσά σε € εκατ</w:t>
            </w:r>
            <w:r w:rsidR="0058533F"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>.</w:t>
            </w:r>
            <w:r w:rsidRPr="00052821"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581" w:type="pct"/>
            <w:tcBorders>
              <w:top w:val="single" w:sz="4" w:space="0" w:color="003C96" w:themeColor="text2"/>
              <w:bottom w:val="single" w:sz="4" w:space="0" w:color="003C96" w:themeColor="text2"/>
            </w:tcBorders>
            <w:shd w:val="clear" w:color="auto" w:fill="003C96" w:themeFill="text2"/>
            <w:vAlign w:val="center"/>
          </w:tcPr>
          <w:p w:rsidR="00A3188F" w:rsidRPr="00086F81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FFFFFF" w:themeColor="background1"/>
                <w:sz w:val="16"/>
                <w:szCs w:val="16"/>
              </w:rPr>
            </w:pPr>
            <w:r w:rsidRPr="00086F81"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>30.09.17</w:t>
            </w:r>
          </w:p>
        </w:tc>
        <w:tc>
          <w:tcPr>
            <w:tcW w:w="581" w:type="pct"/>
            <w:tcBorders>
              <w:top w:val="single" w:sz="4" w:space="0" w:color="003C96" w:themeColor="text2"/>
              <w:bottom w:val="single" w:sz="4" w:space="0" w:color="003C96" w:themeColor="text2"/>
            </w:tcBorders>
            <w:shd w:val="clear" w:color="auto" w:fill="003C96" w:themeFill="text2"/>
            <w:vAlign w:val="center"/>
          </w:tcPr>
          <w:p w:rsidR="00A3188F" w:rsidRPr="00086F81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FFFFFF" w:themeColor="background1"/>
                <w:sz w:val="16"/>
                <w:szCs w:val="16"/>
              </w:rPr>
            </w:pPr>
            <w:r w:rsidRPr="00086F81"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>30.06.17</w:t>
            </w:r>
          </w:p>
        </w:tc>
        <w:tc>
          <w:tcPr>
            <w:tcW w:w="582" w:type="pct"/>
            <w:tcBorders>
              <w:top w:val="single" w:sz="4" w:space="0" w:color="003C96" w:themeColor="text2"/>
              <w:bottom w:val="single" w:sz="4" w:space="0" w:color="003C96" w:themeColor="text2"/>
              <w:right w:val="single" w:sz="18" w:space="0" w:color="FFC000"/>
            </w:tcBorders>
            <w:shd w:val="clear" w:color="auto" w:fill="003C96" w:themeFill="text2"/>
            <w:vAlign w:val="center"/>
          </w:tcPr>
          <w:p w:rsidR="00A3188F" w:rsidRPr="00086F81" w:rsidRDefault="00A3188F" w:rsidP="00A3188F">
            <w:pPr>
              <w:tabs>
                <w:tab w:val="left" w:pos="284"/>
              </w:tabs>
              <w:spacing w:after="0"/>
              <w:jc w:val="center"/>
              <w:rPr>
                <w:rFonts w:eastAsiaTheme="minorEastAsia" w:cs="Calibri"/>
                <w:b/>
                <w:color w:val="FFFFFF" w:themeColor="background1"/>
                <w:sz w:val="16"/>
                <w:szCs w:val="16"/>
              </w:rPr>
            </w:pPr>
            <w:r w:rsidRPr="00086F81"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>30.09.16</w:t>
            </w:r>
          </w:p>
        </w:tc>
        <w:tc>
          <w:tcPr>
            <w:tcW w:w="562" w:type="pct"/>
            <w:tcBorders>
              <w:top w:val="single" w:sz="4" w:space="0" w:color="003C96" w:themeColor="text2"/>
              <w:left w:val="single" w:sz="18" w:space="0" w:color="FFC000"/>
              <w:bottom w:val="single" w:sz="4" w:space="0" w:color="003C96" w:themeColor="text2"/>
            </w:tcBorders>
            <w:shd w:val="clear" w:color="auto" w:fill="003C96" w:themeFill="text2"/>
            <w:vAlign w:val="center"/>
          </w:tcPr>
          <w:p w:rsidR="00A3188F" w:rsidRPr="00A41214" w:rsidRDefault="00A3188F" w:rsidP="00A41214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FFFFFF" w:themeColor="background1"/>
                <w:sz w:val="16"/>
                <w:szCs w:val="16"/>
              </w:rPr>
            </w:pPr>
            <w:r w:rsidRPr="00E0021F"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>Δ</w:t>
            </w:r>
            <w:r w:rsidR="00887A9F" w:rsidRPr="00887A9F"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>q-o-q</w:t>
            </w:r>
          </w:p>
        </w:tc>
        <w:tc>
          <w:tcPr>
            <w:tcW w:w="563" w:type="pct"/>
            <w:tcBorders>
              <w:top w:val="single" w:sz="4" w:space="0" w:color="003C96" w:themeColor="text2"/>
              <w:bottom w:val="single" w:sz="4" w:space="0" w:color="003C96" w:themeColor="text2"/>
            </w:tcBorders>
            <w:shd w:val="clear" w:color="auto" w:fill="003C96" w:themeFill="text2"/>
            <w:vAlign w:val="center"/>
          </w:tcPr>
          <w:p w:rsidR="00A3188F" w:rsidRPr="009245BF" w:rsidRDefault="00A3188F" w:rsidP="00887A9F">
            <w:pPr>
              <w:tabs>
                <w:tab w:val="left" w:pos="284"/>
              </w:tabs>
              <w:spacing w:after="0"/>
              <w:jc w:val="center"/>
              <w:rPr>
                <w:rFonts w:eastAsiaTheme="minorEastAsia" w:cs="Calibri"/>
                <w:b/>
                <w:color w:val="FFFFFF" w:themeColor="background1"/>
                <w:sz w:val="16"/>
                <w:szCs w:val="16"/>
              </w:rPr>
            </w:pPr>
            <w:r w:rsidRPr="00E0021F"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>Δ</w:t>
            </w:r>
            <w:r w:rsidR="00887A9F" w:rsidRPr="00887A9F"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>y-o-y</w:t>
            </w:r>
          </w:p>
        </w:tc>
      </w:tr>
      <w:tr w:rsidR="00A3188F" w:rsidRPr="00B701B0" w:rsidTr="00C237F6">
        <w:trPr>
          <w:trHeight w:val="406"/>
        </w:trPr>
        <w:tc>
          <w:tcPr>
            <w:tcW w:w="2131" w:type="pct"/>
            <w:tcBorders>
              <w:top w:val="single" w:sz="4" w:space="0" w:color="003C96" w:themeColor="text2"/>
              <w:left w:val="single" w:sz="4" w:space="0" w:color="FFC000"/>
            </w:tcBorders>
            <w:shd w:val="clear" w:color="auto" w:fill="DCDCD7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both"/>
              <w:rPr>
                <w:rFonts w:eastAsiaTheme="minorEastAsia" w:cs="Calibri"/>
                <w:b/>
                <w:color w:val="003C96" w:themeColor="text2"/>
                <w:sz w:val="16"/>
                <w:szCs w:val="16"/>
                <w:lang w:val="en-US"/>
              </w:rPr>
            </w:pPr>
            <w:r w:rsidRPr="008F185F">
              <w:rPr>
                <w:rFonts w:ascii="Calibri" w:eastAsiaTheme="minorEastAsia" w:hAnsi="Calibri" w:cs="Calibri"/>
                <w:b/>
                <w:color w:val="003C96" w:themeColor="text2"/>
                <w:sz w:val="16"/>
                <w:szCs w:val="16"/>
              </w:rPr>
              <w:t>Επιλεγμένα Μεγέθη Ισολογισμού</w:t>
            </w:r>
            <w:r w:rsidRPr="005C7A36">
              <w:rPr>
                <w:rFonts w:ascii="Calibri" w:eastAsiaTheme="minorEastAsia" w:hAnsi="Calibri" w:cs="Calibri"/>
                <w:b/>
                <w:color w:val="003C96" w:themeColor="text2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581" w:type="pct"/>
            <w:tcBorders>
              <w:top w:val="single" w:sz="4" w:space="0" w:color="003C96" w:themeColor="text2"/>
            </w:tcBorders>
            <w:shd w:val="clear" w:color="auto" w:fill="DCDCD7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81" w:type="pct"/>
            <w:tcBorders>
              <w:top w:val="single" w:sz="4" w:space="0" w:color="003C96" w:themeColor="text2"/>
            </w:tcBorders>
            <w:shd w:val="clear" w:color="auto" w:fill="DCDCD7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82" w:type="pct"/>
            <w:tcBorders>
              <w:top w:val="single" w:sz="4" w:space="0" w:color="003C96" w:themeColor="text2"/>
              <w:right w:val="single" w:sz="18" w:space="0" w:color="FFC000"/>
            </w:tcBorders>
            <w:shd w:val="clear" w:color="auto" w:fill="DCDCD7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center"/>
              <w:rPr>
                <w:rFonts w:eastAsiaTheme="minorEastAsia" w:cs="Calibri"/>
                <w:b/>
                <w:i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62" w:type="pct"/>
            <w:tcBorders>
              <w:top w:val="single" w:sz="4" w:space="0" w:color="003C96" w:themeColor="text2"/>
              <w:left w:val="single" w:sz="18" w:space="0" w:color="FFC000"/>
            </w:tcBorders>
            <w:shd w:val="clear" w:color="auto" w:fill="DCDCD7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63" w:type="pct"/>
            <w:tcBorders>
              <w:top w:val="single" w:sz="4" w:space="0" w:color="003C96" w:themeColor="text2"/>
            </w:tcBorders>
            <w:shd w:val="clear" w:color="auto" w:fill="DCDCD7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center"/>
              <w:rPr>
                <w:rFonts w:eastAsiaTheme="minorEastAsia" w:cs="Calibri"/>
                <w:b/>
                <w:color w:val="003C96" w:themeColor="text2"/>
                <w:sz w:val="16"/>
                <w:szCs w:val="16"/>
                <w:lang w:val="en-US"/>
              </w:rPr>
            </w:pPr>
          </w:p>
        </w:tc>
      </w:tr>
      <w:tr w:rsidR="00A3188F" w:rsidRPr="00B701B0" w:rsidTr="00EC4FD0">
        <w:trPr>
          <w:trHeight w:val="63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  <w:lang w:val="en-US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  <w:lang w:val="en-US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  <w:lang w:val="en-US"/>
              </w:rPr>
            </w:pP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i/>
                <w:sz w:val="10"/>
                <w:szCs w:val="16"/>
                <w:lang w:val="en-US"/>
              </w:rPr>
            </w:pP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  <w:lang w:val="en-US"/>
              </w:rPr>
            </w:pP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  <w:lang w:val="en-US"/>
              </w:rPr>
            </w:pPr>
          </w:p>
        </w:tc>
      </w:tr>
      <w:tr w:rsidR="00A3188F" w:rsidRPr="00AF272C" w:rsidTr="00B701B0">
        <w:trPr>
          <w:trHeight w:val="303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rPr>
                <w:rFonts w:eastAsiaTheme="minorEastAsia" w:cs="Calibri"/>
                <w:b/>
                <w:sz w:val="16"/>
                <w:szCs w:val="16"/>
                <w:lang w:val="en-GB"/>
              </w:rPr>
            </w:pPr>
            <w:r w:rsidRPr="00D436A8">
              <w:rPr>
                <w:rFonts w:ascii="Calibri" w:eastAsiaTheme="minorEastAsia" w:hAnsi="Calibri" w:cs="Calibri"/>
                <w:b/>
                <w:sz w:val="16"/>
                <w:szCs w:val="16"/>
              </w:rPr>
              <w:t>Ενεργητικό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GB"/>
              </w:rPr>
              <w:t>68</w:t>
            </w:r>
            <w:r w:rsidR="003F6AAC"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GB"/>
              </w:rPr>
              <w:t>174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GB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GB"/>
              </w:rPr>
              <w:t>73</w:t>
            </w:r>
            <w:r w:rsidR="003F6AAC"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GB"/>
              </w:rPr>
              <w:t>918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GB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GB"/>
              </w:rPr>
              <w:t>82</w:t>
            </w:r>
            <w:r w:rsidR="003F6AAC">
              <w:rPr>
                <w:rFonts w:eastAsiaTheme="minorEastAsia" w:cs="Calibri"/>
                <w:b/>
                <w:sz w:val="16"/>
                <w:szCs w:val="16"/>
              </w:rPr>
              <w:t>.</w:t>
            </w:r>
            <w:r>
              <w:rPr>
                <w:rFonts w:eastAsiaTheme="minorEastAsia" w:cs="Calibri"/>
                <w:b/>
                <w:sz w:val="16"/>
                <w:szCs w:val="16"/>
                <w:lang w:val="en-GB"/>
              </w:rPr>
              <w:t>639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-8%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-18%</w:t>
            </w:r>
          </w:p>
        </w:tc>
      </w:tr>
      <w:tr w:rsidR="00A3188F" w:rsidRPr="00E0021F" w:rsidTr="00B701B0">
        <w:trPr>
          <w:trHeight w:val="303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rPr>
                <w:rFonts w:eastAsiaTheme="minorEastAsia" w:cs="Calibri"/>
                <w:b/>
                <w:sz w:val="16"/>
                <w:szCs w:val="16"/>
                <w:lang w:val="en-GB"/>
              </w:rPr>
            </w:pPr>
            <w:r w:rsidRPr="00D436A8">
              <w:rPr>
                <w:rFonts w:ascii="Calibri" w:eastAsiaTheme="minorEastAsia" w:hAnsi="Calibri" w:cs="Calibri"/>
                <w:b/>
                <w:sz w:val="16"/>
                <w:szCs w:val="16"/>
              </w:rPr>
              <w:t>Καταθέσεις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41</w:t>
            </w:r>
            <w:r w:rsidR="003F6AAC"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822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GB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40</w:t>
            </w:r>
            <w:r w:rsidR="003F6AAC"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918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9245B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39</w:t>
            </w:r>
            <w:r w:rsidR="003F6AAC">
              <w:rPr>
                <w:rFonts w:eastAsiaTheme="minorEastAsia" w:cs="Calibri"/>
                <w:b/>
                <w:sz w:val="16"/>
                <w:szCs w:val="16"/>
              </w:rPr>
              <w:t>.</w:t>
            </w:r>
            <w:r w:rsidR="00932BB8">
              <w:rPr>
                <w:rFonts w:eastAsiaTheme="minorEastAsia" w:cs="Calibri"/>
                <w:b/>
                <w:sz w:val="16"/>
                <w:szCs w:val="16"/>
              </w:rPr>
              <w:t>462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2%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932BB8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</w:rPr>
              <w:t>6</w:t>
            </w:r>
            <w:r w:rsidR="00A3188F">
              <w:rPr>
                <w:rFonts w:eastAsiaTheme="minorEastAsia" w:cs="Calibri"/>
                <w:b/>
                <w:sz w:val="16"/>
                <w:szCs w:val="16"/>
                <w:lang w:val="en-US"/>
              </w:rPr>
              <w:t>%</w:t>
            </w:r>
          </w:p>
        </w:tc>
      </w:tr>
      <w:tr w:rsidR="00A3188F" w:rsidRPr="00E0021F" w:rsidTr="00B701B0">
        <w:trPr>
          <w:trHeight w:val="303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D9450D" w:rsidRDefault="00A3188F" w:rsidP="00A3188F">
            <w:pPr>
              <w:tabs>
                <w:tab w:val="left" w:pos="284"/>
              </w:tabs>
              <w:spacing w:after="0" w:line="240" w:lineRule="auto"/>
              <w:ind w:right="-201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 w:rsidRPr="00D436A8"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  <w:lastRenderedPageBreak/>
              <w:t xml:space="preserve">Δάνεια προ Προβλέψεων 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61</w:t>
            </w:r>
            <w:r w:rsidR="003F6AAC"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035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62</w:t>
            </w:r>
            <w:r w:rsidR="003F6AAC"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048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9245B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65</w:t>
            </w:r>
            <w:r w:rsidR="003F6AAC">
              <w:rPr>
                <w:rFonts w:eastAsiaTheme="minorEastAsia" w:cs="Calibri"/>
                <w:b/>
                <w:sz w:val="16"/>
                <w:szCs w:val="16"/>
              </w:rPr>
              <w:t>.</w:t>
            </w:r>
            <w:r w:rsidR="00932BB8">
              <w:rPr>
                <w:rFonts w:eastAsiaTheme="minorEastAsia" w:cs="Calibri"/>
                <w:b/>
                <w:sz w:val="16"/>
                <w:szCs w:val="16"/>
              </w:rPr>
              <w:t>011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-2%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B47088" w:rsidRDefault="00A3188F" w:rsidP="00A41214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-</w:t>
            </w:r>
            <w:r w:rsidR="00932BB8">
              <w:rPr>
                <w:rFonts w:eastAsiaTheme="minorEastAsia" w:cs="Calibri"/>
                <w:b/>
                <w:sz w:val="16"/>
                <w:szCs w:val="16"/>
              </w:rPr>
              <w:t>6</w:t>
            </w: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%</w:t>
            </w:r>
          </w:p>
        </w:tc>
      </w:tr>
      <w:tr w:rsidR="00A3188F" w:rsidRPr="00E0021F" w:rsidTr="00B701B0">
        <w:trPr>
          <w:trHeight w:val="303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rPr>
                <w:rFonts w:eastAsiaTheme="minorEastAsia" w:cs="Calibri"/>
                <w:b/>
                <w:sz w:val="16"/>
                <w:szCs w:val="16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  <w:lang w:val="en-GB"/>
              </w:rPr>
              <w:t>Σωρευμένες Προβλέψεις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15</w:t>
            </w:r>
            <w:r w:rsidR="003F6AAC"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372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highlight w:val="yellow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15</w:t>
            </w:r>
            <w:r w:rsidR="003F6AAC"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685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B23D70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17</w:t>
            </w:r>
            <w:r w:rsidR="003F6AAC">
              <w:rPr>
                <w:rFonts w:eastAsiaTheme="minorEastAsia" w:cs="Calibri"/>
                <w:b/>
                <w:sz w:val="16"/>
                <w:szCs w:val="16"/>
              </w:rPr>
              <w:t>.</w:t>
            </w:r>
            <w:r w:rsidR="00B23D70">
              <w:rPr>
                <w:rFonts w:eastAsiaTheme="minorEastAsia" w:cs="Calibri"/>
                <w:b/>
                <w:sz w:val="16"/>
                <w:szCs w:val="16"/>
              </w:rPr>
              <w:t>025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-2%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7A79A5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-10%</w:t>
            </w:r>
          </w:p>
        </w:tc>
      </w:tr>
      <w:tr w:rsidR="00A3188F" w:rsidRPr="00E0021F" w:rsidTr="00B701B0">
        <w:trPr>
          <w:trHeight w:val="303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rPr>
                <w:rFonts w:eastAsiaTheme="minorEastAsia" w:cs="Calibri"/>
                <w:b/>
                <w:sz w:val="16"/>
                <w:szCs w:val="16"/>
                <w:lang w:val="en-GB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  <w:lang w:val="en-GB"/>
              </w:rPr>
              <w:t>Σύνολο Ιδίων Κεφαλαίων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9</w:t>
            </w:r>
            <w:r w:rsidR="003F6AAC"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724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9</w:t>
            </w:r>
            <w:r w:rsidR="003F6AAC"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748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937B8E" w:rsidRDefault="00A3188F" w:rsidP="003F6AAC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9</w:t>
            </w:r>
            <w:r w:rsidR="003F6AAC">
              <w:rPr>
                <w:rFonts w:eastAsiaTheme="minorEastAsia" w:cs="Calibri"/>
                <w:b/>
                <w:sz w:val="16"/>
                <w:szCs w:val="16"/>
              </w:rPr>
              <w:t>.</w:t>
            </w: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964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0%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A24715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-2%</w:t>
            </w:r>
          </w:p>
        </w:tc>
      </w:tr>
      <w:tr w:rsidR="00A3188F" w:rsidRPr="00E0021F" w:rsidTr="00EC4FD0">
        <w:trPr>
          <w:trHeight w:val="63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937B8E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A24715" w:rsidRDefault="00A3188F" w:rsidP="00A3188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</w:p>
        </w:tc>
      </w:tr>
      <w:tr w:rsidR="00A3188F" w:rsidRPr="00E0021F" w:rsidTr="00995BB2">
        <w:trPr>
          <w:trHeight w:val="419"/>
        </w:trPr>
        <w:tc>
          <w:tcPr>
            <w:tcW w:w="2131" w:type="pct"/>
            <w:tcBorders>
              <w:left w:val="single" w:sz="4" w:space="0" w:color="FFC000"/>
            </w:tcBorders>
            <w:shd w:val="clear" w:color="auto" w:fill="DCDCD7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both"/>
              <w:rPr>
                <w:rFonts w:eastAsiaTheme="minorEastAsia" w:cs="Calibri"/>
                <w:b/>
                <w:color w:val="003C96" w:themeColor="text2"/>
                <w:sz w:val="16"/>
                <w:szCs w:val="16"/>
                <w:lang w:val="en-GB"/>
              </w:rPr>
            </w:pPr>
            <w:r w:rsidRPr="00D436A8">
              <w:rPr>
                <w:rFonts w:ascii="Calibri" w:eastAsiaTheme="minorEastAsia" w:hAnsi="Calibri" w:cs="Calibri"/>
                <w:b/>
                <w:color w:val="003C96" w:themeColor="text2"/>
                <w:sz w:val="16"/>
                <w:szCs w:val="16"/>
                <w:lang w:val="en-GB"/>
              </w:rPr>
              <w:t>Επιλεγμένα Αποτελέσματα</w:t>
            </w:r>
            <w:r>
              <w:rPr>
                <w:rFonts w:ascii="Calibri" w:eastAsiaTheme="minorEastAsia" w:hAnsi="Calibri" w:cs="Calibri"/>
                <w:b/>
                <w:color w:val="003C96" w:themeColor="text2"/>
                <w:sz w:val="16"/>
                <w:szCs w:val="16"/>
                <w:vertAlign w:val="superscript"/>
              </w:rPr>
              <w:t xml:space="preserve"> 2</w:t>
            </w:r>
          </w:p>
        </w:tc>
        <w:tc>
          <w:tcPr>
            <w:tcW w:w="581" w:type="pct"/>
            <w:shd w:val="clear" w:color="auto" w:fill="DCDCD7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center"/>
              <w:rPr>
                <w:rFonts w:eastAsiaTheme="minorEastAsia" w:cs="Calibri"/>
                <w:b/>
                <w:color w:val="003C96" w:themeColor="text2"/>
                <w:sz w:val="16"/>
                <w:szCs w:val="16"/>
                <w:lang w:val="en-GB"/>
              </w:rPr>
            </w:pPr>
            <w:r>
              <w:rPr>
                <w:rFonts w:eastAsiaTheme="minorEastAsia" w:cs="Calibri"/>
                <w:b/>
                <w:color w:val="003C96" w:themeColor="text2"/>
                <w:sz w:val="16"/>
                <w:szCs w:val="16"/>
                <w:lang w:val="en-GB"/>
              </w:rPr>
              <w:t>Q3 2017</w:t>
            </w:r>
          </w:p>
        </w:tc>
        <w:tc>
          <w:tcPr>
            <w:tcW w:w="581" w:type="pct"/>
            <w:shd w:val="clear" w:color="auto" w:fill="DCDCD7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16"/>
                <w:szCs w:val="16"/>
                <w:lang w:val="en-GB"/>
              </w:rPr>
            </w:pPr>
            <w:r>
              <w:rPr>
                <w:rFonts w:ascii="Calibri" w:eastAsiaTheme="minorEastAsia" w:hAnsi="Calibri" w:cs="Calibri"/>
                <w:b/>
                <w:color w:val="003C96" w:themeColor="text2"/>
                <w:sz w:val="16"/>
                <w:szCs w:val="16"/>
                <w:lang w:val="en-GB"/>
              </w:rPr>
              <w:t>Q2 2017</w:t>
            </w:r>
          </w:p>
        </w:tc>
        <w:tc>
          <w:tcPr>
            <w:tcW w:w="582" w:type="pct"/>
            <w:tcBorders>
              <w:right w:val="single" w:sz="18" w:space="0" w:color="FFC000"/>
            </w:tcBorders>
            <w:shd w:val="clear" w:color="auto" w:fill="DCDCD7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center"/>
              <w:rPr>
                <w:rFonts w:eastAsiaTheme="minorEastAsia" w:cs="Calibri"/>
                <w:b/>
                <w:color w:val="003C96" w:themeColor="text2"/>
                <w:sz w:val="16"/>
                <w:szCs w:val="16"/>
                <w:lang w:val="en-GB"/>
              </w:rPr>
            </w:pPr>
            <w:r>
              <w:rPr>
                <w:rFonts w:eastAsiaTheme="minorEastAsia" w:cs="Calibri"/>
                <w:b/>
                <w:color w:val="003C96" w:themeColor="text2"/>
                <w:sz w:val="16"/>
                <w:szCs w:val="16"/>
                <w:lang w:val="en-GB"/>
              </w:rPr>
              <w:t>Q3 2016</w:t>
            </w:r>
          </w:p>
        </w:tc>
        <w:tc>
          <w:tcPr>
            <w:tcW w:w="562" w:type="pct"/>
            <w:tcBorders>
              <w:left w:val="single" w:sz="18" w:space="0" w:color="FFC000"/>
            </w:tcBorders>
            <w:shd w:val="clear" w:color="auto" w:fill="DCDCD7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16"/>
                <w:szCs w:val="16"/>
                <w:lang w:val="en-GB"/>
              </w:rPr>
            </w:pPr>
            <w:r w:rsidRPr="00E0021F">
              <w:rPr>
                <w:rFonts w:ascii="Calibri" w:eastAsiaTheme="minorEastAsia" w:hAnsi="Calibri" w:cs="Calibri"/>
                <w:b/>
                <w:color w:val="003C96" w:themeColor="text2"/>
                <w:sz w:val="16"/>
                <w:szCs w:val="16"/>
              </w:rPr>
              <w:t xml:space="preserve">Δ </w:t>
            </w:r>
            <w:r>
              <w:rPr>
                <w:rFonts w:ascii="Calibri" w:eastAsiaTheme="minorEastAsia" w:hAnsi="Calibri" w:cs="Calibri"/>
                <w:b/>
                <w:color w:val="003C96" w:themeColor="text2"/>
                <w:sz w:val="16"/>
                <w:szCs w:val="16"/>
                <w:lang w:val="en-US"/>
              </w:rPr>
              <w:t>q-o-q</w:t>
            </w:r>
          </w:p>
        </w:tc>
        <w:tc>
          <w:tcPr>
            <w:tcW w:w="563" w:type="pct"/>
            <w:shd w:val="clear" w:color="auto" w:fill="DCDCD7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16"/>
                <w:szCs w:val="16"/>
              </w:rPr>
            </w:pPr>
            <w:r w:rsidRPr="00E0021F">
              <w:rPr>
                <w:rFonts w:ascii="Calibri" w:eastAsiaTheme="minorEastAsia" w:hAnsi="Calibri" w:cs="Calibri"/>
                <w:b/>
                <w:color w:val="003C96" w:themeColor="text2"/>
                <w:sz w:val="16"/>
                <w:szCs w:val="16"/>
              </w:rPr>
              <w:t xml:space="preserve">Δ </w:t>
            </w:r>
            <w:r>
              <w:rPr>
                <w:rFonts w:ascii="Calibri" w:eastAsiaTheme="minorEastAsia" w:hAnsi="Calibri" w:cs="Calibri"/>
                <w:b/>
                <w:color w:val="003C96" w:themeColor="text2"/>
                <w:sz w:val="16"/>
                <w:szCs w:val="16"/>
                <w:lang w:val="en-US"/>
              </w:rPr>
              <w:t>y-o-y</w:t>
            </w:r>
          </w:p>
        </w:tc>
      </w:tr>
      <w:tr w:rsidR="00A3188F" w:rsidRPr="00E0021F" w:rsidTr="00DC5425">
        <w:trPr>
          <w:trHeight w:val="142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0"/>
                <w:szCs w:val="16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</w:rPr>
            </w:pP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10"/>
                <w:szCs w:val="16"/>
              </w:rPr>
            </w:pP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</w:rPr>
            </w:pP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</w:rPr>
            </w:pPr>
          </w:p>
        </w:tc>
      </w:tr>
      <w:tr w:rsidR="00A3188F" w:rsidRPr="00E0021F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  <w:lang w:val="en-GB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  <w:lang w:val="en-GB"/>
              </w:rPr>
              <w:t>Καθαρά Έσοδα Τόκων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431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436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A3188F" w:rsidRPr="00C9691C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452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-1%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-5%</w:t>
            </w:r>
          </w:p>
        </w:tc>
      </w:tr>
      <w:tr w:rsidR="00A3188F" w:rsidRPr="00E0021F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  <w:lang w:val="en-GB"/>
              </w:rPr>
              <w:t>Καθαρά Έσοδα Προμηθειών</w:t>
            </w:r>
            <w:r w:rsidRPr="00407248">
              <w:rPr>
                <w:rFonts w:ascii="Calibri" w:eastAsiaTheme="minorEastAsia" w:hAnsi="Calibri" w:cs="Calibri"/>
                <w:b/>
                <w:sz w:val="16"/>
                <w:szCs w:val="16"/>
                <w:vertAlign w:val="superscript"/>
                <w:lang w:val="en-GB"/>
              </w:rPr>
              <w:t>3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127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82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82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54%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55%</w:t>
            </w:r>
          </w:p>
        </w:tc>
      </w:tr>
      <w:tr w:rsidR="00A3188F" w:rsidRPr="00E0021F" w:rsidTr="0058533F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tcMar>
              <w:right w:w="113" w:type="dxa"/>
            </w:tcMar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rPr>
                <w:rFonts w:ascii="Calibri" w:eastAsiaTheme="minorEastAsia" w:hAnsi="Calibri" w:cs="Calibri"/>
                <w:b/>
                <w:sz w:val="16"/>
                <w:szCs w:val="16"/>
              </w:rPr>
            </w:pPr>
            <w:r>
              <w:rPr>
                <w:rFonts w:ascii="Calibri" w:eastAsiaTheme="minorEastAsia" w:hAnsi="Calibri" w:cs="Calibri"/>
                <w:b/>
                <w:sz w:val="16"/>
                <w:szCs w:val="16"/>
              </w:rPr>
              <w:t>Βασικά Τραπεζικά Έσοδα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</w:pPr>
            <w:r w:rsidRPr="00A3188F"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  <w:t>558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</w:pPr>
            <w:r w:rsidRPr="00A3188F"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  <w:t>518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CD172" w:themeFill="accent4" w:themeFillTint="99"/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</w:pPr>
            <w:r w:rsidRPr="00A3188F"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  <w:t>53</w:t>
            </w:r>
            <w:r w:rsidR="00932BB8">
              <w:rPr>
                <w:rFonts w:ascii="Calibri" w:eastAsiaTheme="minorEastAsia" w:hAnsi="Calibri" w:cs="Calibri"/>
                <w:b/>
                <w:sz w:val="16"/>
                <w:szCs w:val="16"/>
              </w:rPr>
              <w:t>3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</w:pPr>
            <w:r w:rsidRPr="00A3188F"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  <w:t>8%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</w:pPr>
            <w:r w:rsidRPr="00A3188F"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  <w:t>5%</w:t>
            </w:r>
          </w:p>
        </w:tc>
      </w:tr>
      <w:tr w:rsidR="00A3188F" w:rsidRPr="00E0021F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</w:rPr>
              <w:t>Αποτελέσματα Εμπορ. &amp; Επενδ.Χαρ/κίου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17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28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10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-40%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74%</w:t>
            </w:r>
          </w:p>
        </w:tc>
      </w:tr>
      <w:tr w:rsidR="00A3188F" w:rsidRPr="00E0021F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  <w:lang w:val="en-GB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  <w:lang w:val="en-GB"/>
              </w:rPr>
              <w:t xml:space="preserve">Λοιπά </w:t>
            </w:r>
            <w:r w:rsidRPr="00A3188F"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  <w:t>Λειτουργικά</w:t>
            </w:r>
            <w:r w:rsidRPr="00D436A8">
              <w:rPr>
                <w:rFonts w:eastAsiaTheme="minorEastAsia" w:cs="Calibri"/>
                <w:b/>
                <w:sz w:val="16"/>
                <w:szCs w:val="16"/>
                <w:lang w:val="en-GB"/>
              </w:rPr>
              <w:t xml:space="preserve">Έσοδα </w:t>
            </w:r>
            <w:r>
              <w:rPr>
                <w:rFonts w:eastAsiaTheme="minorEastAsia" w:cs="Calibri"/>
                <w:b/>
                <w:sz w:val="16"/>
                <w:szCs w:val="16"/>
                <w:vertAlign w:val="superscript"/>
              </w:rPr>
              <w:t>4</w:t>
            </w:r>
            <w:r w:rsidRPr="00D436A8">
              <w:rPr>
                <w:rFonts w:eastAsiaTheme="minorEastAsia" w:cs="Calibri"/>
                <w:b/>
                <w:sz w:val="16"/>
                <w:szCs w:val="16"/>
                <w:lang w:val="en-GB"/>
              </w:rPr>
              <w:t>&amp; Μερίσματα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FD031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</w:rPr>
              <w:t>8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29776C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37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A3188F" w:rsidRPr="00FD031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E0846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</w:rPr>
              <w:t>-78%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E0846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</w:rPr>
              <w:t>&gt;100%</w:t>
            </w:r>
          </w:p>
        </w:tc>
      </w:tr>
      <w:tr w:rsidR="00A3188F" w:rsidRPr="00E0021F" w:rsidTr="00EC4FD0">
        <w:trPr>
          <w:trHeight w:val="63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color w:val="003C96" w:themeColor="text2"/>
                <w:sz w:val="4"/>
                <w:szCs w:val="4"/>
                <w:lang w:val="en-US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4"/>
                <w:szCs w:val="4"/>
                <w:lang w:val="en-US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4"/>
                <w:szCs w:val="4"/>
                <w:lang w:val="en-US"/>
              </w:rPr>
            </w:pP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4"/>
                <w:szCs w:val="4"/>
                <w:lang w:val="en-US"/>
              </w:rPr>
            </w:pP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4"/>
                <w:szCs w:val="4"/>
                <w:lang w:val="en-US"/>
              </w:rPr>
            </w:pP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4"/>
                <w:szCs w:val="4"/>
                <w:lang w:val="en-US"/>
              </w:rPr>
            </w:pPr>
          </w:p>
        </w:tc>
      </w:tr>
      <w:tr w:rsidR="00A3188F" w:rsidRPr="00E0021F" w:rsidTr="00EC4FD0">
        <w:trPr>
          <w:trHeight w:val="63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rPr>
                <w:rFonts w:ascii="Calibri" w:eastAsiaTheme="minorEastAsia" w:hAnsi="Calibri" w:cs="Calibri"/>
                <w:b/>
                <w:sz w:val="4"/>
                <w:szCs w:val="4"/>
                <w:lang w:val="en-US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4"/>
                <w:szCs w:val="4"/>
                <w:lang w:val="en-US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4"/>
                <w:szCs w:val="4"/>
                <w:lang w:val="en-US"/>
              </w:rPr>
            </w:pP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4"/>
                <w:szCs w:val="4"/>
                <w:lang w:val="en-US"/>
              </w:rPr>
            </w:pP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4"/>
                <w:szCs w:val="4"/>
                <w:lang w:val="en-US"/>
              </w:rPr>
            </w:pP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4"/>
                <w:szCs w:val="4"/>
                <w:lang w:val="en-US"/>
              </w:rPr>
            </w:pPr>
          </w:p>
        </w:tc>
      </w:tr>
      <w:tr w:rsidR="00A3188F" w:rsidRPr="00E0021F" w:rsidTr="0058533F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tcMar>
              <w:right w:w="113" w:type="dxa"/>
            </w:tcMar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  <w:lang w:val="en-US"/>
              </w:rPr>
              <w:t>Σύνολο Καθαρών Λειτουργικών Εσόδων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FD031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</w:rPr>
            </w:pPr>
            <w:r>
              <w:rPr>
                <w:rFonts w:eastAsiaTheme="minorEastAsia" w:cs="Calibri"/>
                <w:b/>
                <w:sz w:val="16"/>
                <w:szCs w:val="16"/>
              </w:rPr>
              <w:t>583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29776C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584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CD172" w:themeFill="accent4" w:themeFillTint="99"/>
            <w:vAlign w:val="center"/>
          </w:tcPr>
          <w:p w:rsidR="00A3188F" w:rsidRPr="00FD031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544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</w:rPr>
              <w:t>0</w:t>
            </w: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</w:rPr>
              <w:t>7</w:t>
            </w: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%</w:t>
            </w:r>
          </w:p>
        </w:tc>
      </w:tr>
      <w:tr w:rsidR="00A3188F" w:rsidRPr="00DD066D" w:rsidTr="00EC4FD0">
        <w:trPr>
          <w:trHeight w:val="63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DD066D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DD066D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DD066D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DD066D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rPr>
                <w:rFonts w:ascii="Calibri" w:eastAsiaTheme="minorEastAsia" w:hAnsi="Calibri" w:cs="Calibri"/>
                <w:b/>
                <w:sz w:val="16"/>
                <w:szCs w:val="16"/>
                <w:lang w:val="en-GB"/>
              </w:rPr>
            </w:pP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DD066D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highlight w:val="yellow"/>
                <w:lang w:val="en-US"/>
              </w:rPr>
            </w:pPr>
          </w:p>
        </w:tc>
      </w:tr>
      <w:tr w:rsidR="00A3188F" w:rsidRPr="00DD066D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DD066D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  <w:lang w:val="en-US"/>
              </w:rPr>
              <w:t>Δαπάνες Προσωπικού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sz w:val="16"/>
                <w:szCs w:val="16"/>
              </w:rPr>
              <w:t>139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(143)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color w:val="000000" w:themeColor="text1"/>
                <w:sz w:val="16"/>
                <w:szCs w:val="16"/>
              </w:rPr>
              <w:t>138</w:t>
            </w: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</w:rPr>
              <w:t>-3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</w:rPr>
              <w:t>1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A3188F" w:rsidRPr="00DD066D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DD066D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  <w:lang w:val="en-US"/>
              </w:rPr>
              <w:t>Γενικά Διοικητικά Έξοδα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(123)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(123)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(13</w:t>
            </w:r>
            <w:r>
              <w:rPr>
                <w:rFonts w:eastAsiaTheme="minorEastAsia" w:cs="Calibri"/>
                <w:color w:val="000000" w:themeColor="text1"/>
                <w:sz w:val="16"/>
                <w:szCs w:val="16"/>
              </w:rPr>
              <w:t>7</w:t>
            </w: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</w:rPr>
              <w:t>0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  <w:r>
              <w:rPr>
                <w:rFonts w:eastAsiaTheme="minorEastAsia" w:cs="Calibri"/>
                <w:sz w:val="16"/>
                <w:szCs w:val="16"/>
              </w:rPr>
              <w:t>10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A3188F" w:rsidRPr="00E0021F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  <w:lang w:val="en-US"/>
              </w:rPr>
              <w:t>Αποσβέσεις</w:t>
            </w:r>
            <w:r>
              <w:rPr>
                <w:rFonts w:eastAsiaTheme="minorEastAsia" w:cs="Calibri"/>
                <w:b/>
                <w:sz w:val="16"/>
                <w:szCs w:val="16"/>
              </w:rPr>
              <w:t xml:space="preserve"> και Λοιπά Έξοδα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(2</w:t>
            </w:r>
            <w:r>
              <w:rPr>
                <w:rFonts w:eastAsiaTheme="minorEastAsia" w:cs="Calibri"/>
                <w:sz w:val="16"/>
                <w:szCs w:val="16"/>
              </w:rPr>
              <w:t>6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29776C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(25)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(26)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4%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</w:rPr>
              <w:t>0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A3188F" w:rsidRPr="00E0021F" w:rsidTr="00DC5425">
        <w:trPr>
          <w:trHeight w:val="87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i/>
                <w:sz w:val="16"/>
                <w:szCs w:val="16"/>
                <w:lang w:val="en-GB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highlight w:val="yellow"/>
              </w:rPr>
            </w:pPr>
          </w:p>
        </w:tc>
      </w:tr>
      <w:tr w:rsidR="00A3188F" w:rsidRPr="00E0021F" w:rsidTr="0058533F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tcMar>
              <w:right w:w="113" w:type="dxa"/>
            </w:tcMar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</w:rPr>
              <w:t>Σύνολο Λειτουργικών Εξόδων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(2</w:t>
            </w:r>
            <w:r>
              <w:rPr>
                <w:rFonts w:eastAsiaTheme="minorEastAsia" w:cs="Calibri"/>
                <w:b/>
                <w:sz w:val="16"/>
                <w:szCs w:val="16"/>
              </w:rPr>
              <w:t>88</w:t>
            </w: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(292)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CD172" w:themeFill="accent4" w:themeFillTint="99"/>
            <w:vAlign w:val="center"/>
          </w:tcPr>
          <w:p w:rsidR="00A3188F" w:rsidRPr="00B47088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(30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</w:rPr>
              <w:t>-</w:t>
            </w: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1%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C44245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-</w:t>
            </w:r>
            <w:r>
              <w:rPr>
                <w:rFonts w:eastAsiaTheme="minorEastAsia" w:cs="Calibri"/>
                <w:b/>
                <w:sz w:val="16"/>
                <w:szCs w:val="16"/>
              </w:rPr>
              <w:t>4</w:t>
            </w: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%</w:t>
            </w:r>
          </w:p>
        </w:tc>
      </w:tr>
      <w:tr w:rsidR="00A3188F" w:rsidRPr="00E0021F" w:rsidTr="00DC5425">
        <w:trPr>
          <w:trHeight w:val="63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</w:rPr>
            </w:pP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53255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16"/>
                <w:szCs w:val="16"/>
              </w:rPr>
            </w:pP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3255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16"/>
                <w:szCs w:val="16"/>
              </w:rPr>
            </w:pP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3255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 w:themeColor="text2"/>
                <w:sz w:val="16"/>
                <w:szCs w:val="16"/>
              </w:rPr>
            </w:pPr>
          </w:p>
        </w:tc>
      </w:tr>
      <w:tr w:rsidR="00A3188F" w:rsidRPr="00E0021F" w:rsidTr="0058533F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tcMar>
              <w:right w:w="113" w:type="dxa"/>
            </w:tcMar>
            <w:vAlign w:val="bottom"/>
          </w:tcPr>
          <w:p w:rsidR="00A3188F" w:rsidRPr="00E0021F" w:rsidRDefault="00C66EA9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</w:rPr>
            </w:pPr>
            <w:r>
              <w:rPr>
                <w:rFonts w:ascii="Calibri" w:eastAsiaTheme="minorEastAsia" w:hAnsi="Calibri" w:cs="Calibri"/>
                <w:b/>
                <w:sz w:val="16"/>
                <w:szCs w:val="16"/>
              </w:rPr>
              <w:t>Κέρδη προ Φόρων &amp; Προβλέψεων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FD031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29</w:t>
            </w:r>
            <w:r>
              <w:rPr>
                <w:rFonts w:eastAsiaTheme="minorEastAsia" w:cs="Calibri"/>
                <w:b/>
                <w:sz w:val="16"/>
                <w:szCs w:val="16"/>
              </w:rPr>
              <w:t>4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99751C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292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CD172" w:themeFill="accent4" w:themeFillTint="99"/>
            <w:vAlign w:val="center"/>
          </w:tcPr>
          <w:p w:rsidR="00A3188F" w:rsidRPr="00FD031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242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</w:rPr>
              <w:t>1</w:t>
            </w: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CD172" w:themeFill="accent4" w:themeFillTint="99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</w:rPr>
              <w:t>22</w:t>
            </w:r>
            <w:r>
              <w:rPr>
                <w:rFonts w:eastAsiaTheme="minorEastAsia" w:cs="Calibri"/>
                <w:b/>
                <w:sz w:val="16"/>
                <w:szCs w:val="16"/>
                <w:lang w:val="en-US"/>
              </w:rPr>
              <w:t>%</w:t>
            </w:r>
          </w:p>
        </w:tc>
      </w:tr>
      <w:tr w:rsidR="00A3188F" w:rsidRPr="00E0021F" w:rsidTr="00DC5425">
        <w:trPr>
          <w:trHeight w:val="87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0"/>
                <w:szCs w:val="16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</w:rPr>
            </w:pP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10"/>
                <w:szCs w:val="16"/>
                <w:highlight w:val="yellow"/>
              </w:rPr>
            </w:pP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  <w:highlight w:val="yellow"/>
              </w:rPr>
            </w:pP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10"/>
                <w:szCs w:val="16"/>
              </w:rPr>
            </w:pPr>
          </w:p>
        </w:tc>
      </w:tr>
      <w:tr w:rsidR="00C66EA9" w:rsidRPr="00E0021F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C66EA9" w:rsidRPr="00E0021F" w:rsidRDefault="00C66EA9" w:rsidP="00C66EA9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</w:rPr>
              <w:t>Απομείωση Αξίας Δανείων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C66EA9" w:rsidRPr="00B47088" w:rsidRDefault="00C66EA9" w:rsidP="00C66EA9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sz w:val="16"/>
                <w:szCs w:val="16"/>
              </w:rPr>
              <w:t>312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C66EA9" w:rsidRPr="00E0021F" w:rsidRDefault="00C66EA9" w:rsidP="00C66EA9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(259)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C66EA9" w:rsidRPr="00E0021F" w:rsidRDefault="00C66EA9" w:rsidP="00C66EA9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color w:val="000000" w:themeColor="text1"/>
                <w:sz w:val="16"/>
                <w:szCs w:val="16"/>
              </w:rPr>
              <w:t>210</w:t>
            </w: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C66EA9" w:rsidRPr="00E0021F" w:rsidRDefault="00C66EA9" w:rsidP="00C66EA9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</w:rPr>
              <w:t>20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C66EA9" w:rsidRPr="00E0021F" w:rsidRDefault="00C66EA9" w:rsidP="00C66EA9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</w:rPr>
              <w:t>49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A3188F" w:rsidRPr="00E0021F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834199" w:rsidRDefault="00C66EA9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ascii="Calibri" w:eastAsiaTheme="minorEastAsia" w:hAnsi="Calibri" w:cs="Calibri"/>
                <w:b/>
                <w:sz w:val="16"/>
                <w:szCs w:val="16"/>
                <w:lang w:val="en-US"/>
              </w:rPr>
              <w:t>Λοιπ</w:t>
            </w:r>
            <w:r>
              <w:rPr>
                <w:rFonts w:ascii="Calibri" w:eastAsiaTheme="minorEastAsia" w:hAnsi="Calibri" w:cs="Calibri"/>
                <w:b/>
                <w:sz w:val="16"/>
                <w:szCs w:val="16"/>
              </w:rPr>
              <w:t>ές Προβλέψεις</w:t>
            </w:r>
            <w:r w:rsidR="00A3188F" w:rsidRPr="00834199">
              <w:rPr>
                <w:rFonts w:ascii="Calibri" w:eastAsiaTheme="minorEastAsia" w:hAnsi="Calibri" w:cs="Calibri"/>
                <w:b/>
                <w:sz w:val="16"/>
                <w:szCs w:val="16"/>
                <w:vertAlign w:val="superscript"/>
                <w:lang w:val="en-US"/>
              </w:rPr>
              <w:t>4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sz w:val="16"/>
                <w:szCs w:val="16"/>
              </w:rPr>
              <w:t>9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(18)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color w:val="000000" w:themeColor="text1"/>
                <w:sz w:val="16"/>
                <w:szCs w:val="16"/>
              </w:rPr>
              <w:t>17</w:t>
            </w: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</w:rPr>
              <w:t>-53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  <w:r>
              <w:rPr>
                <w:rFonts w:eastAsiaTheme="minorEastAsia" w:cs="Calibri"/>
                <w:sz w:val="16"/>
                <w:szCs w:val="16"/>
              </w:rPr>
              <w:t>49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A3188F" w:rsidRPr="00E0021F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C66EA9" w:rsidRDefault="00C66EA9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</w:rPr>
            </w:pPr>
            <w:r>
              <w:rPr>
                <w:rFonts w:ascii="Calibri" w:eastAsiaTheme="minorEastAsia" w:hAnsi="Calibri" w:cs="Calibri"/>
                <w:b/>
                <w:sz w:val="16"/>
                <w:szCs w:val="16"/>
              </w:rPr>
              <w:t xml:space="preserve">Έσοδα Συμμετοχών σε Συγγενείς 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834199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</w:rPr>
              <w:t>4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(19)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834199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</w:rPr>
              <w:t>16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834199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</w:rPr>
              <w:t>-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  <w:r>
              <w:rPr>
                <w:rFonts w:eastAsiaTheme="minorEastAsia" w:cs="Calibri"/>
                <w:sz w:val="16"/>
                <w:szCs w:val="16"/>
              </w:rPr>
              <w:t>77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A3188F" w:rsidRPr="00E0021F" w:rsidTr="00EC4FD0">
        <w:trPr>
          <w:trHeight w:val="122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EC4FD0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4"/>
                <w:szCs w:val="4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C4FD0" w:rsidDel="005B246A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4"/>
                <w:szCs w:val="4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C4FD0" w:rsidDel="005B246A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4"/>
                <w:szCs w:val="4"/>
              </w:rPr>
            </w:pP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EC4FD0" w:rsidDel="005B246A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4"/>
                <w:szCs w:val="4"/>
              </w:rPr>
            </w:pP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C4FD0" w:rsidDel="005B246A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4"/>
                <w:szCs w:val="4"/>
              </w:rPr>
            </w:pP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C4FD0" w:rsidDel="005B246A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sz w:val="4"/>
                <w:szCs w:val="4"/>
              </w:rPr>
            </w:pPr>
          </w:p>
        </w:tc>
      </w:tr>
      <w:tr w:rsidR="00A3188F" w:rsidRPr="00E0021F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19645B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</w:pP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  <w:t>Αποτελέσματα προ Φόρων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19645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</w:pP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  <w:t>(</w:t>
            </w: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</w:rPr>
              <w:t>22</w:t>
            </w: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  <w:t>)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19645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</w:pP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  <w:t>(5)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A3188F" w:rsidRPr="0019645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/>
                <w:sz w:val="16"/>
                <w:szCs w:val="16"/>
              </w:rPr>
            </w:pP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</w:rPr>
              <w:t>32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19645B" w:rsidDel="005B246A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</w:pP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  <w:t>-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19645B" w:rsidDel="005B246A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</w:pP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  <w:t>-</w:t>
            </w:r>
          </w:p>
        </w:tc>
      </w:tr>
      <w:tr w:rsidR="00A3188F" w:rsidRPr="00E0021F" w:rsidTr="00EC4FD0">
        <w:trPr>
          <w:trHeight w:val="127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color w:val="000000" w:themeColor="text1"/>
                <w:sz w:val="4"/>
                <w:szCs w:val="4"/>
                <w:lang w:val="en-US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4"/>
                <w:szCs w:val="4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4"/>
                <w:szCs w:val="4"/>
              </w:rPr>
            </w:pP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4"/>
                <w:szCs w:val="4"/>
                <w:lang w:val="en-US"/>
              </w:rPr>
            </w:pP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4"/>
                <w:szCs w:val="4"/>
                <w:lang w:val="en-US"/>
              </w:rPr>
            </w:pP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4"/>
                <w:szCs w:val="4"/>
              </w:rPr>
            </w:pPr>
          </w:p>
        </w:tc>
      </w:tr>
      <w:tr w:rsidR="00A3188F" w:rsidRPr="00E0021F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 w:rsidRPr="0058533F"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Φόρος Εισοδήματος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</w:rPr>
            </w:pPr>
            <w:r w:rsidRPr="0058533F">
              <w:rPr>
                <w:rFonts w:eastAsiaTheme="minorEastAsia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 w:rsidRPr="0058533F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10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</w:rPr>
            </w:pPr>
            <w:r w:rsidRPr="0058533F">
              <w:rPr>
                <w:rFonts w:eastAsiaTheme="minorEastAsia" w:cs="Calibri"/>
                <w:color w:val="000000" w:themeColor="text1"/>
                <w:sz w:val="16"/>
                <w:szCs w:val="16"/>
              </w:rPr>
              <w:t>(7)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 w:rsidRPr="0058533F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 w:rsidRPr="0058533F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-</w:t>
            </w:r>
          </w:p>
        </w:tc>
      </w:tr>
      <w:tr w:rsidR="00A3188F" w:rsidRPr="00E0021F" w:rsidTr="00EC4FD0">
        <w:trPr>
          <w:trHeight w:val="147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color w:val="000000" w:themeColor="text1"/>
                <w:sz w:val="4"/>
                <w:szCs w:val="4"/>
                <w:lang w:val="en-US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4"/>
                <w:szCs w:val="4"/>
              </w:rPr>
            </w:pP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4"/>
                <w:szCs w:val="4"/>
              </w:rPr>
            </w:pP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4"/>
                <w:szCs w:val="4"/>
                <w:lang w:val="en-US"/>
              </w:rPr>
            </w:pP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4"/>
                <w:szCs w:val="4"/>
              </w:rPr>
            </w:pP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58533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0000" w:themeColor="text1"/>
                <w:sz w:val="4"/>
                <w:szCs w:val="4"/>
              </w:rPr>
            </w:pPr>
          </w:p>
        </w:tc>
      </w:tr>
      <w:tr w:rsidR="00A3188F" w:rsidRPr="00D22682" w:rsidTr="00995BB2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19645B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color w:val="003C96"/>
                <w:sz w:val="16"/>
                <w:szCs w:val="16"/>
              </w:rPr>
            </w:pP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</w:rPr>
              <w:t>Αποτέλεσμα Μετόχων Συνεχ. Δραστ/τες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19645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/>
                <w:sz w:val="16"/>
                <w:szCs w:val="16"/>
              </w:rPr>
            </w:pP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</w:rPr>
              <w:t>(19)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19645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</w:pP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  <w:t>7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19645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/>
                <w:sz w:val="16"/>
                <w:szCs w:val="16"/>
              </w:rPr>
            </w:pP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</w:rPr>
              <w:t>27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19645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</w:pP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  <w:t>-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19645B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</w:pPr>
            <w:r w:rsidRPr="0019645B">
              <w:rPr>
                <w:rFonts w:eastAsiaTheme="minorEastAsia" w:cs="Calibri"/>
                <w:b/>
                <w:color w:val="003C96"/>
                <w:sz w:val="16"/>
                <w:szCs w:val="16"/>
                <w:lang w:val="en-US"/>
              </w:rPr>
              <w:t>-</w:t>
            </w:r>
          </w:p>
        </w:tc>
      </w:tr>
      <w:tr w:rsidR="00A3188F" w:rsidRPr="00D22682" w:rsidTr="002A0DB3">
        <w:trPr>
          <w:trHeight w:val="280"/>
        </w:trPr>
        <w:tc>
          <w:tcPr>
            <w:tcW w:w="213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rPr>
                <w:rFonts w:ascii="Calibri" w:eastAsiaTheme="minorEastAsia" w:hAnsi="Calibri" w:cs="Calibri"/>
                <w:b/>
                <w:sz w:val="16"/>
                <w:szCs w:val="16"/>
              </w:rPr>
            </w:pPr>
            <w:r w:rsidRPr="002C55BE"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ΔικαιώματαΜειοψηφίαςΣυνεχ. Δρασ</w:t>
            </w: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τ</w:t>
            </w:r>
            <w:r w:rsidRPr="002C55BE"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/τες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19645B" w:rsidRDefault="0019645B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</w:rPr>
              <w:t>(</w:t>
            </w:r>
            <w:r w:rsidR="00A3188F">
              <w:rPr>
                <w:rFonts w:eastAsiaTheme="minorEastAsia" w:cs="Calibri"/>
                <w:sz w:val="16"/>
                <w:szCs w:val="16"/>
                <w:lang w:val="en-US"/>
              </w:rPr>
              <w:t>1</w:t>
            </w:r>
            <w:r>
              <w:rPr>
                <w:rFonts w:eastAsiaTheme="minorEastAsia" w:cs="Calibri"/>
                <w:sz w:val="16"/>
                <w:szCs w:val="16"/>
              </w:rPr>
              <w:t>)</w:t>
            </w:r>
          </w:p>
        </w:tc>
        <w:tc>
          <w:tcPr>
            <w:tcW w:w="58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19645B" w:rsidRDefault="0019645B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</w:rPr>
              <w:t>(</w:t>
            </w:r>
            <w:r w:rsidR="00A3188F">
              <w:rPr>
                <w:rFonts w:eastAsiaTheme="minorEastAsia" w:cs="Calibri"/>
                <w:sz w:val="16"/>
                <w:szCs w:val="16"/>
                <w:lang w:val="en-US"/>
              </w:rPr>
              <w:t>1</w:t>
            </w:r>
            <w:r>
              <w:rPr>
                <w:rFonts w:eastAsiaTheme="minorEastAsia" w:cs="Calibri"/>
                <w:sz w:val="16"/>
                <w:szCs w:val="16"/>
              </w:rPr>
              <w:t>)</w:t>
            </w:r>
          </w:p>
        </w:tc>
        <w:tc>
          <w:tcPr>
            <w:tcW w:w="582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F138CA" w:rsidRDefault="0019645B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</w:rPr>
              <w:t>(</w:t>
            </w:r>
            <w:r w:rsidR="00A3188F">
              <w:rPr>
                <w:rFonts w:eastAsiaTheme="minorEastAsia" w:cs="Calibri"/>
                <w:sz w:val="16"/>
                <w:szCs w:val="16"/>
              </w:rPr>
              <w:t>2</w:t>
            </w:r>
            <w:r>
              <w:rPr>
                <w:rFonts w:eastAsiaTheme="minorEastAsia" w:cs="Calibri"/>
                <w:sz w:val="16"/>
                <w:szCs w:val="16"/>
              </w:rPr>
              <w:t>)</w:t>
            </w:r>
          </w:p>
        </w:tc>
        <w:tc>
          <w:tcPr>
            <w:tcW w:w="562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563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</w:p>
        </w:tc>
      </w:tr>
      <w:tr w:rsidR="00A3188F" w:rsidRPr="00E0021F" w:rsidTr="002A0DB3">
        <w:trPr>
          <w:trHeight w:val="280"/>
        </w:trPr>
        <w:tc>
          <w:tcPr>
            <w:tcW w:w="2131" w:type="pct"/>
            <w:tcBorders>
              <w:left w:val="single" w:sz="4" w:space="0" w:color="FFC000"/>
              <w:bottom w:val="single" w:sz="18" w:space="0" w:color="003C96" w:themeColor="text2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A3188F" w:rsidRPr="00A3188F" w:rsidRDefault="00A3188F" w:rsidP="00A3188F">
            <w:pPr>
              <w:tabs>
                <w:tab w:val="left" w:pos="284"/>
              </w:tabs>
              <w:spacing w:after="0"/>
              <w:rPr>
                <w:rFonts w:eastAsiaTheme="minorEastAsia" w:cs="Calibri"/>
                <w:b/>
                <w:sz w:val="16"/>
                <w:szCs w:val="16"/>
              </w:rPr>
            </w:pPr>
            <w:r w:rsidRPr="00D436A8">
              <w:rPr>
                <w:rFonts w:eastAsiaTheme="minorEastAsia" w:cs="Calibri"/>
                <w:b/>
                <w:sz w:val="16"/>
                <w:szCs w:val="16"/>
              </w:rPr>
              <w:t>Αποτέλεσμα Διακ/μενων Δραστ/τήτων</w:t>
            </w:r>
          </w:p>
        </w:tc>
        <w:tc>
          <w:tcPr>
            <w:tcW w:w="581" w:type="pct"/>
            <w:tcBorders>
              <w:left w:val="single" w:sz="4" w:space="0" w:color="FFC000"/>
              <w:bottom w:val="single" w:sz="18" w:space="0" w:color="003C96" w:themeColor="text2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433520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</w:rPr>
              <w:t>6</w:t>
            </w:r>
          </w:p>
        </w:tc>
        <w:tc>
          <w:tcPr>
            <w:tcW w:w="581" w:type="pct"/>
            <w:tcBorders>
              <w:left w:val="single" w:sz="4" w:space="0" w:color="FFC000"/>
              <w:bottom w:val="single" w:sz="18" w:space="0" w:color="003C96" w:themeColor="text2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(74)</w:t>
            </w:r>
          </w:p>
        </w:tc>
        <w:tc>
          <w:tcPr>
            <w:tcW w:w="582" w:type="pct"/>
            <w:tcBorders>
              <w:left w:val="single" w:sz="4" w:space="0" w:color="FFC000"/>
              <w:bottom w:val="single" w:sz="18" w:space="0" w:color="003C96" w:themeColor="text2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A3188F" w:rsidRPr="00D22682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(7)</w:t>
            </w:r>
          </w:p>
        </w:tc>
        <w:tc>
          <w:tcPr>
            <w:tcW w:w="562" w:type="pct"/>
            <w:tcBorders>
              <w:left w:val="single" w:sz="18" w:space="0" w:color="FFC000"/>
              <w:bottom w:val="single" w:sz="18" w:space="0" w:color="003C96" w:themeColor="text2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563" w:type="pct"/>
            <w:tcBorders>
              <w:left w:val="single" w:sz="4" w:space="0" w:color="FFC000"/>
              <w:bottom w:val="single" w:sz="18" w:space="0" w:color="003C96" w:themeColor="text2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A3188F" w:rsidRPr="00E0021F" w:rsidRDefault="00A3188F" w:rsidP="00A3188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</w:p>
        </w:tc>
      </w:tr>
    </w:tbl>
    <w:p w:rsidR="00BF2477" w:rsidRPr="00C66EA9" w:rsidRDefault="00C66EA9" w:rsidP="0075636A">
      <w:pPr>
        <w:pStyle w:val="a6"/>
        <w:numPr>
          <w:ilvl w:val="0"/>
          <w:numId w:val="9"/>
        </w:numPr>
        <w:tabs>
          <w:tab w:val="left" w:pos="426"/>
          <w:tab w:val="left" w:pos="8262"/>
        </w:tabs>
        <w:spacing w:before="160" w:line="264" w:lineRule="auto"/>
        <w:ind w:left="426" w:right="-284" w:hanging="284"/>
        <w:jc w:val="both"/>
        <w:rPr>
          <w:rFonts w:cstheme="majorHAnsi"/>
          <w:color w:val="000000" w:themeColor="text1"/>
          <w:sz w:val="14"/>
          <w:szCs w:val="14"/>
          <w:lang w:val="el-GR"/>
        </w:rPr>
      </w:pPr>
      <w:r>
        <w:rPr>
          <w:rFonts w:cstheme="majorHAnsi"/>
          <w:color w:val="000000" w:themeColor="text1"/>
          <w:sz w:val="14"/>
          <w:szCs w:val="14"/>
          <w:lang w:val="el-GR"/>
        </w:rPr>
        <w:t xml:space="preserve">Τον </w:t>
      </w:r>
      <w:r w:rsidR="0058533F">
        <w:rPr>
          <w:rFonts w:cstheme="majorHAnsi"/>
          <w:color w:val="000000" w:themeColor="text1"/>
          <w:sz w:val="14"/>
          <w:szCs w:val="14"/>
          <w:lang w:val="el-GR"/>
        </w:rPr>
        <w:t xml:space="preserve"> Ιούν. και Σεπ.</w:t>
      </w:r>
      <w:r w:rsidRPr="00C66EA9">
        <w:rPr>
          <w:rFonts w:cstheme="majorHAnsi"/>
          <w:color w:val="000000" w:themeColor="text1"/>
          <w:sz w:val="14"/>
          <w:szCs w:val="14"/>
          <w:lang w:val="el-GR"/>
        </w:rPr>
        <w:t xml:space="preserve"> 2017, οι καταθέσεις, τα δάνεια και οι σωρευμένες προβλέψεις δεν συμπεριλαμβάνουν τις δραστηριότητες του Ομίλου στη Σερβία </w:t>
      </w:r>
      <w:r w:rsidR="0058533F">
        <w:rPr>
          <w:rFonts w:cstheme="majorHAnsi"/>
          <w:color w:val="000000" w:themeColor="text1"/>
          <w:sz w:val="14"/>
          <w:szCs w:val="14"/>
          <w:lang w:val="el-GR"/>
        </w:rPr>
        <w:t>(</w:t>
      </w:r>
      <w:r w:rsidR="0058533F">
        <w:rPr>
          <w:rFonts w:cstheme="majorHAnsi"/>
          <w:color w:val="000000" w:themeColor="text1"/>
          <w:sz w:val="14"/>
          <w:szCs w:val="14"/>
        </w:rPr>
        <w:t>PiraeusBankBeograd</w:t>
      </w:r>
      <w:r w:rsidR="0058533F" w:rsidRPr="0058533F">
        <w:rPr>
          <w:rFonts w:cstheme="majorHAnsi"/>
          <w:color w:val="000000" w:themeColor="text1"/>
          <w:sz w:val="14"/>
          <w:szCs w:val="14"/>
          <w:lang w:val="el-GR"/>
        </w:rPr>
        <w:t xml:space="preserve">, </w:t>
      </w:r>
      <w:r w:rsidR="0058533F">
        <w:rPr>
          <w:rFonts w:cstheme="majorHAnsi"/>
          <w:color w:val="000000" w:themeColor="text1"/>
          <w:sz w:val="14"/>
          <w:szCs w:val="14"/>
        </w:rPr>
        <w:t>PiraeusLeasingDooBeograd</w:t>
      </w:r>
      <w:r w:rsidR="0058533F" w:rsidRPr="0058533F">
        <w:rPr>
          <w:rFonts w:cstheme="majorHAnsi"/>
          <w:color w:val="000000" w:themeColor="text1"/>
          <w:sz w:val="14"/>
          <w:szCs w:val="14"/>
          <w:lang w:val="el-GR"/>
        </w:rPr>
        <w:t xml:space="preserve">) </w:t>
      </w:r>
      <w:r w:rsidRPr="00C66EA9">
        <w:rPr>
          <w:rFonts w:cstheme="majorHAnsi"/>
          <w:color w:val="000000" w:themeColor="text1"/>
          <w:sz w:val="14"/>
          <w:szCs w:val="14"/>
          <w:lang w:val="el-GR"/>
        </w:rPr>
        <w:t>λόγω της ταξινόμησής τους ω</w:t>
      </w:r>
      <w:r w:rsidR="0058533F">
        <w:rPr>
          <w:rFonts w:cstheme="majorHAnsi"/>
          <w:color w:val="000000" w:themeColor="text1"/>
          <w:sz w:val="14"/>
          <w:szCs w:val="14"/>
          <w:lang w:val="el-GR"/>
        </w:rPr>
        <w:t>ς διακοπτόμενες</w:t>
      </w:r>
      <w:r w:rsidR="0075636A" w:rsidRPr="00C66EA9">
        <w:rPr>
          <w:rFonts w:cstheme="majorHAnsi"/>
          <w:color w:val="000000" w:themeColor="text1"/>
          <w:sz w:val="14"/>
          <w:szCs w:val="14"/>
          <w:lang w:val="el-GR"/>
        </w:rPr>
        <w:t>.</w:t>
      </w:r>
    </w:p>
    <w:p w:rsidR="003D33AF" w:rsidRPr="00C66EA9" w:rsidRDefault="0058533F" w:rsidP="00DC5425">
      <w:pPr>
        <w:pStyle w:val="a6"/>
        <w:numPr>
          <w:ilvl w:val="0"/>
          <w:numId w:val="9"/>
        </w:numPr>
        <w:tabs>
          <w:tab w:val="left" w:pos="426"/>
          <w:tab w:val="left" w:pos="8262"/>
        </w:tabs>
        <w:spacing w:before="160" w:line="264" w:lineRule="auto"/>
        <w:ind w:left="426" w:right="-284" w:hanging="284"/>
        <w:jc w:val="both"/>
        <w:rPr>
          <w:rFonts w:cstheme="majorHAnsi"/>
          <w:color w:val="000000" w:themeColor="text1"/>
          <w:sz w:val="14"/>
          <w:szCs w:val="14"/>
          <w:lang w:val="el-GR"/>
        </w:rPr>
      </w:pPr>
      <w:r>
        <w:rPr>
          <w:rFonts w:cstheme="majorHAnsi"/>
          <w:color w:val="000000" w:themeColor="text1"/>
          <w:sz w:val="14"/>
          <w:szCs w:val="14"/>
          <w:lang w:val="el-GR"/>
        </w:rPr>
        <w:t xml:space="preserve">Τα στοιχεία των αποτελεσμάτων </w:t>
      </w:r>
      <w:r w:rsidR="00C66EA9">
        <w:rPr>
          <w:rFonts w:cstheme="majorHAnsi"/>
          <w:color w:val="000000" w:themeColor="text1"/>
          <w:sz w:val="14"/>
          <w:szCs w:val="14"/>
          <w:lang w:val="el-GR"/>
        </w:rPr>
        <w:t>έχουν αναπροσαρμοσθεί λόγω της ταξινόμησης</w:t>
      </w:r>
      <w:r w:rsidR="00C66EA9" w:rsidRPr="0036090E">
        <w:rPr>
          <w:rFonts w:cstheme="majorHAnsi"/>
          <w:color w:val="000000" w:themeColor="text1"/>
          <w:sz w:val="14"/>
          <w:szCs w:val="14"/>
          <w:lang w:val="el-GR"/>
        </w:rPr>
        <w:t xml:space="preserve"> των δραστηριοτήτων του Ομίλου στη Σερβία ως </w:t>
      </w:r>
      <w:r>
        <w:rPr>
          <w:rFonts w:cstheme="majorHAnsi"/>
          <w:color w:val="000000" w:themeColor="text1"/>
          <w:sz w:val="14"/>
          <w:szCs w:val="14"/>
          <w:lang w:val="el-GR"/>
        </w:rPr>
        <w:t>διακοπτόμενων</w:t>
      </w:r>
      <w:r w:rsidR="0075636A" w:rsidRPr="00C66EA9">
        <w:rPr>
          <w:rFonts w:cstheme="majorHAnsi"/>
          <w:color w:val="000000" w:themeColor="text1"/>
          <w:sz w:val="14"/>
          <w:szCs w:val="14"/>
          <w:lang w:val="el-GR"/>
        </w:rPr>
        <w:t>.</w:t>
      </w:r>
    </w:p>
    <w:p w:rsidR="00B82AE5" w:rsidRPr="00C66EA9" w:rsidRDefault="00C66EA9" w:rsidP="00DC5425">
      <w:pPr>
        <w:pStyle w:val="a6"/>
        <w:numPr>
          <w:ilvl w:val="0"/>
          <w:numId w:val="9"/>
        </w:numPr>
        <w:tabs>
          <w:tab w:val="left" w:pos="426"/>
          <w:tab w:val="left" w:pos="8262"/>
        </w:tabs>
        <w:spacing w:before="160" w:line="264" w:lineRule="auto"/>
        <w:ind w:left="426" w:right="-284" w:hanging="284"/>
        <w:jc w:val="both"/>
        <w:rPr>
          <w:rFonts w:cstheme="majorHAnsi"/>
          <w:color w:val="000000" w:themeColor="text1"/>
          <w:sz w:val="14"/>
          <w:szCs w:val="14"/>
          <w:lang w:val="el-GR"/>
        </w:rPr>
      </w:pPr>
      <w:r>
        <w:rPr>
          <w:rFonts w:cstheme="majorHAnsi"/>
          <w:color w:val="000000" w:themeColor="text1"/>
          <w:sz w:val="14"/>
          <w:szCs w:val="14"/>
          <w:lang w:val="el-GR"/>
        </w:rPr>
        <w:t>Τακαθαράέσοδαπρομηθειώνγιατο</w:t>
      </w:r>
      <w:r w:rsidRPr="00C66EA9">
        <w:rPr>
          <w:rFonts w:cstheme="majorHAnsi"/>
          <w:color w:val="000000" w:themeColor="text1"/>
          <w:sz w:val="14"/>
          <w:szCs w:val="14"/>
          <w:lang w:val="el-GR"/>
        </w:rPr>
        <w:t xml:space="preserve"> 3</w:t>
      </w:r>
      <w:r>
        <w:rPr>
          <w:rFonts w:cstheme="majorHAnsi"/>
          <w:color w:val="000000" w:themeColor="text1"/>
          <w:sz w:val="14"/>
          <w:szCs w:val="14"/>
          <w:lang w:val="el-GR"/>
        </w:rPr>
        <w:t>ο</w:t>
      </w:r>
      <w:r w:rsidRPr="00C66EA9">
        <w:rPr>
          <w:rFonts w:cstheme="majorHAnsi"/>
          <w:color w:val="000000" w:themeColor="text1"/>
          <w:sz w:val="14"/>
          <w:szCs w:val="14"/>
          <w:lang w:val="el-GR"/>
        </w:rPr>
        <w:t xml:space="preserve"> 3</w:t>
      </w:r>
      <w:r>
        <w:rPr>
          <w:rFonts w:cstheme="majorHAnsi"/>
          <w:color w:val="000000" w:themeColor="text1"/>
          <w:sz w:val="14"/>
          <w:szCs w:val="14"/>
          <w:lang w:val="el-GR"/>
        </w:rPr>
        <w:t>μηνο</w:t>
      </w:r>
      <w:r w:rsidRPr="00C66EA9">
        <w:rPr>
          <w:rFonts w:cstheme="majorHAnsi"/>
          <w:color w:val="000000" w:themeColor="text1"/>
          <w:sz w:val="14"/>
          <w:szCs w:val="14"/>
          <w:lang w:val="el-GR"/>
        </w:rPr>
        <w:t xml:space="preserve"> 2017 </w:t>
      </w:r>
      <w:r>
        <w:rPr>
          <w:rFonts w:cstheme="majorHAnsi"/>
          <w:color w:val="000000" w:themeColor="text1"/>
          <w:sz w:val="14"/>
          <w:szCs w:val="14"/>
          <w:lang w:val="el-GR"/>
        </w:rPr>
        <w:t>περιλαμβάνουνπρομήθεια</w:t>
      </w:r>
      <w:r w:rsidR="00EF1AF2">
        <w:rPr>
          <w:rFonts w:cstheme="majorHAnsi"/>
          <w:color w:val="000000" w:themeColor="text1"/>
          <w:sz w:val="14"/>
          <w:szCs w:val="14"/>
        </w:rPr>
        <w:t>bancassurance</w:t>
      </w:r>
      <w:r>
        <w:rPr>
          <w:rFonts w:cstheme="majorHAnsi"/>
          <w:color w:val="000000" w:themeColor="text1"/>
          <w:sz w:val="14"/>
          <w:szCs w:val="14"/>
          <w:lang w:val="el-GR"/>
        </w:rPr>
        <w:t>ύψους</w:t>
      </w:r>
      <w:r w:rsidRPr="00C66EA9">
        <w:rPr>
          <w:rFonts w:cstheme="majorHAnsi"/>
          <w:color w:val="000000" w:themeColor="text1"/>
          <w:sz w:val="14"/>
          <w:szCs w:val="14"/>
          <w:lang w:val="el-GR"/>
        </w:rPr>
        <w:t xml:space="preserve"> €35 </w:t>
      </w:r>
      <w:r>
        <w:rPr>
          <w:rFonts w:cstheme="majorHAnsi"/>
          <w:color w:val="000000" w:themeColor="text1"/>
          <w:sz w:val="14"/>
          <w:szCs w:val="14"/>
          <w:lang w:val="el-GR"/>
        </w:rPr>
        <w:t>εκατ</w:t>
      </w:r>
      <w:r w:rsidRPr="00C66EA9">
        <w:rPr>
          <w:rFonts w:cstheme="majorHAnsi"/>
          <w:color w:val="000000" w:themeColor="text1"/>
          <w:sz w:val="14"/>
          <w:szCs w:val="14"/>
          <w:lang w:val="el-GR"/>
        </w:rPr>
        <w:t>.</w:t>
      </w:r>
    </w:p>
    <w:p w:rsidR="001A5F52" w:rsidRPr="00796D9E" w:rsidRDefault="00796D9E" w:rsidP="00DC5425">
      <w:pPr>
        <w:pStyle w:val="a6"/>
        <w:numPr>
          <w:ilvl w:val="0"/>
          <w:numId w:val="9"/>
        </w:numPr>
        <w:tabs>
          <w:tab w:val="left" w:pos="426"/>
          <w:tab w:val="left" w:pos="8262"/>
        </w:tabs>
        <w:spacing w:before="160" w:line="264" w:lineRule="auto"/>
        <w:ind w:left="426" w:right="-284" w:hanging="284"/>
        <w:jc w:val="both"/>
        <w:rPr>
          <w:rFonts w:cstheme="majorHAnsi"/>
          <w:color w:val="000000" w:themeColor="text1"/>
          <w:sz w:val="14"/>
          <w:szCs w:val="14"/>
          <w:lang w:val="el-GR"/>
        </w:rPr>
      </w:pPr>
      <w:r w:rsidRPr="00796D9E">
        <w:rPr>
          <w:rFonts w:cstheme="majorHAnsi"/>
          <w:color w:val="000000" w:themeColor="text1"/>
          <w:sz w:val="14"/>
          <w:szCs w:val="14"/>
          <w:lang w:val="el-GR"/>
        </w:rPr>
        <w:t xml:space="preserve">Ποσό €69 εκατ. μεταφέρθηκε από </w:t>
      </w:r>
      <w:r>
        <w:rPr>
          <w:rFonts w:cstheme="majorHAnsi"/>
          <w:color w:val="000000" w:themeColor="text1"/>
          <w:sz w:val="14"/>
          <w:szCs w:val="14"/>
          <w:lang w:val="el-GR"/>
        </w:rPr>
        <w:t>τις</w:t>
      </w:r>
      <w:r w:rsidRPr="00796D9E">
        <w:rPr>
          <w:rFonts w:cstheme="majorHAnsi"/>
          <w:color w:val="000000" w:themeColor="text1"/>
          <w:sz w:val="14"/>
          <w:szCs w:val="14"/>
          <w:lang w:val="el-GR"/>
        </w:rPr>
        <w:t xml:space="preserve"> «Λοιπές προβλέψεις» </w:t>
      </w:r>
      <w:r>
        <w:rPr>
          <w:rFonts w:cstheme="majorHAnsi"/>
          <w:color w:val="000000" w:themeColor="text1"/>
          <w:sz w:val="14"/>
          <w:szCs w:val="14"/>
          <w:lang w:val="el-GR"/>
        </w:rPr>
        <w:t>στα</w:t>
      </w:r>
      <w:r w:rsidRPr="00796D9E">
        <w:rPr>
          <w:rFonts w:cstheme="majorHAnsi"/>
          <w:color w:val="000000" w:themeColor="text1"/>
          <w:sz w:val="14"/>
          <w:szCs w:val="14"/>
          <w:lang w:val="el-GR"/>
        </w:rPr>
        <w:t xml:space="preserve"> «Λοιπά λειτουργικά έσοδα»</w:t>
      </w:r>
      <w:r>
        <w:rPr>
          <w:rFonts w:cstheme="majorHAnsi"/>
          <w:color w:val="000000" w:themeColor="text1"/>
          <w:sz w:val="14"/>
          <w:szCs w:val="14"/>
          <w:lang w:val="el-GR"/>
        </w:rPr>
        <w:t xml:space="preserve"> το 2ο 3μηνο</w:t>
      </w:r>
      <w:r w:rsidRPr="00796D9E">
        <w:rPr>
          <w:rFonts w:cstheme="majorHAnsi"/>
          <w:color w:val="000000" w:themeColor="text1"/>
          <w:sz w:val="14"/>
          <w:szCs w:val="14"/>
          <w:lang w:val="el-GR"/>
        </w:rPr>
        <w:t xml:space="preserve"> 2017</w:t>
      </w:r>
      <w:r>
        <w:rPr>
          <w:rFonts w:cstheme="majorHAnsi"/>
          <w:color w:val="000000" w:themeColor="text1"/>
          <w:sz w:val="14"/>
          <w:szCs w:val="14"/>
          <w:lang w:val="el-GR"/>
        </w:rPr>
        <w:t>.</w:t>
      </w:r>
    </w:p>
    <w:p w:rsidR="00E0021F" w:rsidRPr="00E0021F" w:rsidRDefault="00E03BD6" w:rsidP="00E0021F">
      <w:pPr>
        <w:tabs>
          <w:tab w:val="left" w:pos="284"/>
        </w:tabs>
        <w:jc w:val="both"/>
        <w:rPr>
          <w:rFonts w:eastAsiaTheme="minorEastAsia" w:cs="Calibri"/>
          <w:b/>
          <w:sz w:val="19"/>
          <w:szCs w:val="19"/>
          <w:lang w:val="en-US"/>
        </w:rPr>
      </w:pPr>
      <w:r w:rsidRPr="00D436A8">
        <w:rPr>
          <w:rFonts w:eastAsiaTheme="minorEastAsia" w:cs="Calibri"/>
          <w:b/>
          <w:noProof/>
          <w:sz w:val="16"/>
          <w:szCs w:val="16"/>
          <w:lang w:val="en-US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page">
              <wp:posOffset>4041286</wp:posOffset>
            </wp:positionH>
            <wp:positionV relativeFrom="page">
              <wp:posOffset>1993607</wp:posOffset>
            </wp:positionV>
            <wp:extent cx="2184400" cy="1502410"/>
            <wp:effectExtent l="0" t="0" r="0" b="2540"/>
            <wp:wrapNone/>
            <wp:docPr id="12" name="Γράφημα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601F99" w:rsidRPr="00601F99">
        <w:rPr>
          <w:rFonts w:eastAsiaTheme="minorEastAsia" w:cs="Calibri"/>
          <w:noProof/>
          <w:color w:val="000000" w:themeColor="text1"/>
          <w:sz w:val="14"/>
          <w:szCs w:val="18"/>
          <w:lang w:eastAsia="el-GR"/>
        </w:rPr>
        <w:pict>
          <v:rect id="Rectangle 17" o:spid="_x0000_s1027" style="position:absolute;left:0;text-align:left;margin-left:172.45pt;margin-top:157.3pt;width:157.4pt;height:19.9pt;z-index:251726845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" filled="f" strokecolor="window" strokeweight="2pt">
            <v:textbox>
              <w:txbxContent>
                <w:p w:rsidR="00B23D70" w:rsidRPr="002905A1" w:rsidRDefault="00B23D70" w:rsidP="009D2B09">
                  <w:pPr>
                    <w:rPr>
                      <w:color w:val="000000" w:themeColor="text1"/>
                      <w:sz w:val="12"/>
                      <w:szCs w:val="12"/>
                    </w:rPr>
                  </w:pPr>
                  <w:r w:rsidRPr="002905A1">
                    <w:rPr>
                      <w:color w:val="000000" w:themeColor="text1"/>
                      <w:sz w:val="12"/>
                      <w:szCs w:val="12"/>
                    </w:rPr>
                    <w:t xml:space="preserve">*Ιουν. &amp; Σεπ.17 </w:t>
                  </w:r>
                  <w:r>
                    <w:rPr>
                      <w:color w:val="000000" w:themeColor="text1"/>
                      <w:sz w:val="12"/>
                      <w:szCs w:val="12"/>
                    </w:rPr>
                    <w:t>εξαιρούνται δραστηριότητες στη Σερβία</w:t>
                  </w:r>
                </w:p>
              </w:txbxContent>
            </v:textbox>
          </v:rect>
        </w:pict>
      </w:r>
      <w:r w:rsidR="00601F99" w:rsidRPr="00601F99">
        <w:rPr>
          <w:rFonts w:ascii="Calibri" w:hAnsi="Calibri" w:cs="Calibri"/>
          <w:noProof/>
          <w:sz w:val="14"/>
          <w:szCs w:val="18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1028" type="#_x0000_t202" style="position:absolute;left:0;text-align:left;margin-left:173.35pt;margin-top:13.6pt;width:179.65pt;height:19.4pt;z-index:2517411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" filled="f" stroked="f" strokeweight=".5pt">
            <v:textbox>
              <w:txbxContent>
                <w:p w:rsidR="00B23D70" w:rsidRPr="001F6F74" w:rsidRDefault="00B23D70" w:rsidP="00E0021F">
                  <w:pPr>
                    <w:rPr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</w:rPr>
                    <w:t xml:space="preserve">Συνολικά </w:t>
                  </w:r>
                  <w:r w:rsidRPr="001F6F74"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  <w:lang w:val="en-US"/>
                    </w:rPr>
                    <w:t>NPE - N</w:t>
                  </w:r>
                  <w:r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  <w:lang w:val="en-US"/>
                    </w:rPr>
                    <w:t>PL</w:t>
                  </w:r>
                  <w:r w:rsidRPr="001F6F74"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  <w:lang w:val="en-US"/>
                    </w:rPr>
                    <w:t xml:space="preserve"> (€</w:t>
                  </w:r>
                  <w:r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</w:rPr>
                    <w:t>δισ.</w:t>
                  </w:r>
                  <w:r w:rsidRPr="001F6F74"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  <w:lang w:val="en-US"/>
                    </w:rPr>
                    <w:t>)</w:t>
                  </w:r>
                </w:p>
              </w:txbxContent>
            </v:textbox>
          </v:shape>
        </w:pict>
      </w:r>
      <w:r w:rsidR="00E0021F" w:rsidRPr="00E0021F">
        <w:rPr>
          <w:rFonts w:ascii="Calibri" w:hAnsi="Calibri" w:cs="Calibri"/>
          <w:noProof/>
          <w:sz w:val="14"/>
          <w:szCs w:val="18"/>
          <w:lang w:val="en-US"/>
        </w:rPr>
        <w:drawing>
          <wp:inline distT="0" distB="0" distL="0" distR="0">
            <wp:extent cx="2232025" cy="1945688"/>
            <wp:effectExtent l="0" t="0" r="0" b="6985"/>
            <wp:docPr id="3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Style w:val="TableGrid2"/>
        <w:tblpPr w:leftFromText="181" w:rightFromText="181" w:vertAnchor="page" w:horzAnchor="page" w:tblpX="376" w:tblpY="2268"/>
        <w:tblOverlap w:val="never"/>
        <w:tblW w:w="5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32"/>
      </w:tblGrid>
      <w:tr w:rsidR="00E0021F" w:rsidRPr="001F6F74" w:rsidTr="009D2B09">
        <w:trPr>
          <w:trHeight w:val="175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  <w:vAlign w:val="bottom"/>
          </w:tcPr>
          <w:p w:rsidR="00E0021F" w:rsidRPr="00E0021F" w:rsidRDefault="00E0021F" w:rsidP="00E0021F">
            <w:pPr>
              <w:ind w:left="2552"/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  <w:lang w:val="en-US"/>
              </w:rPr>
            </w:pPr>
          </w:p>
          <w:p w:rsidR="00E0021F" w:rsidRPr="001F6F74" w:rsidRDefault="00E0021F" w:rsidP="00E0021F">
            <w:pPr>
              <w:ind w:left="2552"/>
              <w:rPr>
                <w:rFonts w:eastAsiaTheme="minorEastAsia" w:cs="Calibri"/>
                <w:b/>
                <w:bCs/>
                <w:color w:val="003C96" w:themeColor="text2"/>
                <w:sz w:val="14"/>
                <w:szCs w:val="14"/>
              </w:rPr>
            </w:pPr>
          </w:p>
          <w:p w:rsidR="00E0021F" w:rsidRPr="001F6F74" w:rsidRDefault="001F6F74" w:rsidP="00786AE8">
            <w:pPr>
              <w:ind w:left="2410"/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</w:pPr>
            <w:r w:rsidRPr="001F6F74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Καθ. Έσοδα Τόκων &amp; Προμηθει</w:t>
            </w: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ών</w:t>
            </w:r>
            <w:r w:rsidR="00E0021F" w:rsidRPr="001F6F74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(€</w:t>
            </w:r>
            <w:r w:rsidRPr="001F6F74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εκατ.</w:t>
            </w:r>
            <w:r w:rsidR="00E0021F" w:rsidRPr="001F6F74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)</w:t>
            </w:r>
          </w:p>
        </w:tc>
      </w:tr>
      <w:tr w:rsidR="00E0021F" w:rsidRPr="001F6F74" w:rsidTr="009D2B09">
        <w:trPr>
          <w:trHeight w:val="2041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:rsidR="00E0021F" w:rsidRPr="001F6F74" w:rsidRDefault="00497AAB" w:rsidP="00E0021F">
            <w:pPr>
              <w:ind w:left="2552"/>
              <w:rPr>
                <w:rFonts w:eastAsiaTheme="minorEastAsia" w:cs="Calibri"/>
                <w:b/>
                <w:sz w:val="12"/>
                <w:szCs w:val="12"/>
              </w:rPr>
            </w:pPr>
            <w:r w:rsidRPr="00652EB7">
              <w:rPr>
                <w:rFonts w:eastAsiaTheme="minorEastAsia" w:cs="Calibri"/>
                <w:b/>
                <w:noProof/>
                <w:sz w:val="12"/>
                <w:szCs w:val="12"/>
                <w:lang w:val="en-US"/>
              </w:rPr>
              <w:lastRenderedPageBreak/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3810</wp:posOffset>
                  </wp:positionV>
                  <wp:extent cx="1925320" cy="1546860"/>
                  <wp:effectExtent l="0" t="0" r="0" b="0"/>
                  <wp:wrapNone/>
                  <wp:docPr id="28" name="Chart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anchor>
              </w:drawing>
            </w:r>
          </w:p>
        </w:tc>
      </w:tr>
      <w:tr w:rsidR="00E0021F" w:rsidRPr="001F6F74" w:rsidTr="009D2B09">
        <w:trPr>
          <w:trHeight w:val="53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0021F" w:rsidRPr="001F6F74" w:rsidRDefault="00601F99" w:rsidP="00455BB6">
            <w:pPr>
              <w:ind w:left="2552"/>
              <w:rPr>
                <w:rFonts w:eastAsiaTheme="minorEastAsia" w:cs="Calibri"/>
                <w:b/>
                <w:bCs/>
                <w:color w:val="D1AA70" w:themeColor="accent2"/>
                <w:sz w:val="14"/>
                <w:szCs w:val="18"/>
              </w:rPr>
            </w:pPr>
            <w:r w:rsidRPr="00601F99">
              <w:rPr>
                <w:rFonts w:eastAsiaTheme="minorEastAsia" w:cs="Calibri"/>
                <w:noProof/>
                <w:color w:val="000000" w:themeColor="text1"/>
                <w:sz w:val="14"/>
                <w:szCs w:val="18"/>
                <w:lang w:eastAsia="el-GR"/>
              </w:rPr>
              <w:pict>
                <v:rect id="Rectangle 42" o:spid="_x0000_s1029" style="position:absolute;left:0;text-align:left;margin-left:113.5pt;margin-top:6.05pt;width:157.4pt;height:17.3pt;z-index:251752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" fillcolor="white [3212]" strokecolor="white [3212]" strokeweight="2pt">
                  <v:textbox>
                    <w:txbxContent>
                      <w:p w:rsidR="00B23D70" w:rsidRPr="00B93793" w:rsidRDefault="00B23D70" w:rsidP="00B93793">
                        <w:pPr>
                          <w:rPr>
                            <w:color w:val="000000" w:themeColor="text1"/>
                            <w:sz w:val="12"/>
                            <w:szCs w:val="12"/>
                            <w:lang w:val="en-US"/>
                          </w:rPr>
                        </w:pPr>
                        <w:r w:rsidRPr="00B93793">
                          <w:rPr>
                            <w:color w:val="000000" w:themeColor="text1"/>
                            <w:sz w:val="12"/>
                            <w:szCs w:val="12"/>
                            <w:lang w:val="en-US"/>
                          </w:rPr>
                          <w:t>*</w:t>
                        </w:r>
                        <w:r>
                          <w:rPr>
                            <w:color w:val="000000" w:themeColor="text1"/>
                            <w:sz w:val="12"/>
                            <w:szCs w:val="12"/>
                            <w:lang w:val="en-US"/>
                          </w:rPr>
                          <w:t>επαναλαμβαν</w:t>
                        </w:r>
                        <w:r>
                          <w:rPr>
                            <w:color w:val="000000" w:themeColor="text1"/>
                            <w:sz w:val="12"/>
                            <w:szCs w:val="12"/>
                          </w:rPr>
                          <w:t>όμεναέσοδα</w:t>
                        </w:r>
                      </w:p>
                    </w:txbxContent>
                  </v:textbox>
                </v:rect>
              </w:pict>
            </w:r>
          </w:p>
        </w:tc>
      </w:tr>
      <w:tr w:rsidR="00E0021F" w:rsidRPr="001F6F74" w:rsidTr="009D2B09">
        <w:trPr>
          <w:trHeight w:val="66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55BB6" w:rsidRPr="001F6F74" w:rsidRDefault="00455BB6" w:rsidP="00E0021F">
            <w:pPr>
              <w:ind w:left="2552"/>
              <w:rPr>
                <w:rFonts w:eastAsiaTheme="minorEastAsia" w:cs="Calibri"/>
                <w:b/>
                <w:bCs/>
                <w:color w:val="003C96" w:themeColor="text2"/>
                <w:sz w:val="18"/>
                <w:szCs w:val="18"/>
              </w:rPr>
            </w:pPr>
          </w:p>
          <w:p w:rsidR="00E0021F" w:rsidRPr="0004090D" w:rsidRDefault="0004090D" w:rsidP="00AC35D0">
            <w:pPr>
              <w:ind w:left="2410"/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  <w:lang w:val="en-US"/>
              </w:rPr>
              <w:t>Εργαζ</w:t>
            </w: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όμενοι</w:t>
            </w: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  <w:lang w:val="en-US"/>
              </w:rPr>
              <w:t>&amp; Κατ</w:t>
            </w: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α</w:t>
            </w: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  <w:lang w:val="en-US"/>
              </w:rPr>
              <w:t>στ</w:t>
            </w: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ήματα</w:t>
            </w: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  <w:lang w:val="en-US"/>
              </w:rPr>
              <w:t xml:space="preserve"> στην Ελλ</w:t>
            </w: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άδα</w:t>
            </w:r>
            <w:r w:rsidR="00E0021F" w:rsidRPr="0004090D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  <w:lang w:val="en-US"/>
              </w:rPr>
              <w:t xml:space="preserve"> (#)</w:t>
            </w:r>
          </w:p>
        </w:tc>
      </w:tr>
      <w:tr w:rsidR="00E0021F" w:rsidRPr="001F6F74" w:rsidTr="009D2B09">
        <w:trPr>
          <w:trHeight w:val="2218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0021F" w:rsidRPr="001F6F74" w:rsidRDefault="00E0021F" w:rsidP="00E0021F">
            <w:pPr>
              <w:ind w:left="2552"/>
              <w:rPr>
                <w:rFonts w:eastAsiaTheme="minorEastAsia" w:cs="Calibri"/>
                <w:b/>
                <w:sz w:val="14"/>
                <w:szCs w:val="18"/>
                <w:lang w:val="en-US"/>
              </w:rPr>
            </w:pPr>
            <w:r w:rsidRPr="00E0021F">
              <w:rPr>
                <w:rFonts w:eastAsiaTheme="minorEastAsia" w:cs="Calibri"/>
                <w:b/>
                <w:noProof/>
                <w:sz w:val="14"/>
                <w:szCs w:val="18"/>
                <w:lang w:val="en-US"/>
              </w:rPr>
              <w:drawing>
                <wp:inline distT="0" distB="0" distL="0" distR="0">
                  <wp:extent cx="1892245" cy="1524000"/>
                  <wp:effectExtent l="0" t="0" r="0" b="0"/>
                  <wp:docPr id="7" name="Γράφημα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E0021F" w:rsidRPr="0004090D" w:rsidTr="009D2B09">
        <w:trPr>
          <w:trHeight w:val="20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0021F" w:rsidRPr="001F6F74" w:rsidRDefault="00E0021F" w:rsidP="00E0021F">
            <w:pPr>
              <w:ind w:left="2552"/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  <w:lang w:val="en-US"/>
              </w:rPr>
            </w:pPr>
          </w:p>
          <w:p w:rsidR="00E0021F" w:rsidRPr="0004090D" w:rsidRDefault="00D867F4" w:rsidP="00AC35D0">
            <w:pPr>
              <w:spacing w:before="20"/>
              <w:ind w:left="2410"/>
              <w:rPr>
                <w:rFonts w:eastAsiaTheme="minorEastAsia" w:cs="Calibri"/>
                <w:b/>
                <w:color w:val="003C96" w:themeColor="text2"/>
                <w:sz w:val="16"/>
                <w:szCs w:val="16"/>
              </w:rPr>
            </w:pPr>
            <w:r w:rsidRPr="0004090D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 xml:space="preserve"> Καταθ</w:t>
            </w: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έσεις Πελατών στην Ελλάδα</w:t>
            </w:r>
            <w:r w:rsidRPr="0004090D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 xml:space="preserve"> (€δισ.</w:t>
            </w:r>
            <w:r w:rsidR="00E0021F" w:rsidRPr="0004090D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)</w:t>
            </w:r>
          </w:p>
        </w:tc>
      </w:tr>
      <w:tr w:rsidR="00E0021F" w:rsidRPr="0004090D" w:rsidTr="009D2B09">
        <w:trPr>
          <w:trHeight w:val="174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0021F" w:rsidRPr="0004090D" w:rsidRDefault="00FE4934" w:rsidP="00E0021F">
            <w:pPr>
              <w:rPr>
                <w:rFonts w:eastAsiaTheme="minorEastAsia" w:cs="Calibri"/>
                <w:b/>
                <w:sz w:val="16"/>
                <w:szCs w:val="16"/>
              </w:rPr>
            </w:pPr>
            <w:r w:rsidRPr="00E0021F">
              <w:rPr>
                <w:rFonts w:eastAsiaTheme="minorEastAsia" w:cs="Calibri"/>
                <w:b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page">
                    <wp:posOffset>1385888</wp:posOffset>
                  </wp:positionH>
                  <wp:positionV relativeFrom="page">
                    <wp:posOffset>-127317</wp:posOffset>
                  </wp:positionV>
                  <wp:extent cx="2209800" cy="1423987"/>
                  <wp:effectExtent l="0" t="0" r="0" b="5080"/>
                  <wp:wrapNone/>
                  <wp:docPr id="21" name="Γράφημα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anchor>
              </w:drawing>
            </w:r>
          </w:p>
        </w:tc>
      </w:tr>
    </w:tbl>
    <w:p w:rsidR="00E0021F" w:rsidRPr="0004090D" w:rsidRDefault="00E0021F" w:rsidP="00E0021F">
      <w:pPr>
        <w:tabs>
          <w:tab w:val="left" w:pos="1701"/>
          <w:tab w:val="left" w:pos="8262"/>
        </w:tabs>
        <w:spacing w:before="120" w:after="0" w:line="264" w:lineRule="auto"/>
        <w:ind w:left="1701" w:right="-285"/>
        <w:contextualSpacing/>
        <w:jc w:val="both"/>
        <w:rPr>
          <w:rFonts w:eastAsiaTheme="minorEastAsia" w:cs="Calibri"/>
          <w:color w:val="0D0D0D" w:themeColor="text1" w:themeTint="F2"/>
          <w:sz w:val="26"/>
          <w:szCs w:val="26"/>
        </w:rPr>
      </w:pPr>
    </w:p>
    <w:p w:rsidR="00E0021F" w:rsidRPr="0004090D" w:rsidRDefault="0004090D" w:rsidP="00E0021F">
      <w:pPr>
        <w:tabs>
          <w:tab w:val="left" w:pos="1701"/>
          <w:tab w:val="left" w:pos="8262"/>
        </w:tabs>
        <w:spacing w:before="840" w:after="0" w:line="264" w:lineRule="auto"/>
        <w:ind w:left="1701" w:right="-284"/>
        <w:contextualSpacing/>
        <w:jc w:val="both"/>
        <w:rPr>
          <w:rFonts w:eastAsiaTheme="minorEastAsia" w:cs="Calibri"/>
          <w:b/>
          <w:color w:val="0D0D0D" w:themeColor="text1" w:themeTint="F2"/>
          <w:sz w:val="16"/>
          <w:szCs w:val="16"/>
        </w:rPr>
      </w:pPr>
      <w:r>
        <w:rPr>
          <w:rFonts w:eastAsiaTheme="minorEastAsia" w:cs="Calibri"/>
          <w:b/>
          <w:bCs/>
          <w:color w:val="003C96" w:themeColor="text2"/>
          <w:sz w:val="16"/>
          <w:szCs w:val="16"/>
          <w:lang w:val="en-US"/>
        </w:rPr>
        <w:t>Δε</w:t>
      </w:r>
      <w:r>
        <w:rPr>
          <w:rFonts w:eastAsiaTheme="minorEastAsia" w:cs="Calibri"/>
          <w:b/>
          <w:bCs/>
          <w:color w:val="003C96" w:themeColor="text2"/>
          <w:sz w:val="16"/>
          <w:szCs w:val="16"/>
        </w:rPr>
        <w:t>ίκτης Κάλυψης Ν</w:t>
      </w:r>
      <w:r w:rsidR="00E0021F" w:rsidRPr="0004090D">
        <w:rPr>
          <w:rFonts w:eastAsiaTheme="minorEastAsia" w:cs="Calibri"/>
          <w:b/>
          <w:bCs/>
          <w:color w:val="003C96" w:themeColor="text2"/>
          <w:sz w:val="16"/>
          <w:szCs w:val="16"/>
          <w:lang w:val="en-US"/>
        </w:rPr>
        <w:t>P</w:t>
      </w:r>
      <w:r w:rsidR="00221B8D" w:rsidRPr="0004090D">
        <w:rPr>
          <w:rFonts w:eastAsiaTheme="minorEastAsia" w:cs="Calibri"/>
          <w:b/>
          <w:bCs/>
          <w:color w:val="003C96" w:themeColor="text2"/>
          <w:sz w:val="16"/>
          <w:szCs w:val="16"/>
          <w:lang w:val="en-US"/>
        </w:rPr>
        <w:t>E - NPL</w:t>
      </w:r>
      <w:r w:rsidR="00E0021F" w:rsidRPr="0004090D">
        <w:rPr>
          <w:rFonts w:eastAsiaTheme="minorEastAsia" w:cs="Calibri"/>
          <w:b/>
          <w:bCs/>
          <w:color w:val="003C96" w:themeColor="text2"/>
          <w:sz w:val="16"/>
          <w:szCs w:val="16"/>
        </w:rPr>
        <w:t xml:space="preserve"> (</w:t>
      </w:r>
      <w:r w:rsidR="00E0021F" w:rsidRPr="0004090D">
        <w:rPr>
          <w:rFonts w:eastAsiaTheme="minorEastAsia" w:cs="Calibri"/>
          <w:b/>
          <w:bCs/>
          <w:color w:val="003C96" w:themeColor="text2"/>
          <w:sz w:val="16"/>
          <w:szCs w:val="16"/>
          <w:lang w:val="en-US"/>
        </w:rPr>
        <w:t>%</w:t>
      </w:r>
      <w:r w:rsidR="00E0021F" w:rsidRPr="0004090D">
        <w:rPr>
          <w:rFonts w:eastAsiaTheme="minorEastAsia" w:cs="Calibri"/>
          <w:b/>
          <w:bCs/>
          <w:color w:val="003C96" w:themeColor="text2"/>
          <w:sz w:val="16"/>
          <w:szCs w:val="16"/>
        </w:rPr>
        <w:t>)</w:t>
      </w:r>
    </w:p>
    <w:p w:rsidR="00E0021F" w:rsidRPr="00E0021F" w:rsidRDefault="00601F99" w:rsidP="00E0021F">
      <w:pPr>
        <w:tabs>
          <w:tab w:val="left" w:pos="8262"/>
        </w:tabs>
        <w:spacing w:before="120" w:after="0" w:line="264" w:lineRule="auto"/>
        <w:ind w:left="3544" w:right="-285"/>
        <w:contextualSpacing/>
        <w:jc w:val="both"/>
        <w:rPr>
          <w:rFonts w:eastAsiaTheme="minorEastAsia" w:cs="Calibri"/>
          <w:color w:val="0D0D0D" w:themeColor="text1" w:themeTint="F2"/>
          <w:sz w:val="19"/>
          <w:szCs w:val="19"/>
          <w:lang w:val="en-US"/>
        </w:rPr>
      </w:pPr>
      <w:r w:rsidRPr="00601F99">
        <w:rPr>
          <w:rFonts w:eastAsiaTheme="minorEastAsia" w:cs="Calibri"/>
          <w:noProof/>
          <w:color w:val="000000" w:themeColor="text1"/>
          <w:sz w:val="14"/>
          <w:szCs w:val="18"/>
          <w:lang w:eastAsia="el-GR"/>
        </w:rPr>
        <w:pict>
          <v:rect id="Rectangle 18" o:spid="_x0000_s1030" style="position:absolute;left:0;text-align:left;margin-left:179.65pt;margin-top:124.25pt;width:157.4pt;height:19.85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" filled="f" strokecolor="window" strokeweight="2pt">
            <v:textbox>
              <w:txbxContent>
                <w:p w:rsidR="00B23D70" w:rsidRPr="00791D96" w:rsidRDefault="00B23D70" w:rsidP="001E4FC6">
                  <w:pPr>
                    <w:rPr>
                      <w:color w:val="000000" w:themeColor="text1"/>
                      <w:sz w:val="12"/>
                      <w:szCs w:val="12"/>
                    </w:rPr>
                  </w:pPr>
                  <w:r w:rsidRPr="00791D96">
                    <w:rPr>
                      <w:color w:val="000000" w:themeColor="text1"/>
                      <w:sz w:val="12"/>
                      <w:szCs w:val="12"/>
                    </w:rPr>
                    <w:t>*Ιουν. &amp; Σεπ. 17 εξαιρο</w:t>
                  </w:r>
                  <w:r>
                    <w:rPr>
                      <w:color w:val="000000" w:themeColor="text1"/>
                      <w:sz w:val="12"/>
                      <w:szCs w:val="12"/>
                    </w:rPr>
                    <w:t>ύνται δραστηριότητες στη Σερβία</w:t>
                  </w:r>
                </w:p>
              </w:txbxContent>
            </v:textbox>
          </v:rect>
        </w:pict>
      </w:r>
      <w:r w:rsidR="00FC51EE" w:rsidRPr="00E0021F">
        <w:rPr>
          <w:rFonts w:asciiTheme="majorHAnsi" w:eastAsiaTheme="minorEastAsia" w:hAnsiTheme="majorHAnsi" w:cstheme="majorHAnsi"/>
          <w:noProof/>
          <w:color w:val="0D0D0D" w:themeColor="text1" w:themeTint="F2"/>
          <w:sz w:val="19"/>
          <w:szCs w:val="19"/>
          <w:lang w:val="en-US"/>
        </w:rPr>
        <w:drawing>
          <wp:inline distT="0" distB="0" distL="0" distR="0">
            <wp:extent cx="2094931" cy="1647825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0021F" w:rsidRPr="00E0021F" w:rsidRDefault="00E0021F" w:rsidP="00E0021F">
      <w:pPr>
        <w:tabs>
          <w:tab w:val="left" w:pos="1701"/>
          <w:tab w:val="left" w:pos="8262"/>
        </w:tabs>
        <w:spacing w:before="120" w:after="0" w:line="264" w:lineRule="auto"/>
        <w:ind w:left="1701" w:right="-285"/>
        <w:contextualSpacing/>
        <w:jc w:val="both"/>
        <w:rPr>
          <w:rFonts w:eastAsiaTheme="minorEastAsia" w:cs="Calibri"/>
          <w:color w:val="0D0D0D" w:themeColor="text1" w:themeTint="F2"/>
          <w:sz w:val="19"/>
          <w:szCs w:val="19"/>
        </w:rPr>
      </w:pPr>
    </w:p>
    <w:p w:rsidR="00E0021F" w:rsidRPr="00E0021F" w:rsidRDefault="00E0021F" w:rsidP="00E0021F">
      <w:pPr>
        <w:tabs>
          <w:tab w:val="left" w:pos="1701"/>
          <w:tab w:val="left" w:pos="8262"/>
        </w:tabs>
        <w:spacing w:before="120" w:after="0" w:line="264" w:lineRule="auto"/>
        <w:ind w:left="1701" w:right="-285"/>
        <w:contextualSpacing/>
        <w:jc w:val="both"/>
        <w:rPr>
          <w:rFonts w:eastAsiaTheme="minorEastAsia" w:cs="Calibri"/>
          <w:color w:val="0D0D0D" w:themeColor="text1" w:themeTint="F2"/>
          <w:sz w:val="14"/>
          <w:szCs w:val="14"/>
        </w:rPr>
      </w:pPr>
    </w:p>
    <w:p w:rsidR="00E0021F" w:rsidRPr="00791D96" w:rsidRDefault="00791D96" w:rsidP="00E0021F">
      <w:pPr>
        <w:tabs>
          <w:tab w:val="left" w:pos="1701"/>
          <w:tab w:val="left" w:pos="8262"/>
        </w:tabs>
        <w:spacing w:before="120" w:after="0" w:line="264" w:lineRule="auto"/>
        <w:ind w:left="1701" w:right="-285"/>
        <w:contextualSpacing/>
        <w:jc w:val="both"/>
        <w:rPr>
          <w:rFonts w:eastAsiaTheme="minorEastAsia" w:cs="Calibri"/>
          <w:b/>
          <w:color w:val="0D0D0D" w:themeColor="text1" w:themeTint="F2"/>
          <w:sz w:val="16"/>
          <w:szCs w:val="16"/>
        </w:rPr>
      </w:pPr>
      <w:r w:rsidRPr="00791D96">
        <w:rPr>
          <w:rFonts w:eastAsiaTheme="minorEastAsia" w:cs="Calibri"/>
          <w:b/>
          <w:bCs/>
          <w:color w:val="003C96" w:themeColor="text2"/>
          <w:sz w:val="16"/>
          <w:szCs w:val="16"/>
        </w:rPr>
        <w:t>Σχηματισμ</w:t>
      </w:r>
      <w:r>
        <w:rPr>
          <w:rFonts w:eastAsiaTheme="minorEastAsia" w:cs="Calibri"/>
          <w:b/>
          <w:bCs/>
          <w:color w:val="003C96" w:themeColor="text2"/>
          <w:sz w:val="16"/>
          <w:szCs w:val="16"/>
        </w:rPr>
        <w:t>ός Νέων Ν</w:t>
      </w:r>
      <w:r w:rsidR="005248ED" w:rsidRPr="00791D96">
        <w:rPr>
          <w:rFonts w:eastAsiaTheme="minorEastAsia" w:cs="Calibri"/>
          <w:b/>
          <w:bCs/>
          <w:color w:val="003C96" w:themeColor="text2"/>
          <w:sz w:val="16"/>
          <w:szCs w:val="16"/>
          <w:lang w:val="en-US"/>
        </w:rPr>
        <w:t>P</w:t>
      </w:r>
      <w:r w:rsidR="00463256" w:rsidRPr="00791D96">
        <w:rPr>
          <w:rFonts w:eastAsiaTheme="minorEastAsia" w:cs="Calibri"/>
          <w:b/>
          <w:bCs/>
          <w:color w:val="003C96" w:themeColor="text2"/>
          <w:sz w:val="16"/>
          <w:szCs w:val="16"/>
          <w:lang w:val="en-US"/>
        </w:rPr>
        <w:t>E</w:t>
      </w:r>
      <w:r w:rsidR="00463256" w:rsidRPr="00791D96">
        <w:rPr>
          <w:rFonts w:eastAsiaTheme="minorEastAsia" w:cs="Calibri"/>
          <w:b/>
          <w:bCs/>
          <w:color w:val="003C96" w:themeColor="text2"/>
          <w:sz w:val="16"/>
          <w:szCs w:val="16"/>
        </w:rPr>
        <w:t xml:space="preserve"> - </w:t>
      </w:r>
      <w:r w:rsidR="00463256" w:rsidRPr="00791D96">
        <w:rPr>
          <w:rFonts w:eastAsiaTheme="minorEastAsia" w:cs="Calibri"/>
          <w:b/>
          <w:bCs/>
          <w:color w:val="003C96" w:themeColor="text2"/>
          <w:sz w:val="16"/>
          <w:szCs w:val="16"/>
          <w:lang w:val="en-US"/>
        </w:rPr>
        <w:t>NP</w:t>
      </w:r>
      <w:r>
        <w:rPr>
          <w:rFonts w:eastAsiaTheme="minorEastAsia" w:cs="Calibri"/>
          <w:b/>
          <w:bCs/>
          <w:color w:val="003C96" w:themeColor="text2"/>
          <w:sz w:val="16"/>
          <w:szCs w:val="16"/>
          <w:lang w:val="en-US"/>
        </w:rPr>
        <w:t>L</w:t>
      </w:r>
      <w:r w:rsidRPr="00791D96">
        <w:rPr>
          <w:rFonts w:eastAsiaTheme="minorEastAsia" w:cs="Calibri"/>
          <w:b/>
          <w:bCs/>
          <w:color w:val="003C96" w:themeColor="text2"/>
          <w:sz w:val="16"/>
          <w:szCs w:val="16"/>
        </w:rPr>
        <w:t>(€εκατ.</w:t>
      </w:r>
      <w:r w:rsidR="00E0021F" w:rsidRPr="00791D96">
        <w:rPr>
          <w:rFonts w:eastAsiaTheme="minorEastAsia" w:cs="Calibri"/>
          <w:b/>
          <w:bCs/>
          <w:color w:val="003C96" w:themeColor="text2"/>
          <w:sz w:val="16"/>
          <w:szCs w:val="16"/>
        </w:rPr>
        <w:t>)</w:t>
      </w:r>
    </w:p>
    <w:p w:rsidR="00E0021F" w:rsidRPr="00455BB6" w:rsidRDefault="00601F99" w:rsidP="007E1007">
      <w:pPr>
        <w:tabs>
          <w:tab w:val="left" w:pos="3119"/>
          <w:tab w:val="left" w:pos="8262"/>
        </w:tabs>
        <w:spacing w:before="120" w:after="0" w:line="264" w:lineRule="auto"/>
        <w:ind w:left="3261" w:right="-285"/>
        <w:contextualSpacing/>
        <w:jc w:val="center"/>
        <w:rPr>
          <w:rFonts w:eastAsiaTheme="minorEastAsia" w:cs="Calibri"/>
          <w:color w:val="0D0D0D" w:themeColor="text1" w:themeTint="F2"/>
          <w:sz w:val="19"/>
          <w:szCs w:val="19"/>
          <w:lang w:val="en-GB"/>
        </w:rPr>
      </w:pPr>
      <w:r w:rsidRPr="00601F99">
        <w:rPr>
          <w:rFonts w:eastAsiaTheme="minorEastAsia" w:cs="Calibri"/>
          <w:noProof/>
          <w:color w:val="000000" w:themeColor="text1"/>
          <w:sz w:val="14"/>
          <w:szCs w:val="18"/>
          <w:lang w:eastAsia="el-GR"/>
        </w:rPr>
        <w:pict>
          <v:rect id="Rectangle 19" o:spid="_x0000_s1031" style="position:absolute;left:0;text-align:left;margin-left:176.2pt;margin-top:105.85pt;width:157.4pt;height:19.8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" filled="f" stroked="f" strokeweight="2pt">
            <v:textbox>
              <w:txbxContent>
                <w:p w:rsidR="00B23D70" w:rsidRPr="00FE4934" w:rsidRDefault="00B23D70" w:rsidP="00194A1C">
                  <w:pPr>
                    <w:rPr>
                      <w:color w:val="7F7F7F" w:themeColor="text1" w:themeTint="80"/>
                      <w:sz w:val="11"/>
                      <w:szCs w:val="11"/>
                      <w:lang w:val="en-US"/>
                    </w:rPr>
                  </w:pPr>
                  <w:r w:rsidRPr="00FC51EE">
                    <w:rPr>
                      <w:color w:val="7F7F7F" w:themeColor="text1" w:themeTint="80"/>
                      <w:sz w:val="13"/>
                      <w:szCs w:val="13"/>
                      <w:lang w:val="en-US"/>
                    </w:rPr>
                    <w:t xml:space="preserve">Q2.17    </w:t>
                  </w:r>
                  <w:r w:rsidRPr="00BA7F8E">
                    <w:rPr>
                      <w:color w:val="7F7F7F" w:themeColor="text1" w:themeTint="80"/>
                      <w:sz w:val="14"/>
                      <w:szCs w:val="14"/>
                      <w:lang w:val="en-US"/>
                    </w:rPr>
                    <w:t>Q3</w:t>
                  </w:r>
                  <w:r w:rsidRPr="00FC51EE">
                    <w:rPr>
                      <w:color w:val="7F7F7F" w:themeColor="text1" w:themeTint="80"/>
                      <w:sz w:val="13"/>
                      <w:szCs w:val="13"/>
                      <w:lang w:val="en-US"/>
                    </w:rPr>
                    <w:t>.17</w:t>
                  </w:r>
                  <w:r>
                    <w:rPr>
                      <w:color w:val="7F7F7F" w:themeColor="text1" w:themeTint="80"/>
                      <w:sz w:val="11"/>
                      <w:szCs w:val="11"/>
                      <w:lang w:val="en-US"/>
                    </w:rPr>
                    <w:tab/>
                  </w:r>
                </w:p>
              </w:txbxContent>
            </v:textbox>
          </v:rect>
        </w:pict>
      </w:r>
      <w:r w:rsidRPr="00601F99">
        <w:rPr>
          <w:rFonts w:eastAsiaTheme="minorEastAsia" w:cs="Calibri"/>
          <w:noProof/>
          <w:color w:val="000000" w:themeColor="text1"/>
          <w:sz w:val="14"/>
          <w:szCs w:val="18"/>
          <w:lang w:eastAsia="el-GR"/>
        </w:rPr>
        <w:pict>
          <v:rect id="Rectangle 20" o:spid="_x0000_s1032" style="position:absolute;left:0;text-align:left;margin-left:176.25pt;margin-top:116.5pt;width:157.4pt;height:19.85pt;z-index:2517258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" filled="f" strokecolor="window" strokeweight="2pt">
            <v:textbox>
              <w:txbxContent>
                <w:p w:rsidR="00B23D70" w:rsidRPr="00791D96" w:rsidRDefault="00B23D70" w:rsidP="00791D96">
                  <w:pPr>
                    <w:rPr>
                      <w:color w:val="000000" w:themeColor="text1"/>
                      <w:sz w:val="12"/>
                      <w:szCs w:val="12"/>
                    </w:rPr>
                  </w:pPr>
                  <w:r w:rsidRPr="00791D96">
                    <w:rPr>
                      <w:color w:val="000000" w:themeColor="text1"/>
                      <w:sz w:val="12"/>
                      <w:szCs w:val="12"/>
                    </w:rPr>
                    <w:t>*Ιουν. &amp; Σεπ. 17 εξαιρο</w:t>
                  </w:r>
                  <w:r>
                    <w:rPr>
                      <w:color w:val="000000" w:themeColor="text1"/>
                      <w:sz w:val="12"/>
                      <w:szCs w:val="12"/>
                    </w:rPr>
                    <w:t>ύνται δραστηριότητες στη Σερβία</w:t>
                  </w:r>
                </w:p>
                <w:p w:rsidR="00B23D70" w:rsidRPr="00791D96" w:rsidRDefault="00B23D70" w:rsidP="00AE5685">
                  <w:pPr>
                    <w:rPr>
                      <w:color w:val="000000" w:themeColor="text1"/>
                      <w:sz w:val="12"/>
                      <w:szCs w:val="12"/>
                    </w:rPr>
                  </w:pPr>
                  <w:r w:rsidRPr="00791D96">
                    <w:rPr>
                      <w:color w:val="000000" w:themeColor="text1"/>
                      <w:sz w:val="12"/>
                      <w:szCs w:val="12"/>
                    </w:rPr>
                    <w:t>. &amp;</w:t>
                  </w:r>
                  <w:r>
                    <w:rPr>
                      <w:color w:val="000000" w:themeColor="text1"/>
                      <w:sz w:val="12"/>
                      <w:szCs w:val="12"/>
                      <w:lang w:val="en-US"/>
                    </w:rPr>
                    <w:t>Sep</w:t>
                  </w:r>
                  <w:r w:rsidRPr="00791D96">
                    <w:rPr>
                      <w:color w:val="000000" w:themeColor="text1"/>
                      <w:sz w:val="12"/>
                      <w:szCs w:val="12"/>
                    </w:rPr>
                    <w:t xml:space="preserve">.17 </w:t>
                  </w:r>
                  <w:r>
                    <w:rPr>
                      <w:color w:val="000000" w:themeColor="text1"/>
                      <w:sz w:val="12"/>
                      <w:szCs w:val="12"/>
                      <w:lang w:val="en-US"/>
                    </w:rPr>
                    <w:t>excludingSerbianoperations</w:t>
                  </w:r>
                </w:p>
              </w:txbxContent>
            </v:textbox>
          </v:rect>
        </w:pict>
      </w:r>
      <w:r w:rsidR="00FC51EE" w:rsidRPr="00D436A8">
        <w:rPr>
          <w:rFonts w:eastAsiaTheme="minorEastAsia" w:cs="Calibri"/>
          <w:noProof/>
          <w:color w:val="0D0D0D" w:themeColor="text1" w:themeTint="F2"/>
          <w:sz w:val="16"/>
          <w:szCs w:val="16"/>
          <w:lang w:val="en-US"/>
        </w:rPr>
        <w:drawing>
          <wp:inline distT="0" distB="0" distL="0" distR="0">
            <wp:extent cx="2203450" cy="1581150"/>
            <wp:effectExtent l="0" t="0" r="0" b="0"/>
            <wp:docPr id="31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0021F" w:rsidRPr="00455BB6" w:rsidRDefault="00601F99" w:rsidP="00E0021F">
      <w:pPr>
        <w:tabs>
          <w:tab w:val="left" w:pos="1701"/>
          <w:tab w:val="left" w:pos="8262"/>
        </w:tabs>
        <w:spacing w:before="120" w:after="0" w:line="264" w:lineRule="auto"/>
        <w:ind w:left="1701" w:right="-285"/>
        <w:contextualSpacing/>
        <w:jc w:val="both"/>
        <w:rPr>
          <w:rFonts w:eastAsiaTheme="minorEastAsia" w:cs="Calibri"/>
          <w:color w:val="0D0D0D" w:themeColor="text1" w:themeTint="F2"/>
          <w:sz w:val="19"/>
          <w:szCs w:val="19"/>
          <w:lang w:val="en-GB"/>
        </w:rPr>
      </w:pPr>
      <w:r w:rsidRPr="00601F99">
        <w:rPr>
          <w:rFonts w:ascii="Calibri" w:eastAsiaTheme="minorEastAsia" w:hAnsi="Calibri" w:cs="Calibri"/>
          <w:noProof/>
          <w:color w:val="0D0D0D" w:themeColor="text1" w:themeTint="F2"/>
          <w:sz w:val="14"/>
          <w:szCs w:val="18"/>
          <w:lang w:eastAsia="el-GR"/>
        </w:rPr>
        <w:pict>
          <v:shape id="Text Box 75" o:spid="_x0000_s1033" type="#_x0000_t202" style="position:absolute;left:0;text-align:left;margin-left:-10.95pt;margin-top:13pt;width:354.75pt;height:21.0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" filled="f" stroked="f" strokeweight=".5pt">
            <v:textbox>
              <w:txbxContent>
                <w:p w:rsidR="00B23D70" w:rsidRPr="00791D96" w:rsidRDefault="00B23D70" w:rsidP="00AC35D0">
                  <w:pPr>
                    <w:ind w:left="-142"/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</w:rPr>
                  </w:pPr>
                  <w:r w:rsidRPr="00791D96"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</w:rPr>
                    <w:t>Χρηματοδ</w:t>
                  </w:r>
                  <w:r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</w:rPr>
                    <w:t>ότησηαπόΕυρωσύστημα</w:t>
                  </w:r>
                  <w:r w:rsidRPr="00791D96"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</w:rPr>
                    <w:t xml:space="preserve"> (€δισ.)</w:t>
                  </w:r>
                  <w:r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</w:rPr>
                    <w:t xml:space="preserve">Δείκτης Κεφαλαιακής Επάρκειας </w:t>
                  </w:r>
                  <w:r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  <w:lang w:val="en-US"/>
                    </w:rPr>
                    <w:t>C</w:t>
                  </w:r>
                  <w:r w:rsidRPr="00791D96"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  <w:lang w:val="en-US"/>
                    </w:rPr>
                    <w:t>ET</w:t>
                  </w:r>
                  <w:r w:rsidRPr="00791D96"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</w:rPr>
                    <w:t>-1</w:t>
                  </w:r>
                </w:p>
              </w:txbxContent>
            </v:textbox>
          </v:shape>
        </w:pict>
      </w:r>
      <w:r w:rsidR="00E0021F" w:rsidRPr="00E0021F">
        <w:rPr>
          <w:rFonts w:ascii="Calibri" w:eastAsiaTheme="minorEastAsia" w:hAnsi="Calibri" w:cs="Calibri"/>
          <w:noProof/>
          <w:color w:val="0D0D0D" w:themeColor="text1" w:themeTint="F2"/>
          <w:sz w:val="14"/>
          <w:szCs w:val="18"/>
          <w:lang w:val="en-US"/>
        </w:rPr>
        <w:drawing>
          <wp:anchor distT="0" distB="0" distL="114300" distR="114300" simplePos="0" relativeHeight="251728895" behindDoc="0" locked="0" layoutInCell="1" allowOverlap="1">
            <wp:simplePos x="0" y="0"/>
            <wp:positionH relativeFrom="margin">
              <wp:posOffset>-182245</wp:posOffset>
            </wp:positionH>
            <wp:positionV relativeFrom="paragraph">
              <wp:posOffset>238125</wp:posOffset>
            </wp:positionV>
            <wp:extent cx="1870075" cy="1920240"/>
            <wp:effectExtent l="0" t="0" r="0" b="0"/>
            <wp:wrapSquare wrapText="bothSides"/>
            <wp:docPr id="15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823683" w:rsidRPr="008640A5" w:rsidRDefault="00601F99" w:rsidP="00782800">
      <w:pPr>
        <w:ind w:left="360"/>
        <w:rPr>
          <w:rFonts w:cs="Calibri"/>
          <w:color w:val="0D0D0D" w:themeColor="text1" w:themeTint="F2"/>
          <w:sz w:val="19"/>
          <w:szCs w:val="19"/>
        </w:rPr>
      </w:pPr>
      <w:r w:rsidRPr="00601F99">
        <w:rPr>
          <w:noProof/>
          <w:color w:val="000000" w:themeColor="text1"/>
          <w:sz w:val="14"/>
          <w:szCs w:val="18"/>
          <w:lang w:eastAsia="el-GR"/>
        </w:rPr>
        <w:pict>
          <v:rect id="Rectangle 113" o:spid="_x0000_s1034" style="position:absolute;left:0;text-align:left;margin-left:181.35pt;margin-top:145.05pt;width:175.2pt;height:26.15pt;z-index:2517657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" filled="f" strokecolor="window" strokeweight="2pt">
            <v:textbox>
              <w:txbxContent>
                <w:p w:rsidR="00B23D70" w:rsidRPr="00C7242C" w:rsidRDefault="00B23D70" w:rsidP="000C6468">
                  <w:pPr>
                    <w:rPr>
                      <w:color w:val="000000" w:themeColor="text1"/>
                      <w:sz w:val="12"/>
                      <w:szCs w:val="12"/>
                    </w:rPr>
                  </w:pPr>
                  <w:r w:rsidRPr="00C7242C">
                    <w:rPr>
                      <w:color w:val="000000" w:themeColor="text1"/>
                      <w:sz w:val="12"/>
                      <w:szCs w:val="12"/>
                    </w:rPr>
                    <w:t>*Ι</w:t>
                  </w:r>
                  <w:r>
                    <w:rPr>
                      <w:color w:val="000000" w:themeColor="text1"/>
                      <w:sz w:val="12"/>
                      <w:szCs w:val="12"/>
                    </w:rPr>
                    <w:t>ουν</w:t>
                  </w:r>
                  <w:r w:rsidRPr="00C7242C">
                    <w:rPr>
                      <w:color w:val="000000" w:themeColor="text1"/>
                      <w:sz w:val="12"/>
                      <w:szCs w:val="12"/>
                    </w:rPr>
                    <w:t xml:space="preserve">. &amp; Σεπ. 17 </w:t>
                  </w:r>
                  <w:r>
                    <w:rPr>
                      <w:color w:val="000000" w:themeColor="text1"/>
                      <w:sz w:val="12"/>
                      <w:szCs w:val="12"/>
                      <w:lang w:val="en-US"/>
                    </w:rPr>
                    <w:t>pro</w:t>
                  </w:r>
                  <w:r w:rsidRPr="00C7242C">
                    <w:rPr>
                      <w:color w:val="000000" w:themeColor="text1"/>
                      <w:sz w:val="12"/>
                      <w:szCs w:val="12"/>
                    </w:rPr>
                    <w:t>-</w:t>
                  </w:r>
                  <w:r>
                    <w:rPr>
                      <w:color w:val="000000" w:themeColor="text1"/>
                      <w:sz w:val="12"/>
                      <w:szCs w:val="12"/>
                      <w:lang w:val="en-US"/>
                    </w:rPr>
                    <w:t>forma</w:t>
                  </w:r>
                  <w:r w:rsidRPr="00C7242C">
                    <w:rPr>
                      <w:color w:val="000000" w:themeColor="text1"/>
                      <w:sz w:val="12"/>
                      <w:szCs w:val="12"/>
                    </w:rPr>
                    <w:t xml:space="preserve"> για </w:t>
                  </w:r>
                  <w:r>
                    <w:rPr>
                      <w:color w:val="000000" w:themeColor="text1"/>
                      <w:sz w:val="12"/>
                      <w:szCs w:val="12"/>
                    </w:rPr>
                    <w:t>την πώληση της</w:t>
                  </w:r>
                  <w:r>
                    <w:rPr>
                      <w:color w:val="000000" w:themeColor="text1"/>
                      <w:sz w:val="12"/>
                      <w:szCs w:val="12"/>
                      <w:lang w:val="en-US"/>
                    </w:rPr>
                    <w:t>AVIS</w:t>
                  </w:r>
                  <w:r w:rsidRPr="00C7242C">
                    <w:rPr>
                      <w:color w:val="000000" w:themeColor="text1"/>
                      <w:sz w:val="12"/>
                      <w:szCs w:val="12"/>
                    </w:rPr>
                    <w:t xml:space="preserve"> Ελλ</w:t>
                  </w:r>
                  <w:r>
                    <w:rPr>
                      <w:color w:val="000000" w:themeColor="text1"/>
                      <w:sz w:val="12"/>
                      <w:szCs w:val="12"/>
                    </w:rPr>
                    <w:t>άς</w:t>
                  </w:r>
                  <w:r w:rsidR="00450520">
                    <w:rPr>
                      <w:color w:val="000000" w:themeColor="text1"/>
                      <w:sz w:val="12"/>
                      <w:szCs w:val="12"/>
                    </w:rPr>
                    <w:t>, Ε. Ντυνάν</w:t>
                  </w:r>
                  <w:bookmarkStart w:id="0" w:name="_GoBack"/>
                  <w:bookmarkEnd w:id="0"/>
                  <w:r w:rsidRPr="00C7242C">
                    <w:rPr>
                      <w:color w:val="000000" w:themeColor="text1"/>
                      <w:sz w:val="12"/>
                      <w:szCs w:val="12"/>
                    </w:rPr>
                    <w:t>&amp; δραστηριοτ</w:t>
                  </w:r>
                  <w:r>
                    <w:rPr>
                      <w:color w:val="000000" w:themeColor="text1"/>
                      <w:sz w:val="12"/>
                      <w:szCs w:val="12"/>
                    </w:rPr>
                    <w:t>ήτων στη Σερβία</w:t>
                  </w:r>
                </w:p>
              </w:txbxContent>
            </v:textbox>
            <w10:wrap anchorx="margin"/>
          </v:rect>
        </w:pict>
      </w:r>
      <w:r w:rsidRPr="00601F99">
        <w:rPr>
          <w:noProof/>
          <w:lang w:eastAsia="el-GR"/>
        </w:rPr>
        <w:pict>
          <v:shape id="TextBox 24" o:spid="_x0000_s1035" type="#_x0000_t202" style="position:absolute;left:0;text-align:left;margin-left:111.15pt;margin-top:86.7pt;width:19.85pt;height:15.8pt;z-index:2517452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" filled="f" stroked="f">
            <v:textbox inset="2.53925mm,1.2697mm,2.53925mm,1.2697mm">
              <w:txbxContent>
                <w:p w:rsidR="00B23D70" w:rsidRPr="00FE4934" w:rsidRDefault="00B23D70" w:rsidP="00E0021F">
                  <w:pPr>
                    <w:pStyle w:val="Web"/>
                    <w:spacing w:before="0" w:beforeAutospacing="0" w:after="0" w:afterAutospacing="0"/>
                  </w:pPr>
                  <w:r w:rsidRPr="00FE4934">
                    <w:rPr>
                      <w:rFonts w:asciiTheme="minorHAnsi" w:hAnsi="Calibri" w:cstheme="minorBidi"/>
                      <w:bCs/>
                      <w:color w:val="000000"/>
                      <w:sz w:val="14"/>
                      <w:szCs w:val="14"/>
                      <w:lang w:val="en-US"/>
                    </w:rPr>
                    <w:t>1</w:t>
                  </w:r>
                  <w:r>
                    <w:rPr>
                      <w:rFonts w:asciiTheme="minorHAnsi" w:hAnsi="Calibri" w:cstheme="minorBidi"/>
                      <w:bCs/>
                      <w:color w:val="000000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Pr="00601F99">
        <w:rPr>
          <w:noProof/>
          <w:lang w:eastAsia="el-GR"/>
        </w:rPr>
        <w:pict>
          <v:shape id="_x0000_s1036" type="#_x0000_t202" style="position:absolute;left:0;text-align:left;margin-left:94.15pt;margin-top:83.35pt;width:19.85pt;height:15.8pt;z-index:2517719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" filled="f" stroked="f">
            <v:textbox inset="2.53925mm,1.2697mm,2.53925mm,1.2697mm">
              <w:txbxContent>
                <w:p w:rsidR="00B23D70" w:rsidRPr="00E03BD6" w:rsidRDefault="00B23D70" w:rsidP="00E03BD6">
                  <w:pPr>
                    <w:pStyle w:val="Web"/>
                    <w:spacing w:before="0" w:beforeAutospacing="0" w:after="0" w:afterAutospacing="0"/>
                  </w:pPr>
                  <w:r w:rsidRPr="00E03BD6">
                    <w:rPr>
                      <w:rFonts w:asciiTheme="minorHAnsi" w:hAnsi="Calibri" w:cstheme="minorBidi"/>
                      <w:bCs/>
                      <w:color w:val="000000"/>
                      <w:sz w:val="14"/>
                      <w:szCs w:val="14"/>
                      <w:lang w:val="en-US"/>
                    </w:rPr>
                    <w:t>16</w:t>
                  </w:r>
                </w:p>
              </w:txbxContent>
            </v:textbox>
          </v:shape>
        </w:pict>
      </w:r>
      <w:r w:rsidRPr="00601F99">
        <w:rPr>
          <w:noProof/>
          <w:lang w:eastAsia="el-GR"/>
        </w:rPr>
        <w:pict>
          <v:shape id="_x0000_s1037" type="#_x0000_t202" style="position:absolute;left:0;text-align:left;margin-left:77.7pt;margin-top:81.7pt;width:19.85pt;height:15.8pt;z-index:2517585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" filled="f" stroked="f">
            <v:textbox inset="2.53925mm,1.2697mm,2.53925mm,1.2697mm">
              <w:txbxContent>
                <w:p w:rsidR="00B23D70" w:rsidRPr="00DD3104" w:rsidRDefault="00B23D70" w:rsidP="00DD3104">
                  <w:pPr>
                    <w:pStyle w:val="Web"/>
                    <w:spacing w:before="0" w:beforeAutospacing="0" w:after="0" w:afterAutospacing="0"/>
                  </w:pPr>
                  <w:r w:rsidRPr="00DD3104">
                    <w:rPr>
                      <w:rFonts w:asciiTheme="minorHAnsi" w:hAnsi="Calibri" w:cstheme="minorBidi"/>
                      <w:bCs/>
                      <w:color w:val="000000"/>
                      <w:sz w:val="14"/>
                      <w:szCs w:val="14"/>
                      <w:lang w:val="en-US"/>
                    </w:rPr>
                    <w:t>15</w:t>
                  </w:r>
                </w:p>
              </w:txbxContent>
            </v:textbox>
          </v:shape>
        </w:pict>
      </w:r>
      <w:r w:rsidRPr="00601F99">
        <w:rPr>
          <w:noProof/>
          <w:lang w:eastAsia="el-GR"/>
        </w:rPr>
        <w:pict>
          <v:shape id="_x0000_s1038" type="#_x0000_t202" style="position:absolute;left:0;text-align:left;margin-left:60.75pt;margin-top:70.8pt;width:19.9pt;height:15.85pt;z-index:2517493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" filled="f" stroked="f">
            <v:textbox inset="2.53925mm,1.2697mm,2.53925mm,1.2697mm">
              <w:txbxContent>
                <w:p w:rsidR="00B23D70" w:rsidRPr="007C31E5" w:rsidRDefault="00B23D70" w:rsidP="007C31E5">
                  <w:pPr>
                    <w:pStyle w:val="Web"/>
                    <w:spacing w:before="0" w:beforeAutospacing="0" w:after="0" w:afterAutospacing="0"/>
                  </w:pPr>
                  <w:r w:rsidRPr="007C31E5">
                    <w:rPr>
                      <w:rFonts w:asciiTheme="minorHAnsi" w:hAnsi="Calibri" w:cstheme="minorBidi"/>
                      <w:bCs/>
                      <w:color w:val="000000"/>
                      <w:sz w:val="14"/>
                      <w:szCs w:val="14"/>
                      <w:lang w:val="en-US"/>
                    </w:rPr>
                    <w:t>21</w:t>
                  </w:r>
                </w:p>
              </w:txbxContent>
            </v:textbox>
          </v:shape>
        </w:pict>
      </w:r>
      <w:r w:rsidRPr="00601F99">
        <w:rPr>
          <w:noProof/>
          <w:lang w:eastAsia="el-GR"/>
        </w:rPr>
        <w:pict>
          <v:shape id="_x0000_s1039" type="#_x0000_t202" style="position:absolute;left:0;text-align:left;margin-left:27.4pt;margin-top:58.8pt;width:21.7pt;height:14.6pt;z-index:2517432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" filled="f" stroked="f">
            <v:textbox inset="2.53925mm,1.2697mm,2.53925mm,1.2697mm">
              <w:txbxContent>
                <w:p w:rsidR="00B23D70" w:rsidRPr="00C200AA" w:rsidRDefault="00B23D70" w:rsidP="00E0021F">
                  <w:pPr>
                    <w:pStyle w:val="Web"/>
                    <w:spacing w:before="0" w:beforeAutospacing="0" w:after="0" w:afterAutospacing="0"/>
                    <w:rPr>
                      <w:lang w:val="en-US"/>
                    </w:rPr>
                  </w:pPr>
                  <w:r>
                    <w:rPr>
                      <w:rFonts w:asciiTheme="minorHAnsi" w:hAnsi="Calibri" w:cstheme="minorBidi"/>
                      <w:bCs/>
                      <w:sz w:val="14"/>
                      <w:szCs w:val="14"/>
                      <w:lang w:val="en-US"/>
                    </w:rPr>
                    <w:t>27</w:t>
                  </w:r>
                </w:p>
              </w:txbxContent>
            </v:textbox>
          </v:shape>
        </w:pict>
      </w:r>
      <w:r w:rsidRPr="00601F99">
        <w:rPr>
          <w:noProof/>
          <w:lang w:eastAsia="el-G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ectangular Callout 25" o:spid="_x0000_s1040" type="#_x0000_t62" style="position:absolute;left:0;text-align:left;margin-left:268.5pt;margin-top:57.85pt;width:63.5pt;height:26.5pt;z-index:251724795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" adj="1313,51945" fillcolor="#c6d9f1" strokecolor="white [3212]" strokeweight="2pt">
            <v:textbox inset="2.54053mm,1.2703mm,2.54053mm,1.2703mm">
              <w:txbxContent>
                <w:p w:rsidR="00B23D70" w:rsidRPr="00C7242C" w:rsidRDefault="00B23D70" w:rsidP="00ED056F">
                  <w:pPr>
                    <w:pStyle w:val="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3A73AE"/>
                      <w:kern w:val="24"/>
                      <w:sz w:val="12"/>
                      <w:szCs w:val="12"/>
                      <w:lang w:val="en-US"/>
                    </w:rPr>
                    <w:t>ELA</w:t>
                  </w:r>
                  <w:r w:rsidRPr="009245BF">
                    <w:rPr>
                      <w:rFonts w:asciiTheme="minorHAnsi" w:hAnsi="Calibri" w:cstheme="minorBidi"/>
                      <w:color w:val="3A73AE"/>
                      <w:kern w:val="24"/>
                      <w:sz w:val="12"/>
                      <w:szCs w:val="12"/>
                    </w:rPr>
                    <w:t>&lt;</w:t>
                  </w:r>
                  <w:r w:rsidRPr="00C7242C">
                    <w:rPr>
                      <w:rFonts w:asciiTheme="minorHAnsi" w:hAnsi="Calibri" w:cstheme="minorBidi"/>
                      <w:color w:val="3A73AE"/>
                      <w:kern w:val="24"/>
                      <w:sz w:val="12"/>
                      <w:szCs w:val="12"/>
                    </w:rPr>
                    <w:t xml:space="preserve">€6δισ. </w:t>
                  </w:r>
                  <w:r>
                    <w:rPr>
                      <w:rFonts w:asciiTheme="minorHAnsi" w:hAnsi="Calibri" w:cstheme="minorBidi"/>
                      <w:color w:val="3A73AE"/>
                      <w:kern w:val="24"/>
                      <w:sz w:val="12"/>
                      <w:szCs w:val="12"/>
                    </w:rPr>
                    <w:t>σ</w:t>
                  </w:r>
                  <w:r w:rsidRPr="00C7242C">
                    <w:rPr>
                      <w:rFonts w:asciiTheme="minorHAnsi" w:hAnsi="Calibri" w:cstheme="minorBidi"/>
                      <w:color w:val="3A73AE"/>
                      <w:kern w:val="24"/>
                      <w:sz w:val="12"/>
                      <w:szCs w:val="12"/>
                    </w:rPr>
                    <w:t xml:space="preserve">τα </w:t>
                  </w:r>
                  <w:r>
                    <w:rPr>
                      <w:rFonts w:asciiTheme="minorHAnsi" w:hAnsi="Calibri" w:cstheme="minorBidi"/>
                      <w:color w:val="3A73AE"/>
                      <w:kern w:val="24"/>
                      <w:sz w:val="12"/>
                      <w:szCs w:val="12"/>
                    </w:rPr>
                    <w:t>τέλη</w:t>
                  </w:r>
                  <w:r>
                    <w:rPr>
                      <w:rFonts w:asciiTheme="minorHAnsi" w:hAnsi="Calibri" w:cstheme="minorBidi"/>
                      <w:color w:val="3A73AE"/>
                      <w:kern w:val="24"/>
                      <w:sz w:val="12"/>
                      <w:szCs w:val="12"/>
                      <w:lang w:val="en-US"/>
                    </w:rPr>
                    <w:t>No</w:t>
                  </w:r>
                  <w:r w:rsidRPr="00C7242C">
                    <w:rPr>
                      <w:rFonts w:asciiTheme="minorHAnsi" w:hAnsi="Calibri" w:cstheme="minorBidi"/>
                      <w:color w:val="3A73AE"/>
                      <w:kern w:val="24"/>
                      <w:sz w:val="12"/>
                      <w:szCs w:val="12"/>
                    </w:rPr>
                    <w:t>εμ. 2017</w:t>
                  </w:r>
                </w:p>
              </w:txbxContent>
            </v:textbox>
            <w10:wrap anchorx="page"/>
          </v:shape>
        </w:pict>
      </w:r>
      <w:r w:rsidRPr="00601F99">
        <w:rPr>
          <w:noProof/>
          <w:lang w:eastAsia="el-GR"/>
        </w:rPr>
        <w:pict>
          <v:shape id="_x0000_s1041" type="#_x0000_t202" style="position:absolute;left:0;text-align:left;margin-left:7.65pt;margin-top:51.95pt;width:21.7pt;height:15.85pt;z-index:2517422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" filled="f" stroked="f">
            <v:textbox style="mso-fit-shape-to-text:t" inset="2.53925mm,1.2697mm,2.53925mm,1.2697mm">
              <w:txbxContent>
                <w:p w:rsidR="00B23D70" w:rsidRPr="007C31E5" w:rsidRDefault="00B23D70" w:rsidP="00E0021F">
                  <w:pPr>
                    <w:pStyle w:val="Web"/>
                    <w:spacing w:before="0" w:beforeAutospacing="0" w:after="0" w:afterAutospacing="0"/>
                    <w:rPr>
                      <w:lang w:val="en-US"/>
                    </w:rPr>
                  </w:pPr>
                  <w:r>
                    <w:rPr>
                      <w:rFonts w:asciiTheme="minorHAnsi" w:hAnsi="Calibri" w:cstheme="minorBidi"/>
                      <w:bCs/>
                      <w:sz w:val="14"/>
                      <w:szCs w:val="14"/>
                    </w:rPr>
                    <w:t>3</w:t>
                  </w:r>
                  <w:r>
                    <w:rPr>
                      <w:rFonts w:asciiTheme="minorHAnsi" w:hAnsi="Calibri" w:cstheme="minorBidi"/>
                      <w:bCs/>
                      <w:sz w:val="14"/>
                      <w:szCs w:val="14"/>
                      <w:lang w:val="en-US"/>
                    </w:rPr>
                    <w:t>0</w:t>
                  </w:r>
                </w:p>
              </w:txbxContent>
            </v:textbox>
          </v:shape>
        </w:pict>
      </w:r>
      <w:r w:rsidR="00CE17C0">
        <w:rPr>
          <w:noProof/>
          <w:lang w:val="en-US"/>
        </w:rPr>
        <w:drawing>
          <wp:inline distT="0" distB="0" distL="0" distR="0">
            <wp:extent cx="2434614" cy="1924050"/>
            <wp:effectExtent l="0" t="0" r="0" b="0"/>
            <wp:docPr id="76" name="Chart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B5E4C" w:rsidRPr="008059CA" w:rsidRDefault="008059CA" w:rsidP="008059CA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  <w:r w:rsidRPr="0016067D">
        <w:rPr>
          <w:rFonts w:eastAsiaTheme="minorEastAsia" w:cs="Calibri"/>
          <w:color w:val="003C96" w:themeColor="text2"/>
          <w:sz w:val="28"/>
          <w:szCs w:val="28"/>
        </w:rPr>
        <w:t>Ε</w:t>
      </w:r>
      <w:r>
        <w:rPr>
          <w:rFonts w:eastAsiaTheme="minorEastAsia" w:cs="Calibri"/>
          <w:color w:val="003C96" w:themeColor="text2"/>
          <w:sz w:val="28"/>
          <w:szCs w:val="28"/>
        </w:rPr>
        <w:t>ΝΑΛΛΑΚΤΙΚΟΙΔΕΙΚΤΕΣΜΕΤΡΗΣΗΣΑΠΟΔΟΣΗΣ(ΕΔΜΑ) ΣΕΕΠΙΠΕΔΟΟΜΙΛΟΥ</w:t>
      </w:r>
    </w:p>
    <w:p w:rsidR="00F52DEC" w:rsidRPr="008059CA" w:rsidRDefault="00F52DEC">
      <w:pPr>
        <w:rPr>
          <w:rFonts w:eastAsiaTheme="minorEastAsia" w:cs="Calibri"/>
          <w:color w:val="0D0D0D" w:themeColor="text1" w:themeTint="F2"/>
          <w:sz w:val="19"/>
          <w:szCs w:val="19"/>
        </w:rPr>
      </w:pPr>
    </w:p>
    <w:tbl>
      <w:tblPr>
        <w:tblW w:w="8533" w:type="dxa"/>
        <w:tblInd w:w="-998" w:type="dxa"/>
        <w:tblBorders>
          <w:top w:val="single" w:sz="4" w:space="0" w:color="3A73AE" w:themeColor="accent1"/>
          <w:left w:val="single" w:sz="4" w:space="0" w:color="3A73AE" w:themeColor="accent1"/>
          <w:bottom w:val="single" w:sz="4" w:space="0" w:color="3A73AE" w:themeColor="accent1"/>
          <w:right w:val="single" w:sz="4" w:space="0" w:color="3A73AE" w:themeColor="accent1"/>
          <w:insideH w:val="single" w:sz="4" w:space="0" w:color="3A73AE" w:themeColor="accent1"/>
          <w:insideV w:val="single" w:sz="4" w:space="0" w:color="3A73AE" w:themeColor="accent1"/>
        </w:tblBorders>
        <w:tblLook w:val="04A0"/>
      </w:tblPr>
      <w:tblGrid>
        <w:gridCol w:w="374"/>
        <w:gridCol w:w="2559"/>
        <w:gridCol w:w="5600"/>
      </w:tblGrid>
      <w:tr w:rsidR="00E03BD6" w:rsidRPr="00F52DEC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  <w:hideMark/>
          </w:tcPr>
          <w:p w:rsidR="00E03BD6" w:rsidRPr="00920A5F" w:rsidRDefault="00E03BD6" w:rsidP="00DB096E">
            <w:pPr>
              <w:spacing w:after="0" w:line="240" w:lineRule="exact"/>
              <w:ind w:left="-103" w:right="-133"/>
              <w:jc w:val="center"/>
              <w:rPr>
                <w:rFonts w:cs="Segoe UI"/>
                <w:b/>
                <w:iCs/>
                <w:color w:val="002060"/>
                <w:sz w:val="16"/>
                <w:szCs w:val="16"/>
                <w:lang w:val="en-US"/>
              </w:rPr>
            </w:pPr>
            <w:r w:rsidRPr="00920A5F">
              <w:rPr>
                <w:rFonts w:cs="Segoe UI"/>
                <w:b/>
                <w:iCs/>
                <w:color w:val="002060"/>
                <w:sz w:val="16"/>
                <w:szCs w:val="16"/>
                <w:lang w:val="en-US"/>
              </w:rPr>
              <w:t>#</w:t>
            </w:r>
          </w:p>
        </w:tc>
        <w:tc>
          <w:tcPr>
            <w:tcW w:w="2559" w:type="dxa"/>
            <w:shd w:val="clear" w:color="auto" w:fill="auto"/>
            <w:vAlign w:val="center"/>
            <w:hideMark/>
          </w:tcPr>
          <w:p w:rsidR="00E03BD6" w:rsidRPr="00B00E4A" w:rsidRDefault="008059CA" w:rsidP="00DB096E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6"/>
                <w:szCs w:val="16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6"/>
                <w:szCs w:val="16"/>
              </w:rPr>
              <w:t>Δείκτες Μέτρησης Απόδοσης</w:t>
            </w:r>
          </w:p>
        </w:tc>
        <w:tc>
          <w:tcPr>
            <w:tcW w:w="5600" w:type="dxa"/>
            <w:shd w:val="clear" w:color="auto" w:fill="auto"/>
            <w:vAlign w:val="center"/>
            <w:hideMark/>
          </w:tcPr>
          <w:p w:rsidR="00E03BD6" w:rsidRPr="00B00E4A" w:rsidRDefault="008059CA" w:rsidP="00DB096E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6"/>
                <w:szCs w:val="16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6"/>
                <w:szCs w:val="16"/>
              </w:rPr>
              <w:t>Επεξήγηση</w:t>
            </w:r>
          </w:p>
        </w:tc>
      </w:tr>
      <w:tr w:rsidR="00DA3CE0" w:rsidRPr="00370D02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DA3CE0" w:rsidRPr="008059CA" w:rsidRDefault="008059CA" w:rsidP="00DB096E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DA3CE0" w:rsidRPr="00DA3CE0" w:rsidRDefault="00DA3CE0" w:rsidP="00DB096E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ΝΙΙ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DA3CE0" w:rsidRPr="00DA3CE0" w:rsidRDefault="00DA3CE0" w:rsidP="00DB096E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Καθαρά έσοδα τόκων </w:t>
            </w:r>
          </w:p>
        </w:tc>
      </w:tr>
      <w:tr w:rsidR="00DA3CE0" w:rsidRPr="00370D02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DA3CE0" w:rsidRPr="008059CA" w:rsidRDefault="008059CA" w:rsidP="00DB096E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DA3CE0" w:rsidRPr="00DA3CE0" w:rsidRDefault="00DA3CE0" w:rsidP="00DB096E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DTAs (Deferred Tax Assets</w:t>
            </w:r>
            <w:r w:rsidR="0047253E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DA3CE0" w:rsidRPr="00F52DEC" w:rsidRDefault="00DA3CE0" w:rsidP="00DB096E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Αναβαλλόμενοι Φόροι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Pr="002304FE" w:rsidRDefault="002304FE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3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770D20">
              <w:rPr>
                <w:rFonts w:cs="Segoe UI"/>
                <w:b/>
                <w:iCs/>
                <w:color w:val="002060"/>
                <w:sz w:val="14"/>
                <w:szCs w:val="14"/>
              </w:rPr>
              <w:t>Προσαρμογ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ή σε Εύλογη Αξία του Κόστους Επιμερισμού Εξαγορών </w:t>
            </w:r>
            <w:r w:rsidRPr="00770D20">
              <w:rPr>
                <w:rFonts w:cs="Segoe UI"/>
                <w:b/>
                <w:iCs/>
                <w:color w:val="002060"/>
                <w:sz w:val="14"/>
                <w:szCs w:val="14"/>
              </w:rPr>
              <w:t>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PPA</w:t>
            </w:r>
            <w:r w:rsidRPr="00770D20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H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προσαρμογ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ή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σε εύλογη αξία 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) των εξαγορασθεισών δραστηριοτήτων επτά τραπεζών (πρώην ΑΤΕ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δραστηριότητες στην Ελλάδα των Κυπριακών τραπεζών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Τράπεζα Κύπρου, Λαϊκή Τράπεζα Κύπρου, Ελληνική Τράπεζα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MillenniumBank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ΑΕ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, Γενική Τράπεζα Α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Πανελλήνια Τράπεζα ΑΕ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) ύψους €</w:t>
            </w:r>
            <w:r w:rsidRPr="00770D20">
              <w:rPr>
                <w:rFonts w:cs="Segoe UI"/>
                <w:iCs/>
                <w:color w:val="000000" w:themeColor="text1"/>
                <w:sz w:val="14"/>
                <w:szCs w:val="14"/>
              </w:rPr>
              <w:t>8,1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δισ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Default="002304FE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4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F55290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Δάνεια προ Προβλέψεων 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Δάνεια και απαιτήσεις από πελάτες προ προβλέψεων και προσαρμογών σε εύλογη αξία 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) των εξαγορασθεισών δραστηριοτήτων επτά τραπεζών (πρώην 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lastRenderedPageBreak/>
              <w:t>ΑΤΕ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δραστηριότητες στην Ελλάδα των Κυπριακών τραπεζών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Τράπεζα Κύπρου, Λαϊκή Τράπεζα Κύπρου, Ελλην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ική Τράπεζα-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MillenniumBank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ΑΕ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, Γενική Τράπεζα Α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Πανελλήνια Τράπεζα ΑΕ</w:t>
            </w:r>
            <w:r w:rsidRPr="0090552F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ύψους </w:t>
            </w:r>
            <w:r w:rsidRPr="003D3F5E">
              <w:rPr>
                <w:rFonts w:cs="Segoe UI"/>
                <w:iCs/>
                <w:color w:val="000000" w:themeColor="text1"/>
                <w:sz w:val="14"/>
                <w:szCs w:val="14"/>
              </w:rPr>
              <w:t>€8,1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δισ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Default="002304FE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lastRenderedPageBreak/>
              <w:t>5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F55290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Δάνεια μετά από Π</w:t>
            </w:r>
            <w:r w:rsidRPr="00B71F77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ροβλέψεις 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244506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Δάνεια και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απαιτήσειςαπό</w:t>
            </w:r>
            <w:r w:rsidRPr="00244506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πελάτες μετά από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προβλέψεις</w:t>
            </w:r>
            <w:r w:rsidRPr="00244506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προσαρμογές, συμπερι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λαμβανομένων των προσαρμογών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</w:rPr>
              <w:t>σε εύλογη αξία 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των εξαγορασθεισών δραστηριοτήτων επτά τραπεζών (πρώην ΑΤΕ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δραστηριότητες στην Ελλάδα των Κυπριακών τραπεζών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Τράπεζα Κύπρου, Λαϊκή Τράπεζα Κύπρου, Ελληνική Τράπεζα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MillenniumBank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ΑΕ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, Γενική Τράπεζα Α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Πανελλήνια Τράπεζα ΑΕ</w:t>
            </w:r>
            <w:r w:rsidRPr="0090552F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ύψους </w:t>
            </w:r>
            <w:r w:rsidRPr="003D3F5E">
              <w:rPr>
                <w:rFonts w:cs="Segoe UI"/>
                <w:iCs/>
                <w:color w:val="000000" w:themeColor="text1"/>
                <w:sz w:val="14"/>
                <w:szCs w:val="14"/>
              </w:rPr>
              <w:t>€8,1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δισ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Pr="002304FE" w:rsidRDefault="002304FE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6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B71F77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Δείκτης Δανείων 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μετά από Προβλέψεις </w:t>
            </w:r>
            <w:r w:rsidRPr="00B71F77">
              <w:rPr>
                <w:rFonts w:cs="Segoe UI"/>
                <w:b/>
                <w:iCs/>
                <w:color w:val="002060"/>
                <w:sz w:val="14"/>
                <w:szCs w:val="14"/>
              </w:rPr>
              <w:t>προς Καταθέσεις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B71F77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Δάνεια και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απαιτήσεις από</w:t>
            </w:r>
            <w:r w:rsidRPr="00B71F77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πελάτες μετά από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προβλέψεις</w:t>
            </w:r>
            <w:r w:rsidRPr="00B71F77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προσαρμογές, συμπερι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λαμβανομένων των προσαρμογών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</w:rPr>
              <w:t>σε εύλογη αξία 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προς καταθέσειςπελατών</w:t>
            </w:r>
          </w:p>
        </w:tc>
      </w:tr>
      <w:tr w:rsidR="002304FE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304FE" w:rsidRPr="002304FE" w:rsidRDefault="002304FE" w:rsidP="002304FE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7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304FE" w:rsidRPr="00F55290" w:rsidRDefault="002304FE" w:rsidP="002304FE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Βασικά Τραπεζικά Έσοδα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304FE" w:rsidRPr="002A0DB3" w:rsidRDefault="002304FE" w:rsidP="002304FE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C644AA">
              <w:rPr>
                <w:rFonts w:cs="Segoe UI"/>
                <w:iCs/>
                <w:color w:val="000000" w:themeColor="text1"/>
                <w:sz w:val="14"/>
                <w:szCs w:val="14"/>
              </w:rPr>
              <w:t>Καθαρά έσοδα από τόκους συν καθαρά έσοδα από προμήθειες</w:t>
            </w:r>
          </w:p>
        </w:tc>
      </w:tr>
      <w:tr w:rsidR="002A0DB3" w:rsidRPr="00370D02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Default="002304FE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8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F55290" w:rsidRDefault="00405D7F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(Συνολικά) </w:t>
            </w:r>
            <w:r w:rsidR="002A0DB3">
              <w:rPr>
                <w:rFonts w:cs="Segoe UI"/>
                <w:b/>
                <w:iCs/>
                <w:color w:val="002060"/>
                <w:sz w:val="14"/>
                <w:szCs w:val="14"/>
              </w:rPr>
              <w:t>Καθαρά Έσοδα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866297" w:rsidRDefault="002A0DB3" w:rsidP="0086629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Καθαράέσοδαεξαιρώνταςτοέκτακτοχρηματοοικονομικόκέρδοςύψους</w:t>
            </w:r>
            <w:r w:rsidRPr="00945C5C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€77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εκατ</w:t>
            </w:r>
            <w:r w:rsidRPr="00945C5C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.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από την πώληση της συμμετοχής στη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VisaEurope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όταν γίνεται αναφορά στο 2016. Δεν υπάρχουν προσαρμογές στα καθαρά έσοδα </w:t>
            </w:r>
            <w:r w:rsidR="00866297">
              <w:rPr>
                <w:rFonts w:cs="Segoe UI"/>
                <w:iCs/>
                <w:color w:val="000000" w:themeColor="text1"/>
                <w:sz w:val="14"/>
                <w:szCs w:val="14"/>
              </w:rPr>
              <w:t>τρέχουσας περιόδου αναφοράς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Default="002304FE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9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Κέρδη προ Φόρων και Προβλέψεων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86629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Καθαράέσοδαεξαιρώνταςτοέκτακτοχρηματοοικονομικόκέρδοςύψους</w:t>
            </w:r>
            <w:r w:rsidRPr="00945C5C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€77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εκατ</w:t>
            </w:r>
            <w:r w:rsidRPr="00945C5C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.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από την πώληση της συμμετοχής στη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VisaEurope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όταν γίνεται αναφορά στο 2016 μείον τα συνολικά λειτουργικά έξοδα προ προβλέψεων. Δεν υπάρχουν προσαρμογές στα καθαρά έσοδα </w:t>
            </w:r>
            <w:r w:rsidR="00866297">
              <w:rPr>
                <w:rFonts w:cs="Segoe UI"/>
                <w:iCs/>
                <w:color w:val="000000" w:themeColor="text1"/>
                <w:sz w:val="14"/>
                <w:szCs w:val="14"/>
              </w:rPr>
              <w:t>της τρέχουσας περιόδου αναφοράς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και ως εκ τούτου το ποσό </w:t>
            </w:r>
            <w:r w:rsidR="00866297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της περιόδου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αντιστοιχεί στο «Κέρδος προ φόρων και προβλέψεων»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Default="002304FE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10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F55290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Κόστος προς Έσοδα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86629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Συνολικό λειτουργικό κόστος προς τα καθαρά έσοδαεξαιρώνταςτοέκτακτοχρηματοοικονομικόκέρδοςύψους</w:t>
            </w:r>
            <w:r w:rsidRPr="00945C5C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€77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εκατ</w:t>
            </w:r>
            <w:r w:rsidRPr="00945C5C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.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από την πώληση της συμμετοχής στη </w:t>
            </w:r>
            <w:r w:rsidRPr="006D1671">
              <w:rPr>
                <w:rFonts w:cs="Segoe UI"/>
                <w:iCs/>
                <w:color w:val="000000" w:themeColor="text1"/>
                <w:sz w:val="14"/>
                <w:szCs w:val="14"/>
              </w:rPr>
              <w:t>VisaEurope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όταν γίνεται αναφορά στο 2016. Για </w:t>
            </w:r>
            <w:r w:rsidR="00866297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την τρέχουσα περίοδο αναφοράς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ο δείκτης </w:t>
            </w:r>
            <w:r w:rsidRPr="006D1671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είναι τα συνολικά λειτουργικά έξοδα προ προβλέψεων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προς τοσύνολο των καθαρών εσόδων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Default="002304FE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11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Κεφαλαιακής Ε</w:t>
            </w:r>
            <w:r w:rsidRPr="003D75F3">
              <w:rPr>
                <w:rFonts w:cs="Segoe UI"/>
                <w:b/>
                <w:iCs/>
                <w:color w:val="002060"/>
                <w:sz w:val="14"/>
                <w:szCs w:val="14"/>
              </w:rPr>
              <w:t>πάρκειας CET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-1 σε 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pro</w:t>
            </w:r>
            <w:r w:rsidRPr="003D75F3">
              <w:rPr>
                <w:rFonts w:cs="Segoe UI"/>
                <w:b/>
                <w:iCs/>
                <w:color w:val="002060"/>
                <w:sz w:val="14"/>
                <w:szCs w:val="14"/>
              </w:rPr>
              <w:t>-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forma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βάση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Δείκτης κεφαλαιακής επάρκειας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CET</w:t>
            </w:r>
            <w:r w:rsidRPr="004175B7">
              <w:rPr>
                <w:rFonts w:cs="Segoe UI"/>
                <w:iCs/>
                <w:color w:val="000000" w:themeColor="text1"/>
                <w:sz w:val="14"/>
                <w:szCs w:val="14"/>
              </w:rPr>
              <w:t>-1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λαμβάνοντας υπόψη την ελάφρυνση των σταθμισμένων στοιχείων ενεργητικού (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RWA</w:t>
            </w:r>
            <w:r w:rsidRPr="004175B7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)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για τις προβλεπόμενες πωλήσεις της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AVIS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Ελλάς</w:t>
            </w:r>
            <w:r w:rsidR="00866297">
              <w:rPr>
                <w:rFonts w:cs="Segoe UI"/>
                <w:iCs/>
                <w:color w:val="000000" w:themeColor="text1"/>
                <w:sz w:val="14"/>
                <w:szCs w:val="14"/>
              </w:rPr>
              <w:t>, Ε. Ντυνάν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και της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PiraeusBankBeograd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και της τοπικής θυγατρικής της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leasing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Default="002304FE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12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F55290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Συνολικό 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Προσαρμοσμ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ένο Ενεργητικό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86629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Σύνολο ενεργητικού εξαιρώντας ενεργητικό από τις διακοπτόμενες δραστηριότητες ύψους €</w:t>
            </w:r>
            <w:r w:rsidR="00866297">
              <w:rPr>
                <w:rFonts w:cs="Segoe UI"/>
                <w:iCs/>
                <w:color w:val="000000" w:themeColor="text1"/>
                <w:sz w:val="14"/>
                <w:szCs w:val="14"/>
              </w:rPr>
              <w:t>986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εκατ. και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EFSF</w:t>
            </w:r>
            <w:r w:rsidRPr="0090552F">
              <w:rPr>
                <w:rFonts w:cs="Segoe UI"/>
                <w:iCs/>
                <w:color w:val="000000" w:themeColor="text1"/>
                <w:sz w:val="14"/>
                <w:szCs w:val="14"/>
              </w:rPr>
              <w:t>/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ESM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ομόλογα ύψους €</w:t>
            </w:r>
            <w:r w:rsidR="00866297">
              <w:rPr>
                <w:rFonts w:cs="Segoe UI"/>
                <w:iCs/>
                <w:color w:val="000000" w:themeColor="text1"/>
                <w:sz w:val="14"/>
                <w:szCs w:val="14"/>
              </w:rPr>
              <w:t>3.576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εκατ. 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Default="002304FE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13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F55290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Καθαρό Επιτοκιακό Περιθώριο</w:t>
            </w:r>
            <w:r w:rsidRPr="00EB0008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(</w:t>
            </w:r>
            <w:r w:rsidRPr="00F431DC"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NIM</w:t>
            </w:r>
            <w:r w:rsidRPr="00EB0008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Καθαρά έσοδα από τόκους προς το σύνολο προσαρμοσμένου ενεργητικού 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Default="002304FE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14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Καθαρά Έσοδα Προμηθειών προς Ενεργητικό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2304FE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Καθαρά έσοδα από προμήθειες προς το σύνολο προσαρμοσμένου ενεργητικού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Pr="00622049" w:rsidRDefault="00622049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15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F55290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Μη Εξυπηρετούμενα Δάνεια 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Ν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PL)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Προσαρμοσμένα δάνεια και απαιτήσεις από πελάτες σε καθυστέρηση άνω των 90 ημερών </w:t>
            </w:r>
            <w:r w:rsidRPr="00B930EC">
              <w:rPr>
                <w:rFonts w:cs="Segoe UI"/>
                <w:iCs/>
                <w:color w:val="000000" w:themeColor="text1"/>
                <w:sz w:val="14"/>
                <w:szCs w:val="14"/>
              </w:rPr>
              <w:t>προ προβλέψεων και προσαρμογών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</w:rPr>
              <w:t>σε εύλογη αξία 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των εξαγορασθεισών δραστηριοτήτων επτά τραπεζών (πρώην ΑΤΕ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δραστηριότητες στην Ελλάδα των Κυπριακών τραπεζών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Τράπεζα Κύπρου, Λαϊκή Τράπεζα Κύπρου, Ελληνική Τράπεζα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MillenniumBank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ΑΕ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, Γενική Τράπεζα Α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Πανελλήνια Τράπεζα ΑΕ</w:t>
            </w:r>
            <w:r w:rsidRPr="0090552F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Pr="00622049" w:rsidRDefault="00622049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16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F55290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</w:pPr>
            <w:r w:rsidRPr="00B930EC">
              <w:rPr>
                <w:rFonts w:cs="Segoe UI"/>
                <w:b/>
                <w:iCs/>
                <w:color w:val="002060"/>
                <w:sz w:val="14"/>
                <w:szCs w:val="14"/>
              </w:rPr>
              <w:t>Μη Εξυπηρετούμενα Ανοίγματα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 xml:space="preserve"> 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Ν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PE)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622049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Πιστοδοτικά ανοίγματα</w:t>
            </w:r>
            <w:r w:rsidRPr="00B930EC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εντός ισολογισμού προ προβλέψεων και προσαρμογών σε εύλογη αξία του κόστους επιμερισμού (PPA)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των εξαγορασθεισών δραστηριοτήτων επτά τραπεζών (πρώην ΑΤΕ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δραστηριότητες στην Ελλάδα των Κυπριακών τραπεζών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Τράπεζα Κύπρου, Λαϊκή Τράπεζα Κύπρου, Ελληνική Τράπεζα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MillenniumBank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ΑΕ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, Γενική Τράπεζα Α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Πανελλήνια Τράπεζα ΑΕ</w:t>
            </w:r>
            <w:r w:rsidRPr="0090552F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 w:rsidRPr="00B930EC">
              <w:rPr>
                <w:rFonts w:cs="Segoe UI"/>
                <w:iCs/>
                <w:color w:val="000000" w:themeColor="text1"/>
                <w:sz w:val="14"/>
                <w:szCs w:val="14"/>
              </w:rPr>
              <w:t>, τα οποία: (α) έχουν καθυστέρηση άνω των 90 ημερών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,</w:t>
            </w:r>
            <w:r w:rsidRPr="00B930EC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(β) έχουν υποστεί απομείωση ή ο οφειλέτης κρίνεται απίθανο να αποπληρώσει τις υποχρεώσεις του πλήρως χωρίς τη ρευστοποίηση καλυμμάτων, ανεξάρτητα από την ύπαρξη ποσού σε καθυστέρηση ή του αριθμού ημερών καθυστέρησης, (γ) έχουν υποστεί ρύθμιση και δεν έχει εκπνεύσει η περίοδος παρακολούθησης κατά τις προδιαγραφές της Ευρωπαϊκής Τραπεζικής Aρχής (δ) έχουν </w:t>
            </w:r>
            <w:r w:rsidRPr="009D1878">
              <w:rPr>
                <w:rFonts w:cs="Segoe UI"/>
                <w:iCs/>
                <w:color w:val="000000" w:themeColor="text1"/>
                <w:sz w:val="14"/>
                <w:szCs w:val="14"/>
              </w:rPr>
              <w:t>επιμόλυνση</w:t>
            </w:r>
            <w:r w:rsidRPr="00B930EC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από τα (α) ποσά, κατά τις προδιαγραφές της Ευρωπαϊκής Τραπεζικής Aρχής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Pr="00622049" w:rsidRDefault="00622049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17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405D7F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μη Εξυπηρετούμενων Δανείων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(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NPLs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Μη εξυπηρετούμενα δάνεια προς δάνεια και απαιτήσεις από πελάτες </w:t>
            </w:r>
            <w:r w:rsidRPr="00291F6A">
              <w:rPr>
                <w:rFonts w:cs="Segoe UI"/>
                <w:iCs/>
                <w:color w:val="000000" w:themeColor="text1"/>
                <w:sz w:val="14"/>
                <w:szCs w:val="14"/>
              </w:rPr>
              <w:t>προ προβλέψεων και προσαρμογών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Pr="00622049" w:rsidRDefault="00622049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18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405D7F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μη Εξυπηρετούμενων Ανοιγμάτων</w:t>
            </w:r>
            <w:r w:rsidR="00405D7F"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(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NPEs</w:t>
            </w:r>
            <w:r w:rsidR="00405D7F"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BC62C4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2C2C88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Μη εξυπηρετούμενα ανοίγματα προς δάνεια και απαιτήσεις από πελάτες 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Pr="00622049" w:rsidRDefault="00622049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lastRenderedPageBreak/>
              <w:t>19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405D7F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765FD7"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Κάλυψης μη Εξυπηρετούμενων Δανείων</w:t>
            </w:r>
            <w:r w:rsidR="00405D7F"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(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NPLs</w:t>
            </w:r>
            <w:r w:rsidR="00405D7F"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ροβλέψε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ις και προσαρμογές 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σε εύλογη αξία 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των εξαγορασθεισών δραστηριοτήτων επτά τραπεζών (πρώην ΑΤΕ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δραστηριότητες στην Ελλάδα των Κυπριακών τραπεζών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Τράπεζα Κύπρου, Λαϊκή Τράπεζα Κύπρου, Ελληνική Τράπεζα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MillenniumBank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ΑΕ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, Γενική Τράπεζα Α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Πανελλήνια Τράπεζα ΑΕ</w:t>
            </w:r>
            <w:r w:rsidRPr="0090552F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προς μη εξυπηρετούμενα δάνεια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Pr="00622049" w:rsidRDefault="00622049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20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405D7F" w:rsidRDefault="002A0DB3" w:rsidP="002A0DB3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765FD7"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Κάλυψης μη Εξυπηρετούμενων Ανοιγμάτων</w:t>
            </w:r>
            <w:r w:rsidR="00405D7F"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(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NPEs</w:t>
            </w:r>
            <w:r w:rsidR="00405D7F"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2A0DB3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ροβλέψε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ις και προσαρμογές 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σε εύλογη αξία 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των εξαγορασθεισών δραστηριοτήτων επτά τραπεζών (πρώην ΑΤΕ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δραστηριότητες στην Ελλάδα των Κυπριακών τραπεζών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Τράπεζα Κύπρου, Λαϊκή Τράπεζα Κύπρου, Ελληνική Τράπεζα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MillenniumBank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ΑΕ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, Γενική Τράπεζα Α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Πανελλήνια Τράπεζα ΑΕ</w:t>
            </w:r>
            <w:r w:rsidRPr="0090552F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προς μη εξυπηρετούμενα ανοίγματα</w:t>
            </w:r>
          </w:p>
        </w:tc>
      </w:tr>
      <w:tr w:rsidR="002A0DB3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A0DB3" w:rsidRPr="00622049" w:rsidRDefault="00622049" w:rsidP="002A0DB3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21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A0DB3" w:rsidRPr="002A0DB3" w:rsidRDefault="002A0DB3" w:rsidP="00405D7F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565FAB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Σχηματισμός Νέων 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(</w:t>
            </w:r>
            <w:r w:rsidRPr="00565FAB">
              <w:rPr>
                <w:rFonts w:cs="Segoe UI"/>
                <w:b/>
                <w:iCs/>
                <w:color w:val="002060"/>
                <w:sz w:val="14"/>
                <w:szCs w:val="14"/>
              </w:rPr>
              <w:t>Καθυστερήσεων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)NPLs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A0DB3" w:rsidRPr="002A0DB3" w:rsidRDefault="002A0DB3" w:rsidP="0086629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565FAB">
              <w:rPr>
                <w:rFonts w:cs="Segoe UI"/>
                <w:iCs/>
                <w:color w:val="000000" w:themeColor="text1"/>
                <w:sz w:val="14"/>
                <w:szCs w:val="14"/>
              </w:rPr>
              <w:t>Παραγωγή νέων καθυστερήσεων δανείων (</w:t>
            </w:r>
            <w:r w:rsidR="00866297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παρακαλώ ανατρέξτε στην επεξήγηση νούμερο </w:t>
            </w:r>
            <w:r w:rsidR="002C3CFD">
              <w:rPr>
                <w:rFonts w:cs="Segoe UI"/>
                <w:iCs/>
                <w:color w:val="000000" w:themeColor="text1"/>
                <w:sz w:val="14"/>
                <w:szCs w:val="14"/>
              </w:rPr>
              <w:t>15</w:t>
            </w:r>
            <w:r w:rsidRPr="00565FAB">
              <w:rPr>
                <w:rFonts w:cs="Segoe UI"/>
                <w:iCs/>
                <w:color w:val="000000" w:themeColor="text1"/>
                <w:sz w:val="14"/>
                <w:szCs w:val="14"/>
              </w:rPr>
              <w:t>) προς δάνεια και απαιτήσεις από πελάτες προ προβλέψεων και προσαρμογών</w:t>
            </w:r>
          </w:p>
        </w:tc>
      </w:tr>
      <w:tr w:rsidR="002C3CFD" w:rsidRPr="002A0DB3" w:rsidTr="00804F26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C3CFD" w:rsidRDefault="002C3CFD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22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C3CFD" w:rsidRPr="00405D7F" w:rsidRDefault="002C3CFD" w:rsidP="00405D7F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565FAB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Σχηματισμός Νέων </w:t>
            </w:r>
            <w:r w:rsidR="00405D7F"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>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μη Εξυπηρετούμενων Ανοιγμάτων</w:t>
            </w:r>
            <w:r w:rsidR="00405D7F"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) 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NPEs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C3CFD" w:rsidRDefault="002C3CFD" w:rsidP="002C3CF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565FAB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Παραγωγή νέων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μη Εξυπηρετούμενων Ανοιγμάτων</w:t>
            </w:r>
            <w:r w:rsidRPr="00565FAB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(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παρακαλώ ανατρέξτε στην επεξήγηση νούμερο 16</w:t>
            </w:r>
            <w:r w:rsidRPr="00565FAB">
              <w:rPr>
                <w:rFonts w:cs="Segoe UI"/>
                <w:iCs/>
                <w:color w:val="000000" w:themeColor="text1"/>
                <w:sz w:val="14"/>
                <w:szCs w:val="14"/>
              </w:rPr>
              <w:t>) προς δάνεια και απαιτήσεις από πελάτες προ προβλέψεων και προσαρμογών</w:t>
            </w:r>
          </w:p>
        </w:tc>
      </w:tr>
      <w:tr w:rsidR="002C3CFD" w:rsidRPr="002A0DB3" w:rsidTr="00804F26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C3CFD" w:rsidRPr="002A0DB3" w:rsidRDefault="002C3CFD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23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Καθαρά Έσοδα από Προμήθειες</w:t>
            </w:r>
            <w:r w:rsidRPr="002304FE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NFI</w:t>
            </w:r>
            <w:r w:rsidRPr="002304FE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Καθαρά Έσοδα από Προμήθειες</w:t>
            </w:r>
          </w:p>
        </w:tc>
      </w:tr>
      <w:tr w:rsidR="002C3CFD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C3CFD" w:rsidRPr="002A0DB3" w:rsidRDefault="002C3CFD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24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Κόστος Κινδύνου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Προβλέψεις δανείων της περιόδου προς δάνεια μετά από προβλέψεις </w:t>
            </w:r>
          </w:p>
        </w:tc>
      </w:tr>
      <w:tr w:rsidR="002C3CFD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C3CFD" w:rsidRPr="002A0DB3" w:rsidRDefault="002C3CFD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25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Απόδοση Ε</w:t>
            </w:r>
            <w:r w:rsidRPr="00B7770C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σόδων προς 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Σ</w:t>
            </w:r>
            <w:r w:rsidRPr="00B7770C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ύνολο 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Ε</w:t>
            </w:r>
            <w:r w:rsidRPr="00B7770C">
              <w:rPr>
                <w:rFonts w:cs="Segoe UI"/>
                <w:b/>
                <w:iCs/>
                <w:color w:val="002060"/>
                <w:sz w:val="14"/>
                <w:szCs w:val="14"/>
              </w:rPr>
              <w:t>νεργητικού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Κέρδος / ζημία περιόδου προς το σύνολο </w:t>
            </w:r>
            <w:r w:rsidRPr="004C6247">
              <w:rPr>
                <w:rFonts w:cs="Segoe UI"/>
                <w:iCs/>
                <w:color w:val="000000" w:themeColor="text1"/>
                <w:sz w:val="14"/>
                <w:szCs w:val="14"/>
              </w:rPr>
              <w:t>προσαρμοσμ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ένου ενεργητικού </w:t>
            </w:r>
          </w:p>
        </w:tc>
      </w:tr>
      <w:tr w:rsidR="002C3CFD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C3CFD" w:rsidRPr="002A0DB3" w:rsidRDefault="002C3CFD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26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Καθαρό αποτέλεσμα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Κέρδος / ζημία περιόδου αναλογούν στους μετόχους μητρικής</w:t>
            </w:r>
          </w:p>
        </w:tc>
      </w:tr>
      <w:tr w:rsidR="002C3CFD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C3CFD" w:rsidRPr="002A0DB3" w:rsidRDefault="002C3CFD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27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Σωρευμένες προβλέψεις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ροβλέψε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ις και προσαρμογές 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σε εύλογη αξία 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των εξαγορασθεισών δραστηριοτήτων</w:t>
            </w:r>
          </w:p>
        </w:tc>
      </w:tr>
      <w:tr w:rsidR="002C3CFD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C3CFD" w:rsidRPr="002A0DB3" w:rsidRDefault="002C3CFD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28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C3CFD" w:rsidRPr="00405D7F" w:rsidRDefault="002C3CFD" w:rsidP="002C3CFD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Λειτουργικά Έξοδα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 xml:space="preserve"> / 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>Κόστος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Σύνολο λειτουργικών εξόδων προ προβλέψεων </w:t>
            </w:r>
          </w:p>
        </w:tc>
      </w:tr>
      <w:tr w:rsidR="002C3CFD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C3CFD" w:rsidRPr="002A0DB3" w:rsidRDefault="002C3CFD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29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Έξοδο Προβλέψεων Δανείων 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Έξοδο απομειώσεων για δάνεια και απαιτήσεις κατά πελατών </w:t>
            </w:r>
          </w:p>
        </w:tc>
      </w:tr>
      <w:tr w:rsidR="002C3CFD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C3CFD" w:rsidRPr="002A0DB3" w:rsidRDefault="002C3CFD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30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Προ Φόρων Αποτέλεσμα 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Κέρδος / ζημία περιόδου προ φόρου εισοδήματος</w:t>
            </w:r>
          </w:p>
        </w:tc>
      </w:tr>
      <w:tr w:rsidR="002C3CFD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C3CFD" w:rsidRPr="002A0DB3" w:rsidRDefault="002C3CFD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31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Παραγωγή Νέων Δανείων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1E17D4">
              <w:rPr>
                <w:rFonts w:cs="Segoe UI"/>
                <w:iCs/>
                <w:color w:val="000000" w:themeColor="text1"/>
                <w:sz w:val="14"/>
                <w:szCs w:val="14"/>
              </w:rPr>
              <w:t>Νέες εκταμιεύσεις δανείων που πραγματοποιήθηκαν μετά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το τέλος της</w:t>
            </w:r>
            <w:r w:rsidRPr="001E17D4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προηγούμενη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ς περιό</w:t>
            </w:r>
            <w:r w:rsidRPr="001E17D4">
              <w:rPr>
                <w:rFonts w:cs="Segoe UI"/>
                <w:iCs/>
                <w:color w:val="000000" w:themeColor="text1"/>
                <w:sz w:val="14"/>
                <w:szCs w:val="14"/>
              </w:rPr>
              <w:t>δο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υ</w:t>
            </w:r>
          </w:p>
        </w:tc>
      </w:tr>
      <w:tr w:rsidR="002C3CFD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C3CFD" w:rsidRPr="00622049" w:rsidRDefault="002C3CFD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32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Πελάτες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23018D">
              <w:rPr>
                <w:rFonts w:cs="Segoe UI"/>
                <w:iCs/>
                <w:color w:val="000000" w:themeColor="text1"/>
                <w:sz w:val="14"/>
                <w:szCs w:val="14"/>
              </w:rPr>
              <w:t>Αριθμός πελατών τόσο ιδιωτών όσο και νομικών οντοτήτων με τραπεζική σχέση (λογαριασμός) με την Τράπεζα Πειραιώς</w:t>
            </w:r>
          </w:p>
        </w:tc>
      </w:tr>
      <w:tr w:rsidR="002C3CFD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C3CFD" w:rsidRPr="00622049" w:rsidRDefault="002C3CFD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33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Σταυροειδών Πωλήσεων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2C3CFD" w:rsidRPr="002A0DB3" w:rsidRDefault="002C3CFD" w:rsidP="002C3CF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23018D">
              <w:rPr>
                <w:rFonts w:cs="Segoe UI"/>
                <w:iCs/>
                <w:color w:val="000000" w:themeColor="text1"/>
                <w:sz w:val="14"/>
                <w:szCs w:val="14"/>
              </w:rPr>
              <w:t>Σύνολο ομάδων προϊόντων σε σχέση με τον συνολικό αριθμό πελατών</w:t>
            </w:r>
          </w:p>
        </w:tc>
      </w:tr>
      <w:tr w:rsidR="00405D7F" w:rsidRPr="002A0DB3" w:rsidTr="00DB096E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405D7F" w:rsidRDefault="00405D7F" w:rsidP="002C3CFD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34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405D7F" w:rsidRPr="00405D7F" w:rsidRDefault="003C4A0D" w:rsidP="00405D7F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Δείκτης 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ELA/</w:t>
            </w:r>
            <w:r w:rsid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Ενεργητικό</w:t>
            </w:r>
          </w:p>
        </w:tc>
        <w:tc>
          <w:tcPr>
            <w:tcW w:w="5600" w:type="dxa"/>
            <w:shd w:val="clear" w:color="auto" w:fill="FFFFFF" w:themeFill="background1"/>
            <w:vAlign w:val="center"/>
          </w:tcPr>
          <w:p w:rsidR="00405D7F" w:rsidRPr="00405D7F" w:rsidRDefault="00405D7F" w:rsidP="003C4A0D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ELA</w:t>
            </w:r>
            <w:r w:rsidR="003C4A0D">
              <w:rPr>
                <w:rFonts w:cs="Segoe UI"/>
                <w:iCs/>
                <w:color w:val="000000" w:themeColor="text1"/>
                <w:sz w:val="14"/>
                <w:szCs w:val="14"/>
              </w:rPr>
              <w:t>(</w:t>
            </w:r>
            <w:r w:rsidR="003C4A0D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Emergency Liquidity Assistance</w:t>
            </w:r>
            <w:r w:rsidR="003C4A0D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)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προς προσαρμοσμένο ενεργητικό</w:t>
            </w:r>
          </w:p>
        </w:tc>
      </w:tr>
    </w:tbl>
    <w:p w:rsidR="00CA0A30" w:rsidRPr="002A0DB3" w:rsidRDefault="00CA0A30" w:rsidP="00F52DEC">
      <w:pPr>
        <w:rPr>
          <w:rFonts w:cs="Calibri"/>
          <w:b/>
        </w:rPr>
      </w:pPr>
    </w:p>
    <w:sectPr w:rsidR="00CA0A30" w:rsidRPr="002A0DB3" w:rsidSect="00222EC0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410" w:right="1134" w:bottom="851" w:left="297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90C" w:rsidRDefault="00AF390C" w:rsidP="00A14E18">
      <w:pPr>
        <w:spacing w:after="0" w:line="240" w:lineRule="auto"/>
      </w:pPr>
      <w:r>
        <w:separator/>
      </w:r>
    </w:p>
  </w:endnote>
  <w:endnote w:type="continuationSeparator" w:id="1">
    <w:p w:rsidR="00AF390C" w:rsidRDefault="00AF390C" w:rsidP="00A14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D70" w:rsidRDefault="00601F99" w:rsidP="006E0C7E">
    <w:pPr>
      <w:pStyle w:val="a4"/>
      <w:ind w:right="-427"/>
      <w:jc w:val="right"/>
    </w:pPr>
    <w:r w:rsidRPr="00601F99">
      <w:rPr>
        <w:noProof/>
        <w:lang w:eastAsia="el-GR"/>
      </w:rPr>
      <w:pict>
        <v:rect id="Rectangle 11" o:spid="_x0000_s2055" style="position:absolute;left:0;text-align:left;margin-left:-148.85pt;margin-top:9.95pt;width:595.3pt;height:39.7pt;z-index:-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" fillcolor="#ffc000" stroked="f">
          <o:lock v:ext="edit" aspectratio="t"/>
        </v:rect>
      </w:pict>
    </w:r>
    <w:r w:rsidRPr="00601F99">
      <w:rPr>
        <w:noProof/>
        <w:lang w:eastAsia="el-GR"/>
      </w:rPr>
      <w:pict>
        <v:group id="Group 15" o:spid="_x0000_s2052" style="position:absolute;left:0;text-align:left;margin-left:-40.05pt;margin-top:10.5pt;width:359.8pt;height:27.35pt;z-index:251683840" coordorigin="2176,16223" coordsize="7196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2054" type="#_x0000_t202" style="position:absolute;left:2176;top:16223;width:686;height:5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" filled="f" stroked="f">
            <v:textbox inset=",,0">
              <w:txbxContent>
                <w:p w:rsidR="00B23D70" w:rsidRPr="00BE269A" w:rsidRDefault="00601F99" w:rsidP="00C33762">
                  <w:pPr>
                    <w:jc w:val="right"/>
                    <w:rPr>
                      <w:color w:val="003C96" w:themeColor="text2"/>
                      <w:sz w:val="24"/>
                      <w:szCs w:val="24"/>
                    </w:rPr>
                  </w:pPr>
                  <w:r w:rsidRPr="00BE269A">
                    <w:rPr>
                      <w:color w:val="003C96" w:themeColor="text2"/>
                      <w:sz w:val="24"/>
                      <w:szCs w:val="24"/>
                    </w:rPr>
                    <w:fldChar w:fldCharType="begin"/>
                  </w:r>
                  <w:r w:rsidR="00B23D70" w:rsidRPr="00BE269A">
                    <w:rPr>
                      <w:color w:val="003C96" w:themeColor="text2"/>
                      <w:sz w:val="24"/>
                      <w:szCs w:val="24"/>
                    </w:rPr>
                    <w:instrText xml:space="preserve"> PAGE   \* MERGEFORMAT </w:instrText>
                  </w:r>
                  <w:r w:rsidRPr="00BE269A">
                    <w:rPr>
                      <w:color w:val="003C96" w:themeColor="text2"/>
                      <w:sz w:val="24"/>
                      <w:szCs w:val="24"/>
                    </w:rPr>
                    <w:fldChar w:fldCharType="separate"/>
                  </w:r>
                  <w:r w:rsidR="00854C2E">
                    <w:rPr>
                      <w:noProof/>
                      <w:color w:val="003C96" w:themeColor="text2"/>
                      <w:sz w:val="24"/>
                      <w:szCs w:val="24"/>
                    </w:rPr>
                    <w:t>9</w:t>
                  </w:r>
                  <w:r w:rsidRPr="00BE269A">
                    <w:rPr>
                      <w:noProof/>
                      <w:color w:val="003C96" w:themeColor="text2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v:shape id="_x0000_s2053" type="#_x0000_t202" style="position:absolute;left:2944;top:16239;width:6428;height:5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" filled="f" stroked="f">
            <v:textbox inset="0">
              <w:txbxContent>
                <w:p w:rsidR="00B23D70" w:rsidRPr="00601EDF" w:rsidRDefault="00B23D70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601EDF">
                    <w:rPr>
                      <w:color w:val="FFFFFF" w:themeColor="background1"/>
                      <w:sz w:val="20"/>
                      <w:szCs w:val="20"/>
                    </w:rPr>
                    <w:t>|</w:t>
                  </w:r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 xml:space="preserve"> 28 </w:t>
                  </w:r>
                  <w:r>
                    <w:rPr>
                      <w:color w:val="FFFFFF" w:themeColor="background1"/>
                      <w:sz w:val="20"/>
                      <w:szCs w:val="20"/>
                    </w:rPr>
                    <w:t xml:space="preserve">Νοεμβρίου </w:t>
                  </w:r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>2</w:t>
                  </w:r>
                  <w:r>
                    <w:rPr>
                      <w:color w:val="FFFFFF" w:themeColor="background1"/>
                      <w:sz w:val="20"/>
                      <w:szCs w:val="20"/>
                    </w:rPr>
                    <w:t>017</w:t>
                  </w:r>
                </w:p>
              </w:txbxContent>
            </v:textbox>
          </v:shape>
        </v:group>
      </w:pict>
    </w:r>
    <w:r w:rsidR="00B23D70">
      <w:rPr>
        <w:noProof/>
        <w:lang w:val="en-US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4777740</wp:posOffset>
          </wp:positionH>
          <wp:positionV relativeFrom="paragraph">
            <wp:posOffset>41275</wp:posOffset>
          </wp:positionV>
          <wp:extent cx="287655" cy="283845"/>
          <wp:effectExtent l="0" t="0" r="0" b="0"/>
          <wp:wrapTight wrapText="bothSides">
            <wp:wrapPolygon edited="0">
              <wp:start x="0" y="0"/>
              <wp:lineTo x="0" y="20295"/>
              <wp:lineTo x="20026" y="20295"/>
              <wp:lineTo x="20026" y="0"/>
              <wp:lineTo x="0" y="0"/>
            </wp:wrapPolygon>
          </wp:wrapTight>
          <wp:docPr id="14" name="Εικόνα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31969" t="38889" r="33712" b="23682"/>
                  <a:stretch/>
                </pic:blipFill>
                <pic:spPr bwMode="auto">
                  <a:xfrm>
                    <a:off x="0" y="0"/>
                    <a:ext cx="287655" cy="283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D70" w:rsidRDefault="00B23D70">
    <w:pPr>
      <w:pStyle w:val="a4"/>
    </w:pPr>
    <w:r>
      <w:rPr>
        <w:noProof/>
        <w:lang w:val="en-US"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4813461</wp:posOffset>
          </wp:positionH>
          <wp:positionV relativeFrom="paragraph">
            <wp:posOffset>54610</wp:posOffset>
          </wp:positionV>
          <wp:extent cx="287655" cy="283845"/>
          <wp:effectExtent l="0" t="0" r="0" b="1905"/>
          <wp:wrapTight wrapText="bothSides">
            <wp:wrapPolygon edited="0">
              <wp:start x="0" y="0"/>
              <wp:lineTo x="0" y="20295"/>
              <wp:lineTo x="20026" y="20295"/>
              <wp:lineTo x="20026" y="0"/>
              <wp:lineTo x="0" y="0"/>
            </wp:wrapPolygon>
          </wp:wrapTight>
          <wp:docPr id="32" name="Εικόνα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31969" t="38889" r="33712" b="23682"/>
                  <a:stretch/>
                </pic:blipFill>
                <pic:spPr bwMode="auto">
                  <a:xfrm>
                    <a:off x="0" y="0"/>
                    <a:ext cx="287655" cy="283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601F99" w:rsidRPr="00601F99">
      <w:rPr>
        <w:noProof/>
        <w:lang w:eastAsia="el-GR"/>
      </w:rPr>
      <w:pict>
        <v:rect id="Rectangle 7" o:spid="_x0000_s2049" style="position:absolute;margin-left:-148.75pt;margin-top:10.15pt;width:595.3pt;height:39.7pt;z-index:-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" fillcolor="#ffc000" stroked="f">
          <o:lock v:ext="edit" aspectratio="t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90C" w:rsidRDefault="00AF390C" w:rsidP="00A14E18">
      <w:pPr>
        <w:spacing w:after="0" w:line="240" w:lineRule="auto"/>
      </w:pPr>
      <w:r>
        <w:separator/>
      </w:r>
    </w:p>
  </w:footnote>
  <w:footnote w:type="continuationSeparator" w:id="1">
    <w:p w:rsidR="00AF390C" w:rsidRDefault="00AF390C" w:rsidP="00A14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D70" w:rsidRPr="00910B3C" w:rsidRDefault="00601F99" w:rsidP="00B23C31">
    <w:pPr>
      <w:pStyle w:val="a3"/>
      <w:ind w:right="-285"/>
      <w:rPr>
        <w:b/>
        <w:lang w:val="en-US"/>
      </w:rPr>
    </w:pPr>
    <w:r w:rsidRPr="00601F99">
      <w:rPr>
        <w:b/>
        <w:noProof/>
        <w:lang w:eastAsia="el-G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57" type="#_x0000_t202" style="position:absolute;margin-left:188.6pt;margin-top:51.05pt;width:406.65pt;height:38.65pt;z-index:251667456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" filled="f" stroked="f">
          <v:path arrowok="t"/>
          <v:textbox>
            <w:txbxContent>
              <w:p w:rsidR="00804F26" w:rsidRPr="00CA793A" w:rsidRDefault="00804F26" w:rsidP="00923B61">
                <w:pPr>
                  <w:pStyle w:val="01HEADLINE"/>
                  <w:ind w:right="734"/>
                  <w:rPr>
                    <w:b w:val="0"/>
                    <w:color w:val="000000" w:themeColor="text1"/>
                    <w:sz w:val="24"/>
                    <w:szCs w:val="24"/>
                  </w:rPr>
                </w:pPr>
              </w:p>
              <w:p w:rsidR="00804F26" w:rsidRPr="00914FDC" w:rsidRDefault="00804F26" w:rsidP="00CA793A">
                <w:pPr>
                  <w:pStyle w:val="01HEADLINE"/>
                  <w:rPr>
                    <w:b w:val="0"/>
                    <w:color w:val="000000" w:themeColor="text1"/>
                    <w:sz w:val="24"/>
                    <w:szCs w:val="24"/>
                  </w:rPr>
                </w:pPr>
                <w:r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 ΟΜΙΛΟΣΤΡΑΠΕΖΑΣΠΕΙΡΑΙΩΣ</w:t>
                </w:r>
                <w:r w:rsidRPr="00914FDC"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 |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ΑΠΟΤΕΛΕΣΜΑΤΑ </w:t>
                </w:r>
                <w:r w:rsidRPr="00914FDC">
                  <w:rPr>
                    <w:b w:val="0"/>
                    <w:color w:val="000000" w:themeColor="text1"/>
                    <w:sz w:val="24"/>
                    <w:szCs w:val="24"/>
                  </w:rPr>
                  <w:t>9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  <w:lang w:val="en-US"/>
                  </w:rPr>
                  <w:t>M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</w:rPr>
                  <w:t>ΗΝΟΥ</w:t>
                </w:r>
                <w:r w:rsidRPr="00914FDC"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 2017</w:t>
                </w:r>
              </w:p>
              <w:p w:rsidR="00804F26" w:rsidRPr="00854C2E" w:rsidRDefault="00804F26" w:rsidP="003049EB">
                <w:pPr>
                  <w:pStyle w:val="01HEADLINE"/>
                  <w:ind w:right="734"/>
                  <w:rPr>
                    <w:b w:val="0"/>
                    <w:color w:val="000000" w:themeColor="text1"/>
                    <w:sz w:val="24"/>
                    <w:szCs w:val="24"/>
                  </w:rPr>
                </w:pPr>
                <w:r>
                  <w:rPr>
                    <w:b w:val="0"/>
                    <w:color w:val="000000" w:themeColor="text1"/>
                    <w:sz w:val="24"/>
                    <w:szCs w:val="24"/>
                    <w:lang w:val="en-US"/>
                  </w:rPr>
                  <w:t>PIRAEUS</w:t>
                </w:r>
                <w:r w:rsidRPr="00854C2E"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 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  <w:lang w:val="en-US"/>
                  </w:rPr>
                  <w:t>BANK</w:t>
                </w:r>
                <w:r w:rsidRPr="00854C2E"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 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  <w:lang w:val="en-US"/>
                  </w:rPr>
                  <w:t>GROUP</w:t>
                </w:r>
                <w:r w:rsidRPr="00854C2E"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 | 9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  <w:lang w:val="en-US"/>
                  </w:rPr>
                  <w:t>M</w:t>
                </w:r>
                <w:r w:rsidRPr="00854C2E"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 2017 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  <w:lang w:val="en-US"/>
                  </w:rPr>
                  <w:t>FINANCIAL</w:t>
                </w:r>
                <w:r w:rsidRPr="00854C2E"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 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  <w:lang w:val="en-US"/>
                  </w:rPr>
                  <w:t>RESULTS</w:t>
                </w:r>
              </w:p>
              <w:p w:rsidR="00804F26" w:rsidRPr="00854C2E" w:rsidRDefault="00804F26" w:rsidP="00923B61">
                <w:pPr>
                  <w:ind w:right="734"/>
                </w:pPr>
              </w:p>
            </w:txbxContent>
          </v:textbox>
          <w10:wrap anchorx="page" anchory="page"/>
        </v:shape>
      </w:pict>
    </w:r>
    <w:r w:rsidRPr="00601F99">
      <w:rPr>
        <w:b/>
        <w:noProof/>
        <w:lang w:eastAsia="el-GR"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AutoShape 12" o:spid="_x0000_s2056" type="#_x0000_t34" style="position:absolute;margin-left:-.75pt;margin-top:59.4pt;width:492.15pt;height:.05pt;z-index:251674624;visibility:visible;mso-wrap-distance-top:-1e-4mm;mso-wrap-distance-bottom:-1e-4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" adj="10799" strokecolor="#ffc000">
          <w10:wrap anchorx="margin"/>
        </v:shape>
      </w:pict>
    </w:r>
    <w:r w:rsidR="00B23D70" w:rsidRPr="00910B3C">
      <w:rPr>
        <w:b/>
        <w:noProof/>
        <w:lang w:val="en-US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-1454785</wp:posOffset>
          </wp:positionH>
          <wp:positionV relativeFrom="paragraph">
            <wp:posOffset>-67945</wp:posOffset>
          </wp:positionV>
          <wp:extent cx="2139950" cy="682625"/>
          <wp:effectExtent l="0" t="0" r="0" b="0"/>
          <wp:wrapTight wrapText="bothSides">
            <wp:wrapPolygon edited="0">
              <wp:start x="0" y="0"/>
              <wp:lineTo x="0" y="21098"/>
              <wp:lineTo x="21344" y="21098"/>
              <wp:lineTo x="21344" y="0"/>
              <wp:lineTo x="0" y="0"/>
            </wp:wrapPolygon>
          </wp:wrapTight>
          <wp:docPr id="13" name="Εικόνα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D70" w:rsidRPr="00910B3C" w:rsidRDefault="00B23D70" w:rsidP="00910B3C">
    <w:pPr>
      <w:pStyle w:val="a3"/>
      <w:tabs>
        <w:tab w:val="left" w:pos="1843"/>
      </w:tabs>
      <w:ind w:right="-427"/>
      <w:rPr>
        <w:b/>
        <w:i/>
        <w:color w:val="FF0000"/>
        <w:sz w:val="24"/>
        <w:szCs w:val="24"/>
        <w:highlight w:val="yellow"/>
        <w:u w:val="single"/>
        <w:lang w:val="en-US"/>
      </w:rPr>
    </w:pPr>
    <w:r>
      <w:rPr>
        <w:noProof/>
        <w:lang w:val="en-US"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-1518920</wp:posOffset>
          </wp:positionH>
          <wp:positionV relativeFrom="paragraph">
            <wp:posOffset>-50165</wp:posOffset>
          </wp:positionV>
          <wp:extent cx="683895" cy="683895"/>
          <wp:effectExtent l="0" t="0" r="1905" b="1905"/>
          <wp:wrapTopAndBottom/>
          <wp:docPr id="22" name="Εικόνα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Εικόνα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" cy="683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Times New Roman" w:hAnsi="Calibri" w:cs="Calibri"/>
        <w:noProof/>
        <w:sz w:val="20"/>
        <w:szCs w:val="20"/>
        <w:lang w:val="en-US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-774700</wp:posOffset>
          </wp:positionH>
          <wp:positionV relativeFrom="paragraph">
            <wp:posOffset>-60325</wp:posOffset>
          </wp:positionV>
          <wp:extent cx="683895" cy="682625"/>
          <wp:effectExtent l="0" t="0" r="0" b="0"/>
          <wp:wrapTight wrapText="bothSides">
            <wp:wrapPolygon edited="0">
              <wp:start x="0" y="0"/>
              <wp:lineTo x="0" y="21098"/>
              <wp:lineTo x="21058" y="21098"/>
              <wp:lineTo x="21058" y="0"/>
              <wp:lineTo x="0" y="0"/>
            </wp:wrapPolygon>
          </wp:wrapTight>
          <wp:docPr id="26" name="Εικόνα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30A3109_GRA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" t="7644" r="1537" b="26523"/>
                  <a:stretch/>
                </pic:blipFill>
                <pic:spPr bwMode="auto">
                  <a:xfrm>
                    <a:off x="0" y="0"/>
                    <a:ext cx="683895" cy="682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="Calibri" w:eastAsia="Times New Roman" w:hAnsi="Calibri" w:cs="Calibri"/>
        <w:noProof/>
        <w:sz w:val="20"/>
        <w:szCs w:val="20"/>
        <w:lang w:val="en-U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683260</wp:posOffset>
          </wp:positionH>
          <wp:positionV relativeFrom="paragraph">
            <wp:posOffset>-62865</wp:posOffset>
          </wp:positionV>
          <wp:extent cx="683895" cy="683895"/>
          <wp:effectExtent l="0" t="0" r="0" b="0"/>
          <wp:wrapTight wrapText="bothSides">
            <wp:wrapPolygon edited="0">
              <wp:start x="0" y="0"/>
              <wp:lineTo x="0" y="21058"/>
              <wp:lineTo x="21058" y="21058"/>
              <wp:lineTo x="21058" y="0"/>
              <wp:lineTo x="0" y="0"/>
            </wp:wrapPolygon>
          </wp:wrapTight>
          <wp:docPr id="29" name="Εικόνα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30A3109_GRAY.jpg"/>
                  <pic:cNvPicPr/>
                </pic:nvPicPr>
                <pic:blipFill rotWithShape="1">
                  <a:blip r:embed="rId3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7653" r="5675"/>
                  <a:stretch/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="Calibri" w:eastAsia="Times New Roman" w:hAnsi="Calibri" w:cs="Calibri"/>
        <w:noProof/>
        <w:sz w:val="20"/>
        <w:szCs w:val="20"/>
        <w:lang w:val="en-US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-45085</wp:posOffset>
          </wp:positionH>
          <wp:positionV relativeFrom="paragraph">
            <wp:posOffset>-60325</wp:posOffset>
          </wp:positionV>
          <wp:extent cx="682625" cy="682625"/>
          <wp:effectExtent l="0" t="0" r="0" b="0"/>
          <wp:wrapTight wrapText="bothSides">
            <wp:wrapPolygon edited="0">
              <wp:start x="0" y="0"/>
              <wp:lineTo x="0" y="21098"/>
              <wp:lineTo x="21098" y="21098"/>
              <wp:lineTo x="21098" y="0"/>
              <wp:lineTo x="0" y="0"/>
            </wp:wrapPolygon>
          </wp:wrapTight>
          <wp:docPr id="30" name="Εικόνα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30A3109_GRAY.jpg"/>
                  <pic:cNvPicPr/>
                </pic:nvPicPr>
                <pic:blipFill rotWithShape="1">
                  <a:blip r:embed="rId4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4231" r="19124"/>
                  <a:stretch/>
                </pic:blipFill>
                <pic:spPr bwMode="auto">
                  <a:xfrm>
                    <a:off x="0" y="0"/>
                    <a:ext cx="682625" cy="682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B23D70" w:rsidRDefault="00601F99">
    <w:pPr>
      <w:pStyle w:val="a3"/>
    </w:pPr>
    <w:r w:rsidRPr="00601F99">
      <w:rPr>
        <w:rFonts w:ascii="Calibri" w:hAnsi="Calibri" w:cs="Calibri"/>
        <w:noProof/>
        <w:lang w:eastAsia="el-G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3" o:spid="_x0000_s2051" type="#_x0000_t202" style="position:absolute;margin-left:235.95pt;margin-top:.4pt;width:403.95pt;height:36.45pt;z-index:251692032;visibility:visible;mso-position-horizontal-relative:pag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" filled="f" stroked="f">
          <v:path arrowok="t"/>
          <v:textbox>
            <w:txbxContent>
              <w:p w:rsidR="00804F26" w:rsidRPr="00914FDC" w:rsidRDefault="00804F26" w:rsidP="00914FDC">
                <w:pPr>
                  <w:pStyle w:val="01HEADLINE"/>
                  <w:rPr>
                    <w:b w:val="0"/>
                    <w:color w:val="000000" w:themeColor="text1"/>
                    <w:sz w:val="24"/>
                    <w:szCs w:val="24"/>
                  </w:rPr>
                </w:pPr>
                <w:r>
                  <w:rPr>
                    <w:b w:val="0"/>
                    <w:color w:val="000000" w:themeColor="text1"/>
                    <w:sz w:val="24"/>
                    <w:szCs w:val="24"/>
                  </w:rPr>
                  <w:t>ΟΜΙΛΟΣΤΡΑΠΕΖΑΣΠΕΙΡΑΙΩΣ</w:t>
                </w:r>
                <w:r w:rsidRPr="00914FDC"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 |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ΑΠΟΤΕΛΕΣΜΑΤΑ </w:t>
                </w:r>
                <w:r w:rsidRPr="00914FDC">
                  <w:rPr>
                    <w:b w:val="0"/>
                    <w:color w:val="000000" w:themeColor="text1"/>
                    <w:sz w:val="24"/>
                    <w:szCs w:val="24"/>
                  </w:rPr>
                  <w:t>9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  <w:lang w:val="en-US"/>
                  </w:rPr>
                  <w:t>M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</w:rPr>
                  <w:t>ΗΝΟΥ</w:t>
                </w:r>
                <w:r w:rsidRPr="00914FDC"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 2017</w:t>
                </w:r>
              </w:p>
            </w:txbxContent>
          </v:textbox>
          <w10:wrap anchorx="page"/>
        </v:shape>
      </w:pict>
    </w:r>
    <w:r w:rsidRPr="00601F99">
      <w:rPr>
        <w:rFonts w:asciiTheme="majorHAnsi" w:hAnsiTheme="majorHAnsi" w:cstheme="majorHAnsi"/>
        <w:noProof/>
        <w:lang w:eastAsia="el-GR"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Straight Arrow Connector 4" o:spid="_x0000_s2050" type="#_x0000_t34" style="position:absolute;margin-left:.55pt;margin-top:46.3pt;width:492.15pt;height:.05pt;z-index:251661312;visibility:visible;mso-wrap-distance-top:-1e-4mm;mso-wrap-distance-bottom:-1e-4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" adj="10799" strokecolor="#ffc000"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2.9pt;height:22.9pt" o:bullet="t">
        <v:imagedata r:id="rId1" o:title="BulletTick"/>
      </v:shape>
    </w:pict>
  </w:numPicBullet>
  <w:numPicBullet w:numPicBulletId="1">
    <w:pict>
      <v:shape id="_x0000_i1039" type="#_x0000_t75" style="width:16.9pt;height:16.9pt;visibility:visible;mso-wrap-style:square" o:bullet="t">
        <v:imagedata r:id="rId2" o:title=""/>
      </v:shape>
    </w:pict>
  </w:numPicBullet>
  <w:numPicBullet w:numPicBulletId="2">
    <w:pict>
      <v:shape id="_x0000_i1040" type="#_x0000_t75" style="width:21.8pt;height:15.8pt;visibility:visible;mso-wrap-style:square" o:bullet="t">
        <v:imagedata r:id="rId3" o:title=""/>
      </v:shape>
    </w:pict>
  </w:numPicBullet>
  <w:abstractNum w:abstractNumId="0">
    <w:nsid w:val="136407D0"/>
    <w:multiLevelType w:val="hybridMultilevel"/>
    <w:tmpl w:val="103C4E28"/>
    <w:lvl w:ilvl="0" w:tplc="AAF885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858EA"/>
    <w:multiLevelType w:val="hybridMultilevel"/>
    <w:tmpl w:val="A8CE7D00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239F4"/>
    <w:multiLevelType w:val="hybridMultilevel"/>
    <w:tmpl w:val="F6EA2A20"/>
    <w:lvl w:ilvl="0" w:tplc="8E84D072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ajorHAnsi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1596D"/>
    <w:multiLevelType w:val="hybridMultilevel"/>
    <w:tmpl w:val="DA5E072A"/>
    <w:lvl w:ilvl="0" w:tplc="A3D48850">
      <w:numFmt w:val="bullet"/>
      <w:lvlText w:val="•"/>
      <w:lvlJc w:val="left"/>
      <w:pPr>
        <w:ind w:left="1080" w:hanging="720"/>
      </w:pPr>
      <w:rPr>
        <w:rFonts w:ascii="Calibri" w:eastAsiaTheme="minorHAnsi" w:hAnsi="Calibri" w:cs="Segoe U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54981"/>
    <w:multiLevelType w:val="hybridMultilevel"/>
    <w:tmpl w:val="1BEE0378"/>
    <w:lvl w:ilvl="0" w:tplc="8F10FF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EDA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23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02A3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7E05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6894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16EC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C4F5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103E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24200F5"/>
    <w:multiLevelType w:val="hybridMultilevel"/>
    <w:tmpl w:val="8BA48B6E"/>
    <w:lvl w:ilvl="0" w:tplc="900EE7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4A0C45"/>
    <w:multiLevelType w:val="hybridMultilevel"/>
    <w:tmpl w:val="FEACAAB6"/>
    <w:lvl w:ilvl="0" w:tplc="7B42F3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el-GR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C10099"/>
    <w:multiLevelType w:val="hybridMultilevel"/>
    <w:tmpl w:val="33A6B04A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92046E"/>
    <w:multiLevelType w:val="hybridMultilevel"/>
    <w:tmpl w:val="1B04D692"/>
    <w:lvl w:ilvl="0" w:tplc="50E01FD0">
      <w:start w:val="1"/>
      <w:numFmt w:val="decimal"/>
      <w:lvlText w:val="(%1)"/>
      <w:lvlJc w:val="left"/>
      <w:pPr>
        <w:ind w:left="360" w:hanging="360"/>
      </w:pPr>
      <w:rPr>
        <w:rFonts w:asciiTheme="minorHAnsi" w:eastAsiaTheme="minorHAnsi" w:hAnsiTheme="minorHAnsi" w:cstheme="majorHAnsi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E032BE8"/>
    <w:multiLevelType w:val="hybridMultilevel"/>
    <w:tmpl w:val="5FB885AC"/>
    <w:lvl w:ilvl="0" w:tplc="6C3E1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9F7C09"/>
    <w:multiLevelType w:val="hybridMultilevel"/>
    <w:tmpl w:val="AFE0A9E6"/>
    <w:lvl w:ilvl="0" w:tplc="8F4CD6C8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  <w:color w:val="3A73AE" w:themeColor="accent1"/>
        <w:sz w:val="18"/>
        <w:szCs w:val="18"/>
        <w:lang w:val="el-GR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775BAB"/>
    <w:multiLevelType w:val="hybridMultilevel"/>
    <w:tmpl w:val="D0EEB17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F7E61CD"/>
    <w:multiLevelType w:val="hybridMultilevel"/>
    <w:tmpl w:val="67CC7CE8"/>
    <w:lvl w:ilvl="0" w:tplc="1108C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C96" w:themeColor="tex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9"/>
  </w:num>
  <w:num w:numId="7">
    <w:abstractNumId w:val="3"/>
  </w:num>
  <w:num w:numId="8">
    <w:abstractNumId w:val="12"/>
  </w:num>
  <w:num w:numId="9">
    <w:abstractNumId w:val="8"/>
  </w:num>
  <w:num w:numId="10">
    <w:abstractNumId w:val="11"/>
  </w:num>
  <w:num w:numId="11">
    <w:abstractNumId w:val="10"/>
  </w:num>
  <w:num w:numId="12">
    <w:abstractNumId w:val="4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20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AutoShape 12"/>
        <o:r id="V:Rule2" type="connector" idref="#Straight Arrow Connector 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14E18"/>
    <w:rsid w:val="00000BC6"/>
    <w:rsid w:val="00001E6E"/>
    <w:rsid w:val="00002FDD"/>
    <w:rsid w:val="00003672"/>
    <w:rsid w:val="00003855"/>
    <w:rsid w:val="00003A09"/>
    <w:rsid w:val="0000442A"/>
    <w:rsid w:val="0000443E"/>
    <w:rsid w:val="00005CB6"/>
    <w:rsid w:val="00006029"/>
    <w:rsid w:val="00007A6A"/>
    <w:rsid w:val="00010B68"/>
    <w:rsid w:val="0001359E"/>
    <w:rsid w:val="0001438C"/>
    <w:rsid w:val="00015854"/>
    <w:rsid w:val="0001674D"/>
    <w:rsid w:val="00016980"/>
    <w:rsid w:val="000178E4"/>
    <w:rsid w:val="0002147D"/>
    <w:rsid w:val="00021A4E"/>
    <w:rsid w:val="000238A4"/>
    <w:rsid w:val="00025755"/>
    <w:rsid w:val="00030364"/>
    <w:rsid w:val="00030D02"/>
    <w:rsid w:val="00031657"/>
    <w:rsid w:val="00031F12"/>
    <w:rsid w:val="00032B67"/>
    <w:rsid w:val="00033976"/>
    <w:rsid w:val="00033D99"/>
    <w:rsid w:val="00034F63"/>
    <w:rsid w:val="000361FC"/>
    <w:rsid w:val="00036DFB"/>
    <w:rsid w:val="00037365"/>
    <w:rsid w:val="00037C92"/>
    <w:rsid w:val="0004090D"/>
    <w:rsid w:val="00042251"/>
    <w:rsid w:val="00043933"/>
    <w:rsid w:val="000439BB"/>
    <w:rsid w:val="00044B60"/>
    <w:rsid w:val="000470B3"/>
    <w:rsid w:val="0004746D"/>
    <w:rsid w:val="00047535"/>
    <w:rsid w:val="00051587"/>
    <w:rsid w:val="00052957"/>
    <w:rsid w:val="0005319A"/>
    <w:rsid w:val="000532FB"/>
    <w:rsid w:val="000541AA"/>
    <w:rsid w:val="00055403"/>
    <w:rsid w:val="000571A8"/>
    <w:rsid w:val="0006140B"/>
    <w:rsid w:val="000645D7"/>
    <w:rsid w:val="0006468F"/>
    <w:rsid w:val="00064E07"/>
    <w:rsid w:val="00065917"/>
    <w:rsid w:val="00066296"/>
    <w:rsid w:val="00066F7F"/>
    <w:rsid w:val="00070112"/>
    <w:rsid w:val="0007081D"/>
    <w:rsid w:val="000709DA"/>
    <w:rsid w:val="00070EAC"/>
    <w:rsid w:val="00073576"/>
    <w:rsid w:val="0007418C"/>
    <w:rsid w:val="00075AC2"/>
    <w:rsid w:val="000806D6"/>
    <w:rsid w:val="00081584"/>
    <w:rsid w:val="000835D6"/>
    <w:rsid w:val="000837A3"/>
    <w:rsid w:val="000840A9"/>
    <w:rsid w:val="00085105"/>
    <w:rsid w:val="00085298"/>
    <w:rsid w:val="000863E3"/>
    <w:rsid w:val="000865E1"/>
    <w:rsid w:val="00086F81"/>
    <w:rsid w:val="00090844"/>
    <w:rsid w:val="00090C5F"/>
    <w:rsid w:val="00090EFC"/>
    <w:rsid w:val="00092097"/>
    <w:rsid w:val="00093CCF"/>
    <w:rsid w:val="00094182"/>
    <w:rsid w:val="00094323"/>
    <w:rsid w:val="00094C99"/>
    <w:rsid w:val="0009699F"/>
    <w:rsid w:val="00096DBA"/>
    <w:rsid w:val="00097B3E"/>
    <w:rsid w:val="00097C2B"/>
    <w:rsid w:val="000A0737"/>
    <w:rsid w:val="000A0FDC"/>
    <w:rsid w:val="000A26D2"/>
    <w:rsid w:val="000A2E3D"/>
    <w:rsid w:val="000A3A7F"/>
    <w:rsid w:val="000A5649"/>
    <w:rsid w:val="000A6299"/>
    <w:rsid w:val="000A66CC"/>
    <w:rsid w:val="000A682D"/>
    <w:rsid w:val="000B04E3"/>
    <w:rsid w:val="000B1781"/>
    <w:rsid w:val="000B23AE"/>
    <w:rsid w:val="000B50F4"/>
    <w:rsid w:val="000B69AF"/>
    <w:rsid w:val="000B7A2A"/>
    <w:rsid w:val="000C2E3C"/>
    <w:rsid w:val="000C3119"/>
    <w:rsid w:val="000C3DEB"/>
    <w:rsid w:val="000C5F7B"/>
    <w:rsid w:val="000C620B"/>
    <w:rsid w:val="000C63E4"/>
    <w:rsid w:val="000C6468"/>
    <w:rsid w:val="000C66AE"/>
    <w:rsid w:val="000C6EFB"/>
    <w:rsid w:val="000C71D8"/>
    <w:rsid w:val="000D013B"/>
    <w:rsid w:val="000D3E67"/>
    <w:rsid w:val="000D5169"/>
    <w:rsid w:val="000D5D88"/>
    <w:rsid w:val="000D6175"/>
    <w:rsid w:val="000D6280"/>
    <w:rsid w:val="000D7BD6"/>
    <w:rsid w:val="000E3038"/>
    <w:rsid w:val="000E3455"/>
    <w:rsid w:val="000E4147"/>
    <w:rsid w:val="000E4B00"/>
    <w:rsid w:val="000E4EBE"/>
    <w:rsid w:val="000F0F32"/>
    <w:rsid w:val="000F172A"/>
    <w:rsid w:val="000F2931"/>
    <w:rsid w:val="000F6390"/>
    <w:rsid w:val="000F67A8"/>
    <w:rsid w:val="000F69C7"/>
    <w:rsid w:val="00102758"/>
    <w:rsid w:val="00102CC2"/>
    <w:rsid w:val="001033BA"/>
    <w:rsid w:val="00104498"/>
    <w:rsid w:val="00107A76"/>
    <w:rsid w:val="00107BE9"/>
    <w:rsid w:val="00107CFC"/>
    <w:rsid w:val="0011067F"/>
    <w:rsid w:val="00110A20"/>
    <w:rsid w:val="00110B87"/>
    <w:rsid w:val="001115B7"/>
    <w:rsid w:val="00111DC5"/>
    <w:rsid w:val="00112543"/>
    <w:rsid w:val="001129E4"/>
    <w:rsid w:val="001138A6"/>
    <w:rsid w:val="00113EE0"/>
    <w:rsid w:val="001147AF"/>
    <w:rsid w:val="00114982"/>
    <w:rsid w:val="0011676F"/>
    <w:rsid w:val="0011774C"/>
    <w:rsid w:val="00117E87"/>
    <w:rsid w:val="00120B47"/>
    <w:rsid w:val="00120F4B"/>
    <w:rsid w:val="0012178A"/>
    <w:rsid w:val="001228D7"/>
    <w:rsid w:val="00124336"/>
    <w:rsid w:val="00126A84"/>
    <w:rsid w:val="00126F7A"/>
    <w:rsid w:val="00127298"/>
    <w:rsid w:val="00127997"/>
    <w:rsid w:val="0013026B"/>
    <w:rsid w:val="0013106D"/>
    <w:rsid w:val="001320F1"/>
    <w:rsid w:val="001326BE"/>
    <w:rsid w:val="00134645"/>
    <w:rsid w:val="00136093"/>
    <w:rsid w:val="00136EF3"/>
    <w:rsid w:val="0013732E"/>
    <w:rsid w:val="0013775A"/>
    <w:rsid w:val="001401C1"/>
    <w:rsid w:val="001424B4"/>
    <w:rsid w:val="00142621"/>
    <w:rsid w:val="0014627E"/>
    <w:rsid w:val="001470B8"/>
    <w:rsid w:val="00151B39"/>
    <w:rsid w:val="00151BE6"/>
    <w:rsid w:val="00151DC2"/>
    <w:rsid w:val="00154950"/>
    <w:rsid w:val="00155707"/>
    <w:rsid w:val="001575ED"/>
    <w:rsid w:val="001609AD"/>
    <w:rsid w:val="00160E15"/>
    <w:rsid w:val="00161B96"/>
    <w:rsid w:val="00161E6B"/>
    <w:rsid w:val="00162122"/>
    <w:rsid w:val="001625FA"/>
    <w:rsid w:val="001635A5"/>
    <w:rsid w:val="00164140"/>
    <w:rsid w:val="001672CD"/>
    <w:rsid w:val="00167F1C"/>
    <w:rsid w:val="00171BCF"/>
    <w:rsid w:val="00172E77"/>
    <w:rsid w:val="00173E4A"/>
    <w:rsid w:val="00176077"/>
    <w:rsid w:val="0017613B"/>
    <w:rsid w:val="00176EEF"/>
    <w:rsid w:val="001803F0"/>
    <w:rsid w:val="001852AF"/>
    <w:rsid w:val="001860FD"/>
    <w:rsid w:val="00186813"/>
    <w:rsid w:val="00187056"/>
    <w:rsid w:val="001872B3"/>
    <w:rsid w:val="00192787"/>
    <w:rsid w:val="001930E3"/>
    <w:rsid w:val="00193B26"/>
    <w:rsid w:val="00193F8C"/>
    <w:rsid w:val="00194A1C"/>
    <w:rsid w:val="00194F4F"/>
    <w:rsid w:val="00194FD3"/>
    <w:rsid w:val="001952BF"/>
    <w:rsid w:val="0019617F"/>
    <w:rsid w:val="0019645B"/>
    <w:rsid w:val="00197162"/>
    <w:rsid w:val="001975D0"/>
    <w:rsid w:val="001A0BB1"/>
    <w:rsid w:val="001A15C2"/>
    <w:rsid w:val="001A176B"/>
    <w:rsid w:val="001A1B92"/>
    <w:rsid w:val="001A2CA2"/>
    <w:rsid w:val="001A38CB"/>
    <w:rsid w:val="001A39F1"/>
    <w:rsid w:val="001A4065"/>
    <w:rsid w:val="001A5F52"/>
    <w:rsid w:val="001A6E7E"/>
    <w:rsid w:val="001A74CA"/>
    <w:rsid w:val="001B01A8"/>
    <w:rsid w:val="001B1D0A"/>
    <w:rsid w:val="001B24C2"/>
    <w:rsid w:val="001B2AB2"/>
    <w:rsid w:val="001B3F98"/>
    <w:rsid w:val="001B40EF"/>
    <w:rsid w:val="001B4DA9"/>
    <w:rsid w:val="001B58A3"/>
    <w:rsid w:val="001B6C4B"/>
    <w:rsid w:val="001B71F8"/>
    <w:rsid w:val="001C065E"/>
    <w:rsid w:val="001C0C8A"/>
    <w:rsid w:val="001C1542"/>
    <w:rsid w:val="001C273D"/>
    <w:rsid w:val="001C2C32"/>
    <w:rsid w:val="001C2EB1"/>
    <w:rsid w:val="001C3480"/>
    <w:rsid w:val="001C3910"/>
    <w:rsid w:val="001C3955"/>
    <w:rsid w:val="001C670A"/>
    <w:rsid w:val="001D0FA4"/>
    <w:rsid w:val="001D4231"/>
    <w:rsid w:val="001D457A"/>
    <w:rsid w:val="001D552E"/>
    <w:rsid w:val="001D55F9"/>
    <w:rsid w:val="001D58EE"/>
    <w:rsid w:val="001D7BDA"/>
    <w:rsid w:val="001E1DA4"/>
    <w:rsid w:val="001E2FE2"/>
    <w:rsid w:val="001E38D0"/>
    <w:rsid w:val="001E4FC6"/>
    <w:rsid w:val="001E6750"/>
    <w:rsid w:val="001E7396"/>
    <w:rsid w:val="001F0357"/>
    <w:rsid w:val="001F1357"/>
    <w:rsid w:val="001F16FF"/>
    <w:rsid w:val="001F1AEE"/>
    <w:rsid w:val="001F22C0"/>
    <w:rsid w:val="001F359F"/>
    <w:rsid w:val="001F53BA"/>
    <w:rsid w:val="001F5567"/>
    <w:rsid w:val="001F58E9"/>
    <w:rsid w:val="001F6589"/>
    <w:rsid w:val="001F6F74"/>
    <w:rsid w:val="001F7298"/>
    <w:rsid w:val="001F7F89"/>
    <w:rsid w:val="002010C2"/>
    <w:rsid w:val="00203C20"/>
    <w:rsid w:val="00204E91"/>
    <w:rsid w:val="00205EC4"/>
    <w:rsid w:val="00206BAD"/>
    <w:rsid w:val="0020729F"/>
    <w:rsid w:val="00210223"/>
    <w:rsid w:val="002109DD"/>
    <w:rsid w:val="00210B9A"/>
    <w:rsid w:val="00210BEE"/>
    <w:rsid w:val="0021127D"/>
    <w:rsid w:val="00211435"/>
    <w:rsid w:val="00213408"/>
    <w:rsid w:val="00213914"/>
    <w:rsid w:val="00215ECC"/>
    <w:rsid w:val="0021603A"/>
    <w:rsid w:val="002215E5"/>
    <w:rsid w:val="002217FD"/>
    <w:rsid w:val="00221A0E"/>
    <w:rsid w:val="00221A6C"/>
    <w:rsid w:val="00221B8D"/>
    <w:rsid w:val="00221DF3"/>
    <w:rsid w:val="00222AE5"/>
    <w:rsid w:val="00222EC0"/>
    <w:rsid w:val="0022510A"/>
    <w:rsid w:val="002269D4"/>
    <w:rsid w:val="00227064"/>
    <w:rsid w:val="0022706B"/>
    <w:rsid w:val="00227293"/>
    <w:rsid w:val="00227699"/>
    <w:rsid w:val="002304FE"/>
    <w:rsid w:val="0023057A"/>
    <w:rsid w:val="00232EDD"/>
    <w:rsid w:val="002354FD"/>
    <w:rsid w:val="0023583D"/>
    <w:rsid w:val="002370AE"/>
    <w:rsid w:val="00237CA5"/>
    <w:rsid w:val="00240396"/>
    <w:rsid w:val="00241C77"/>
    <w:rsid w:val="00244B21"/>
    <w:rsid w:val="0024580A"/>
    <w:rsid w:val="00245B83"/>
    <w:rsid w:val="00247617"/>
    <w:rsid w:val="00247D00"/>
    <w:rsid w:val="00247F75"/>
    <w:rsid w:val="00252815"/>
    <w:rsid w:val="00253530"/>
    <w:rsid w:val="00255692"/>
    <w:rsid w:val="002558FB"/>
    <w:rsid w:val="00256C77"/>
    <w:rsid w:val="002601A4"/>
    <w:rsid w:val="00260D30"/>
    <w:rsid w:val="00261920"/>
    <w:rsid w:val="00261B2A"/>
    <w:rsid w:val="00263532"/>
    <w:rsid w:val="00264170"/>
    <w:rsid w:val="002649F3"/>
    <w:rsid w:val="0026540E"/>
    <w:rsid w:val="0026574A"/>
    <w:rsid w:val="00265887"/>
    <w:rsid w:val="002675BC"/>
    <w:rsid w:val="0027063D"/>
    <w:rsid w:val="002706E9"/>
    <w:rsid w:val="00270F40"/>
    <w:rsid w:val="002723CA"/>
    <w:rsid w:val="0027461E"/>
    <w:rsid w:val="002760DE"/>
    <w:rsid w:val="00276540"/>
    <w:rsid w:val="0028010D"/>
    <w:rsid w:val="00280407"/>
    <w:rsid w:val="00280DBD"/>
    <w:rsid w:val="00282807"/>
    <w:rsid w:val="00282AC3"/>
    <w:rsid w:val="00282AF6"/>
    <w:rsid w:val="002844D2"/>
    <w:rsid w:val="00286F9C"/>
    <w:rsid w:val="002904FF"/>
    <w:rsid w:val="002905A1"/>
    <w:rsid w:val="00290EE9"/>
    <w:rsid w:val="00291400"/>
    <w:rsid w:val="00291B13"/>
    <w:rsid w:val="00292454"/>
    <w:rsid w:val="00292767"/>
    <w:rsid w:val="00293ABF"/>
    <w:rsid w:val="00294860"/>
    <w:rsid w:val="002948FC"/>
    <w:rsid w:val="00294D7E"/>
    <w:rsid w:val="00295177"/>
    <w:rsid w:val="00295972"/>
    <w:rsid w:val="00296679"/>
    <w:rsid w:val="0029776C"/>
    <w:rsid w:val="002A019F"/>
    <w:rsid w:val="002A0BD5"/>
    <w:rsid w:val="002A0DB3"/>
    <w:rsid w:val="002A0EC8"/>
    <w:rsid w:val="002A1196"/>
    <w:rsid w:val="002A1F84"/>
    <w:rsid w:val="002A21A5"/>
    <w:rsid w:val="002A21D3"/>
    <w:rsid w:val="002A279C"/>
    <w:rsid w:val="002A534E"/>
    <w:rsid w:val="002A5721"/>
    <w:rsid w:val="002A5E50"/>
    <w:rsid w:val="002B0509"/>
    <w:rsid w:val="002B0C4F"/>
    <w:rsid w:val="002B134D"/>
    <w:rsid w:val="002B1534"/>
    <w:rsid w:val="002B3E0B"/>
    <w:rsid w:val="002B3E39"/>
    <w:rsid w:val="002B413A"/>
    <w:rsid w:val="002B49B9"/>
    <w:rsid w:val="002C02C6"/>
    <w:rsid w:val="002C05FB"/>
    <w:rsid w:val="002C0A32"/>
    <w:rsid w:val="002C18DA"/>
    <w:rsid w:val="002C23B1"/>
    <w:rsid w:val="002C2581"/>
    <w:rsid w:val="002C3B9F"/>
    <w:rsid w:val="002C3BB5"/>
    <w:rsid w:val="002C3CFD"/>
    <w:rsid w:val="002C7A5E"/>
    <w:rsid w:val="002D0B54"/>
    <w:rsid w:val="002D1CB6"/>
    <w:rsid w:val="002D3351"/>
    <w:rsid w:val="002D395B"/>
    <w:rsid w:val="002D431B"/>
    <w:rsid w:val="002D4947"/>
    <w:rsid w:val="002D4C61"/>
    <w:rsid w:val="002D5A81"/>
    <w:rsid w:val="002D5E4B"/>
    <w:rsid w:val="002D6ECB"/>
    <w:rsid w:val="002D76D7"/>
    <w:rsid w:val="002E0234"/>
    <w:rsid w:val="002E07FD"/>
    <w:rsid w:val="002E09FF"/>
    <w:rsid w:val="002E18DE"/>
    <w:rsid w:val="002E1C04"/>
    <w:rsid w:val="002E2620"/>
    <w:rsid w:val="002E26CF"/>
    <w:rsid w:val="002E358E"/>
    <w:rsid w:val="002E3F8A"/>
    <w:rsid w:val="002E7012"/>
    <w:rsid w:val="002F0AA8"/>
    <w:rsid w:val="002F364B"/>
    <w:rsid w:val="002F484B"/>
    <w:rsid w:val="002F5BAF"/>
    <w:rsid w:val="002F76DA"/>
    <w:rsid w:val="002F782C"/>
    <w:rsid w:val="00300B37"/>
    <w:rsid w:val="0030107E"/>
    <w:rsid w:val="00301ACE"/>
    <w:rsid w:val="00303F7E"/>
    <w:rsid w:val="00304296"/>
    <w:rsid w:val="0030452D"/>
    <w:rsid w:val="003049EB"/>
    <w:rsid w:val="003054EA"/>
    <w:rsid w:val="00306CB5"/>
    <w:rsid w:val="0031033A"/>
    <w:rsid w:val="00310D37"/>
    <w:rsid w:val="0031285C"/>
    <w:rsid w:val="0031370E"/>
    <w:rsid w:val="00313DC8"/>
    <w:rsid w:val="00314377"/>
    <w:rsid w:val="00314BD6"/>
    <w:rsid w:val="00315612"/>
    <w:rsid w:val="00316EA9"/>
    <w:rsid w:val="003173ED"/>
    <w:rsid w:val="00317856"/>
    <w:rsid w:val="003201DD"/>
    <w:rsid w:val="00321539"/>
    <w:rsid w:val="00323116"/>
    <w:rsid w:val="003239A9"/>
    <w:rsid w:val="0032433C"/>
    <w:rsid w:val="003269A7"/>
    <w:rsid w:val="003276E3"/>
    <w:rsid w:val="00327921"/>
    <w:rsid w:val="00330B86"/>
    <w:rsid w:val="003315F7"/>
    <w:rsid w:val="00332E6F"/>
    <w:rsid w:val="00333437"/>
    <w:rsid w:val="0033431D"/>
    <w:rsid w:val="00334E86"/>
    <w:rsid w:val="003354AB"/>
    <w:rsid w:val="00335704"/>
    <w:rsid w:val="00337752"/>
    <w:rsid w:val="00337847"/>
    <w:rsid w:val="00344908"/>
    <w:rsid w:val="00345671"/>
    <w:rsid w:val="003472A0"/>
    <w:rsid w:val="003475D0"/>
    <w:rsid w:val="00350C2C"/>
    <w:rsid w:val="00351445"/>
    <w:rsid w:val="0035176E"/>
    <w:rsid w:val="003520EC"/>
    <w:rsid w:val="00352BA7"/>
    <w:rsid w:val="00352F52"/>
    <w:rsid w:val="0035467A"/>
    <w:rsid w:val="00354C80"/>
    <w:rsid w:val="00354D6F"/>
    <w:rsid w:val="00355069"/>
    <w:rsid w:val="00355100"/>
    <w:rsid w:val="00355F10"/>
    <w:rsid w:val="00355F79"/>
    <w:rsid w:val="00356275"/>
    <w:rsid w:val="003601EF"/>
    <w:rsid w:val="00360D93"/>
    <w:rsid w:val="003610F3"/>
    <w:rsid w:val="00362772"/>
    <w:rsid w:val="00362F0A"/>
    <w:rsid w:val="003649EE"/>
    <w:rsid w:val="00364B15"/>
    <w:rsid w:val="00365C66"/>
    <w:rsid w:val="00367454"/>
    <w:rsid w:val="00367DDE"/>
    <w:rsid w:val="003702C6"/>
    <w:rsid w:val="00370A91"/>
    <w:rsid w:val="00370D02"/>
    <w:rsid w:val="0037143E"/>
    <w:rsid w:val="003716E6"/>
    <w:rsid w:val="00372063"/>
    <w:rsid w:val="0037222D"/>
    <w:rsid w:val="003729D9"/>
    <w:rsid w:val="00372B1F"/>
    <w:rsid w:val="00373820"/>
    <w:rsid w:val="00374026"/>
    <w:rsid w:val="003741C0"/>
    <w:rsid w:val="00374A6B"/>
    <w:rsid w:val="00374D94"/>
    <w:rsid w:val="00380421"/>
    <w:rsid w:val="00385017"/>
    <w:rsid w:val="003968FE"/>
    <w:rsid w:val="003973F0"/>
    <w:rsid w:val="003A0125"/>
    <w:rsid w:val="003A1D2A"/>
    <w:rsid w:val="003A247C"/>
    <w:rsid w:val="003A313C"/>
    <w:rsid w:val="003A3565"/>
    <w:rsid w:val="003A54C1"/>
    <w:rsid w:val="003A57F1"/>
    <w:rsid w:val="003A5E32"/>
    <w:rsid w:val="003A703D"/>
    <w:rsid w:val="003B05E5"/>
    <w:rsid w:val="003B06EE"/>
    <w:rsid w:val="003B08D1"/>
    <w:rsid w:val="003B1D1B"/>
    <w:rsid w:val="003B1EBF"/>
    <w:rsid w:val="003B23CA"/>
    <w:rsid w:val="003B2C05"/>
    <w:rsid w:val="003B5593"/>
    <w:rsid w:val="003B598C"/>
    <w:rsid w:val="003B6221"/>
    <w:rsid w:val="003B658E"/>
    <w:rsid w:val="003B72A1"/>
    <w:rsid w:val="003C082F"/>
    <w:rsid w:val="003C0DBF"/>
    <w:rsid w:val="003C0FBC"/>
    <w:rsid w:val="003C10BB"/>
    <w:rsid w:val="003C1214"/>
    <w:rsid w:val="003C138D"/>
    <w:rsid w:val="003C1F77"/>
    <w:rsid w:val="003C4A0D"/>
    <w:rsid w:val="003C4B6D"/>
    <w:rsid w:val="003C4BF8"/>
    <w:rsid w:val="003C4EBB"/>
    <w:rsid w:val="003C7322"/>
    <w:rsid w:val="003C7623"/>
    <w:rsid w:val="003D1A98"/>
    <w:rsid w:val="003D25F5"/>
    <w:rsid w:val="003D33AF"/>
    <w:rsid w:val="003D4880"/>
    <w:rsid w:val="003D5018"/>
    <w:rsid w:val="003D5222"/>
    <w:rsid w:val="003D66B8"/>
    <w:rsid w:val="003E006C"/>
    <w:rsid w:val="003E1299"/>
    <w:rsid w:val="003E23FE"/>
    <w:rsid w:val="003E36E5"/>
    <w:rsid w:val="003E3E89"/>
    <w:rsid w:val="003E48B1"/>
    <w:rsid w:val="003E4B40"/>
    <w:rsid w:val="003E5672"/>
    <w:rsid w:val="003E5DE6"/>
    <w:rsid w:val="003E66FC"/>
    <w:rsid w:val="003E6B98"/>
    <w:rsid w:val="003E6D0B"/>
    <w:rsid w:val="003E7D2E"/>
    <w:rsid w:val="003F09D7"/>
    <w:rsid w:val="003F0EB8"/>
    <w:rsid w:val="003F1A3B"/>
    <w:rsid w:val="003F1C60"/>
    <w:rsid w:val="003F1E34"/>
    <w:rsid w:val="003F2734"/>
    <w:rsid w:val="003F4FA6"/>
    <w:rsid w:val="003F5883"/>
    <w:rsid w:val="003F5AA8"/>
    <w:rsid w:val="003F6AAC"/>
    <w:rsid w:val="00400B8D"/>
    <w:rsid w:val="00401375"/>
    <w:rsid w:val="00401645"/>
    <w:rsid w:val="0040164E"/>
    <w:rsid w:val="00401974"/>
    <w:rsid w:val="004020DB"/>
    <w:rsid w:val="00402339"/>
    <w:rsid w:val="004023E8"/>
    <w:rsid w:val="00405954"/>
    <w:rsid w:val="00405D7F"/>
    <w:rsid w:val="004069DD"/>
    <w:rsid w:val="00407248"/>
    <w:rsid w:val="0041050E"/>
    <w:rsid w:val="0041090F"/>
    <w:rsid w:val="004129D9"/>
    <w:rsid w:val="00412E86"/>
    <w:rsid w:val="00414688"/>
    <w:rsid w:val="00415ED0"/>
    <w:rsid w:val="0041703B"/>
    <w:rsid w:val="004203B1"/>
    <w:rsid w:val="0042105E"/>
    <w:rsid w:val="00421B61"/>
    <w:rsid w:val="00421DB3"/>
    <w:rsid w:val="0042322D"/>
    <w:rsid w:val="0042376E"/>
    <w:rsid w:val="00423C44"/>
    <w:rsid w:val="0042416E"/>
    <w:rsid w:val="00425AFC"/>
    <w:rsid w:val="00426F15"/>
    <w:rsid w:val="00426F51"/>
    <w:rsid w:val="00427A7F"/>
    <w:rsid w:val="00431634"/>
    <w:rsid w:val="004319CF"/>
    <w:rsid w:val="00431C51"/>
    <w:rsid w:val="004334A9"/>
    <w:rsid w:val="00433520"/>
    <w:rsid w:val="0043375D"/>
    <w:rsid w:val="00434137"/>
    <w:rsid w:val="00436C8A"/>
    <w:rsid w:val="004375E9"/>
    <w:rsid w:val="00437641"/>
    <w:rsid w:val="00440DF2"/>
    <w:rsid w:val="00441443"/>
    <w:rsid w:val="00441A49"/>
    <w:rsid w:val="0044489E"/>
    <w:rsid w:val="0044511D"/>
    <w:rsid w:val="00445230"/>
    <w:rsid w:val="004466F7"/>
    <w:rsid w:val="00450070"/>
    <w:rsid w:val="00450520"/>
    <w:rsid w:val="00451B80"/>
    <w:rsid w:val="00451C69"/>
    <w:rsid w:val="00452333"/>
    <w:rsid w:val="004527C7"/>
    <w:rsid w:val="00453589"/>
    <w:rsid w:val="00453966"/>
    <w:rsid w:val="00453A62"/>
    <w:rsid w:val="00455740"/>
    <w:rsid w:val="00455BB6"/>
    <w:rsid w:val="004568B7"/>
    <w:rsid w:val="00457A40"/>
    <w:rsid w:val="004616B3"/>
    <w:rsid w:val="004628D6"/>
    <w:rsid w:val="004631DC"/>
    <w:rsid w:val="00463256"/>
    <w:rsid w:val="004632A3"/>
    <w:rsid w:val="004634FC"/>
    <w:rsid w:val="00463B29"/>
    <w:rsid w:val="00467225"/>
    <w:rsid w:val="004674E5"/>
    <w:rsid w:val="00467B25"/>
    <w:rsid w:val="00470E6C"/>
    <w:rsid w:val="004715FE"/>
    <w:rsid w:val="00472230"/>
    <w:rsid w:val="0047253E"/>
    <w:rsid w:val="004772CE"/>
    <w:rsid w:val="00480491"/>
    <w:rsid w:val="00481CA3"/>
    <w:rsid w:val="00483BD3"/>
    <w:rsid w:val="004842FF"/>
    <w:rsid w:val="00484C6D"/>
    <w:rsid w:val="00485B70"/>
    <w:rsid w:val="00487439"/>
    <w:rsid w:val="00487A81"/>
    <w:rsid w:val="00487CCD"/>
    <w:rsid w:val="00487FF7"/>
    <w:rsid w:val="004913D3"/>
    <w:rsid w:val="00494FB0"/>
    <w:rsid w:val="00495036"/>
    <w:rsid w:val="004953B9"/>
    <w:rsid w:val="00495D58"/>
    <w:rsid w:val="00495DF8"/>
    <w:rsid w:val="0049643D"/>
    <w:rsid w:val="0049687A"/>
    <w:rsid w:val="00496C00"/>
    <w:rsid w:val="004976E2"/>
    <w:rsid w:val="00497AAB"/>
    <w:rsid w:val="004A06E5"/>
    <w:rsid w:val="004A17C7"/>
    <w:rsid w:val="004A1807"/>
    <w:rsid w:val="004A1D08"/>
    <w:rsid w:val="004A4909"/>
    <w:rsid w:val="004A4AB8"/>
    <w:rsid w:val="004A77B2"/>
    <w:rsid w:val="004B158C"/>
    <w:rsid w:val="004B1675"/>
    <w:rsid w:val="004B197D"/>
    <w:rsid w:val="004B2C04"/>
    <w:rsid w:val="004B3D82"/>
    <w:rsid w:val="004B4246"/>
    <w:rsid w:val="004B45E1"/>
    <w:rsid w:val="004B53C3"/>
    <w:rsid w:val="004B59FF"/>
    <w:rsid w:val="004C0094"/>
    <w:rsid w:val="004C069B"/>
    <w:rsid w:val="004C0C76"/>
    <w:rsid w:val="004C0D35"/>
    <w:rsid w:val="004C1906"/>
    <w:rsid w:val="004C295B"/>
    <w:rsid w:val="004C296F"/>
    <w:rsid w:val="004C2A56"/>
    <w:rsid w:val="004C35B3"/>
    <w:rsid w:val="004C41DC"/>
    <w:rsid w:val="004C70BB"/>
    <w:rsid w:val="004C714B"/>
    <w:rsid w:val="004C7AC4"/>
    <w:rsid w:val="004D0A7B"/>
    <w:rsid w:val="004D0CA1"/>
    <w:rsid w:val="004D2684"/>
    <w:rsid w:val="004D3391"/>
    <w:rsid w:val="004D3D69"/>
    <w:rsid w:val="004D4ACF"/>
    <w:rsid w:val="004D4EB7"/>
    <w:rsid w:val="004D537D"/>
    <w:rsid w:val="004D614B"/>
    <w:rsid w:val="004D6918"/>
    <w:rsid w:val="004E0412"/>
    <w:rsid w:val="004E259E"/>
    <w:rsid w:val="004E6BC8"/>
    <w:rsid w:val="004E6C68"/>
    <w:rsid w:val="004F077F"/>
    <w:rsid w:val="004F0A11"/>
    <w:rsid w:val="004F0AE1"/>
    <w:rsid w:val="004F1264"/>
    <w:rsid w:val="004F1A59"/>
    <w:rsid w:val="004F1C28"/>
    <w:rsid w:val="004F1E04"/>
    <w:rsid w:val="004F23A8"/>
    <w:rsid w:val="004F2C82"/>
    <w:rsid w:val="004F2C9B"/>
    <w:rsid w:val="004F3095"/>
    <w:rsid w:val="004F3E75"/>
    <w:rsid w:val="004F4033"/>
    <w:rsid w:val="004F5B3A"/>
    <w:rsid w:val="004F5C8B"/>
    <w:rsid w:val="004F7E66"/>
    <w:rsid w:val="00500609"/>
    <w:rsid w:val="0050126B"/>
    <w:rsid w:val="005048C6"/>
    <w:rsid w:val="005067E2"/>
    <w:rsid w:val="00507147"/>
    <w:rsid w:val="005111BC"/>
    <w:rsid w:val="00512FFE"/>
    <w:rsid w:val="00513409"/>
    <w:rsid w:val="0051435F"/>
    <w:rsid w:val="0051497A"/>
    <w:rsid w:val="0051517C"/>
    <w:rsid w:val="00515CEB"/>
    <w:rsid w:val="0051612C"/>
    <w:rsid w:val="00516888"/>
    <w:rsid w:val="00517A2C"/>
    <w:rsid w:val="005204BB"/>
    <w:rsid w:val="00520A43"/>
    <w:rsid w:val="00520CB2"/>
    <w:rsid w:val="005214DF"/>
    <w:rsid w:val="005218B5"/>
    <w:rsid w:val="0052300A"/>
    <w:rsid w:val="0052316A"/>
    <w:rsid w:val="005241F5"/>
    <w:rsid w:val="005248ED"/>
    <w:rsid w:val="00524A9B"/>
    <w:rsid w:val="00524AAD"/>
    <w:rsid w:val="005253E2"/>
    <w:rsid w:val="00526841"/>
    <w:rsid w:val="0052691D"/>
    <w:rsid w:val="00526BCF"/>
    <w:rsid w:val="005270F6"/>
    <w:rsid w:val="00527A8E"/>
    <w:rsid w:val="00527DCB"/>
    <w:rsid w:val="00527FDB"/>
    <w:rsid w:val="00530729"/>
    <w:rsid w:val="00530BD8"/>
    <w:rsid w:val="00532528"/>
    <w:rsid w:val="00532550"/>
    <w:rsid w:val="0053267F"/>
    <w:rsid w:val="005329CD"/>
    <w:rsid w:val="005341B6"/>
    <w:rsid w:val="00534ED3"/>
    <w:rsid w:val="005371BE"/>
    <w:rsid w:val="00537518"/>
    <w:rsid w:val="005377A9"/>
    <w:rsid w:val="00537ECD"/>
    <w:rsid w:val="005425B9"/>
    <w:rsid w:val="00542FCF"/>
    <w:rsid w:val="0054445F"/>
    <w:rsid w:val="00544791"/>
    <w:rsid w:val="0054491B"/>
    <w:rsid w:val="00544CE8"/>
    <w:rsid w:val="005457AE"/>
    <w:rsid w:val="00546C02"/>
    <w:rsid w:val="005501AA"/>
    <w:rsid w:val="00550E1E"/>
    <w:rsid w:val="005510EB"/>
    <w:rsid w:val="0055418B"/>
    <w:rsid w:val="00554F6D"/>
    <w:rsid w:val="0055626B"/>
    <w:rsid w:val="00557C3F"/>
    <w:rsid w:val="005626CD"/>
    <w:rsid w:val="00562A5C"/>
    <w:rsid w:val="00562CB2"/>
    <w:rsid w:val="00565598"/>
    <w:rsid w:val="00565A73"/>
    <w:rsid w:val="0056608F"/>
    <w:rsid w:val="00566BCD"/>
    <w:rsid w:val="00567604"/>
    <w:rsid w:val="00567820"/>
    <w:rsid w:val="0057116E"/>
    <w:rsid w:val="00571929"/>
    <w:rsid w:val="0057229C"/>
    <w:rsid w:val="00575C84"/>
    <w:rsid w:val="0057611B"/>
    <w:rsid w:val="00576A60"/>
    <w:rsid w:val="00576E34"/>
    <w:rsid w:val="00577249"/>
    <w:rsid w:val="00577558"/>
    <w:rsid w:val="00577BAE"/>
    <w:rsid w:val="00581F4B"/>
    <w:rsid w:val="00582CCC"/>
    <w:rsid w:val="00583282"/>
    <w:rsid w:val="005838E3"/>
    <w:rsid w:val="0058533F"/>
    <w:rsid w:val="0058548E"/>
    <w:rsid w:val="00586A73"/>
    <w:rsid w:val="00586AF7"/>
    <w:rsid w:val="00587743"/>
    <w:rsid w:val="00587969"/>
    <w:rsid w:val="00587B98"/>
    <w:rsid w:val="005929D6"/>
    <w:rsid w:val="005932AF"/>
    <w:rsid w:val="00594839"/>
    <w:rsid w:val="00597092"/>
    <w:rsid w:val="00597DF2"/>
    <w:rsid w:val="005A1D8A"/>
    <w:rsid w:val="005A31C9"/>
    <w:rsid w:val="005A3BDA"/>
    <w:rsid w:val="005A3D75"/>
    <w:rsid w:val="005A5929"/>
    <w:rsid w:val="005A5EA2"/>
    <w:rsid w:val="005A6271"/>
    <w:rsid w:val="005B083A"/>
    <w:rsid w:val="005B12FC"/>
    <w:rsid w:val="005B2F7F"/>
    <w:rsid w:val="005B3B8F"/>
    <w:rsid w:val="005B4115"/>
    <w:rsid w:val="005B413F"/>
    <w:rsid w:val="005B5983"/>
    <w:rsid w:val="005C1078"/>
    <w:rsid w:val="005C1CEC"/>
    <w:rsid w:val="005C3B1E"/>
    <w:rsid w:val="005C4C65"/>
    <w:rsid w:val="005C5667"/>
    <w:rsid w:val="005C5734"/>
    <w:rsid w:val="005C6094"/>
    <w:rsid w:val="005C6D8A"/>
    <w:rsid w:val="005C701C"/>
    <w:rsid w:val="005D014A"/>
    <w:rsid w:val="005D0F08"/>
    <w:rsid w:val="005D1697"/>
    <w:rsid w:val="005D198B"/>
    <w:rsid w:val="005D2927"/>
    <w:rsid w:val="005D2ADA"/>
    <w:rsid w:val="005D2D67"/>
    <w:rsid w:val="005D365B"/>
    <w:rsid w:val="005D401C"/>
    <w:rsid w:val="005D4F32"/>
    <w:rsid w:val="005D76DF"/>
    <w:rsid w:val="005E0612"/>
    <w:rsid w:val="005E0846"/>
    <w:rsid w:val="005E10FA"/>
    <w:rsid w:val="005E28C4"/>
    <w:rsid w:val="005E40CF"/>
    <w:rsid w:val="005E5D3D"/>
    <w:rsid w:val="005E5F0B"/>
    <w:rsid w:val="005E6268"/>
    <w:rsid w:val="005E6FB3"/>
    <w:rsid w:val="005E77D6"/>
    <w:rsid w:val="005E7E05"/>
    <w:rsid w:val="005F0B59"/>
    <w:rsid w:val="005F2BBC"/>
    <w:rsid w:val="005F3109"/>
    <w:rsid w:val="005F42F9"/>
    <w:rsid w:val="005F4767"/>
    <w:rsid w:val="005F5296"/>
    <w:rsid w:val="0060007B"/>
    <w:rsid w:val="0060115F"/>
    <w:rsid w:val="00601BE9"/>
    <w:rsid w:val="00601EDF"/>
    <w:rsid w:val="00601F99"/>
    <w:rsid w:val="00602483"/>
    <w:rsid w:val="0060588E"/>
    <w:rsid w:val="00605D46"/>
    <w:rsid w:val="00606369"/>
    <w:rsid w:val="006109D5"/>
    <w:rsid w:val="00611572"/>
    <w:rsid w:val="006117C3"/>
    <w:rsid w:val="00612E5E"/>
    <w:rsid w:val="00612FBA"/>
    <w:rsid w:val="00615454"/>
    <w:rsid w:val="00615A57"/>
    <w:rsid w:val="00615E87"/>
    <w:rsid w:val="00616284"/>
    <w:rsid w:val="00616539"/>
    <w:rsid w:val="0061681F"/>
    <w:rsid w:val="0061729D"/>
    <w:rsid w:val="006214E0"/>
    <w:rsid w:val="00622049"/>
    <w:rsid w:val="00622846"/>
    <w:rsid w:val="0062402F"/>
    <w:rsid w:val="00625AC2"/>
    <w:rsid w:val="00625F1D"/>
    <w:rsid w:val="00627085"/>
    <w:rsid w:val="0063066B"/>
    <w:rsid w:val="00630D01"/>
    <w:rsid w:val="00631206"/>
    <w:rsid w:val="00631513"/>
    <w:rsid w:val="00631937"/>
    <w:rsid w:val="006328D3"/>
    <w:rsid w:val="0063292B"/>
    <w:rsid w:val="00633FAD"/>
    <w:rsid w:val="006341DB"/>
    <w:rsid w:val="006348F1"/>
    <w:rsid w:val="00635DF4"/>
    <w:rsid w:val="006369CE"/>
    <w:rsid w:val="006370CA"/>
    <w:rsid w:val="006376FE"/>
    <w:rsid w:val="00640D53"/>
    <w:rsid w:val="006418BB"/>
    <w:rsid w:val="006422C3"/>
    <w:rsid w:val="00642382"/>
    <w:rsid w:val="006426B3"/>
    <w:rsid w:val="0064416C"/>
    <w:rsid w:val="006442CA"/>
    <w:rsid w:val="00644384"/>
    <w:rsid w:val="00644385"/>
    <w:rsid w:val="00647281"/>
    <w:rsid w:val="00650B39"/>
    <w:rsid w:val="00651B7A"/>
    <w:rsid w:val="00652D8F"/>
    <w:rsid w:val="00652EB7"/>
    <w:rsid w:val="00653B4A"/>
    <w:rsid w:val="00653CD2"/>
    <w:rsid w:val="00653FBA"/>
    <w:rsid w:val="006541FE"/>
    <w:rsid w:val="00656238"/>
    <w:rsid w:val="006571E4"/>
    <w:rsid w:val="006572E4"/>
    <w:rsid w:val="0065739C"/>
    <w:rsid w:val="006573A4"/>
    <w:rsid w:val="00657687"/>
    <w:rsid w:val="00657F53"/>
    <w:rsid w:val="00660883"/>
    <w:rsid w:val="00660E52"/>
    <w:rsid w:val="0066105D"/>
    <w:rsid w:val="006610AD"/>
    <w:rsid w:val="00662BC4"/>
    <w:rsid w:val="006639DF"/>
    <w:rsid w:val="00663FAD"/>
    <w:rsid w:val="006642FF"/>
    <w:rsid w:val="00664AED"/>
    <w:rsid w:val="00665671"/>
    <w:rsid w:val="006667AF"/>
    <w:rsid w:val="006722E2"/>
    <w:rsid w:val="00672F35"/>
    <w:rsid w:val="00673F48"/>
    <w:rsid w:val="00674469"/>
    <w:rsid w:val="0067474E"/>
    <w:rsid w:val="006763F7"/>
    <w:rsid w:val="006772D0"/>
    <w:rsid w:val="00677440"/>
    <w:rsid w:val="00677AFD"/>
    <w:rsid w:val="006806C0"/>
    <w:rsid w:val="00682DDB"/>
    <w:rsid w:val="00683D12"/>
    <w:rsid w:val="00684EFA"/>
    <w:rsid w:val="006852D8"/>
    <w:rsid w:val="00685E75"/>
    <w:rsid w:val="00685F41"/>
    <w:rsid w:val="00685FDD"/>
    <w:rsid w:val="006863EE"/>
    <w:rsid w:val="006901C6"/>
    <w:rsid w:val="0069199E"/>
    <w:rsid w:val="00691B75"/>
    <w:rsid w:val="00692279"/>
    <w:rsid w:val="00692B2F"/>
    <w:rsid w:val="00692CF9"/>
    <w:rsid w:val="0069323F"/>
    <w:rsid w:val="00694495"/>
    <w:rsid w:val="00694DDE"/>
    <w:rsid w:val="0069521A"/>
    <w:rsid w:val="00695DF2"/>
    <w:rsid w:val="00695E0C"/>
    <w:rsid w:val="00696B76"/>
    <w:rsid w:val="00696C07"/>
    <w:rsid w:val="006A0B7A"/>
    <w:rsid w:val="006A3972"/>
    <w:rsid w:val="006A64A1"/>
    <w:rsid w:val="006A6802"/>
    <w:rsid w:val="006A768F"/>
    <w:rsid w:val="006A7F8C"/>
    <w:rsid w:val="006B0388"/>
    <w:rsid w:val="006B25A0"/>
    <w:rsid w:val="006B30FD"/>
    <w:rsid w:val="006B6ABB"/>
    <w:rsid w:val="006C0316"/>
    <w:rsid w:val="006C07B3"/>
    <w:rsid w:val="006C1505"/>
    <w:rsid w:val="006C1AFF"/>
    <w:rsid w:val="006C1E2F"/>
    <w:rsid w:val="006C3582"/>
    <w:rsid w:val="006C47BE"/>
    <w:rsid w:val="006C5402"/>
    <w:rsid w:val="006C6098"/>
    <w:rsid w:val="006C6432"/>
    <w:rsid w:val="006C6722"/>
    <w:rsid w:val="006D0457"/>
    <w:rsid w:val="006D1C47"/>
    <w:rsid w:val="006D2E3F"/>
    <w:rsid w:val="006D34D5"/>
    <w:rsid w:val="006D3839"/>
    <w:rsid w:val="006D387B"/>
    <w:rsid w:val="006D3B65"/>
    <w:rsid w:val="006D3C6D"/>
    <w:rsid w:val="006D3DC2"/>
    <w:rsid w:val="006D43D4"/>
    <w:rsid w:val="006D693A"/>
    <w:rsid w:val="006D6F8F"/>
    <w:rsid w:val="006D7211"/>
    <w:rsid w:val="006D741B"/>
    <w:rsid w:val="006E0C7E"/>
    <w:rsid w:val="006E115F"/>
    <w:rsid w:val="006E1EBC"/>
    <w:rsid w:val="006E2842"/>
    <w:rsid w:val="006E442B"/>
    <w:rsid w:val="006E4592"/>
    <w:rsid w:val="006E4E28"/>
    <w:rsid w:val="006E5F17"/>
    <w:rsid w:val="006E6E73"/>
    <w:rsid w:val="006E7016"/>
    <w:rsid w:val="006E7975"/>
    <w:rsid w:val="006F092A"/>
    <w:rsid w:val="006F0DC3"/>
    <w:rsid w:val="006F1013"/>
    <w:rsid w:val="006F1D15"/>
    <w:rsid w:val="006F2002"/>
    <w:rsid w:val="006F3526"/>
    <w:rsid w:val="006F374C"/>
    <w:rsid w:val="006F5E99"/>
    <w:rsid w:val="006F654D"/>
    <w:rsid w:val="006F6632"/>
    <w:rsid w:val="006F66E0"/>
    <w:rsid w:val="006F6D08"/>
    <w:rsid w:val="006F74F4"/>
    <w:rsid w:val="006F7FBB"/>
    <w:rsid w:val="0070099B"/>
    <w:rsid w:val="00700C67"/>
    <w:rsid w:val="007034EA"/>
    <w:rsid w:val="00703B5C"/>
    <w:rsid w:val="0070449A"/>
    <w:rsid w:val="00705045"/>
    <w:rsid w:val="007101EC"/>
    <w:rsid w:val="007108C3"/>
    <w:rsid w:val="007117F6"/>
    <w:rsid w:val="007126B2"/>
    <w:rsid w:val="00713169"/>
    <w:rsid w:val="007139C6"/>
    <w:rsid w:val="00715F5A"/>
    <w:rsid w:val="00715F65"/>
    <w:rsid w:val="00715F83"/>
    <w:rsid w:val="0071753F"/>
    <w:rsid w:val="007207A9"/>
    <w:rsid w:val="007208A9"/>
    <w:rsid w:val="00720A55"/>
    <w:rsid w:val="00723010"/>
    <w:rsid w:val="00723BC6"/>
    <w:rsid w:val="0072456C"/>
    <w:rsid w:val="00726078"/>
    <w:rsid w:val="00726AAA"/>
    <w:rsid w:val="00726E38"/>
    <w:rsid w:val="00731972"/>
    <w:rsid w:val="0073474B"/>
    <w:rsid w:val="00734EDF"/>
    <w:rsid w:val="007352F9"/>
    <w:rsid w:val="00735870"/>
    <w:rsid w:val="00736D90"/>
    <w:rsid w:val="00737169"/>
    <w:rsid w:val="00737D1F"/>
    <w:rsid w:val="007421EF"/>
    <w:rsid w:val="00742338"/>
    <w:rsid w:val="0074259C"/>
    <w:rsid w:val="00742B54"/>
    <w:rsid w:val="00742FF1"/>
    <w:rsid w:val="00744581"/>
    <w:rsid w:val="00745989"/>
    <w:rsid w:val="00747BB7"/>
    <w:rsid w:val="0075231D"/>
    <w:rsid w:val="00752394"/>
    <w:rsid w:val="00752480"/>
    <w:rsid w:val="0075482F"/>
    <w:rsid w:val="00755EF6"/>
    <w:rsid w:val="0075636A"/>
    <w:rsid w:val="007568A3"/>
    <w:rsid w:val="007569C0"/>
    <w:rsid w:val="007574F7"/>
    <w:rsid w:val="0076041E"/>
    <w:rsid w:val="0076050F"/>
    <w:rsid w:val="00760A5B"/>
    <w:rsid w:val="00761806"/>
    <w:rsid w:val="00761D98"/>
    <w:rsid w:val="00761EA1"/>
    <w:rsid w:val="00762AEC"/>
    <w:rsid w:val="00762EC7"/>
    <w:rsid w:val="00762FB4"/>
    <w:rsid w:val="007638A5"/>
    <w:rsid w:val="00766811"/>
    <w:rsid w:val="0076683A"/>
    <w:rsid w:val="00766D2E"/>
    <w:rsid w:val="00767F39"/>
    <w:rsid w:val="00770487"/>
    <w:rsid w:val="00771667"/>
    <w:rsid w:val="007717CB"/>
    <w:rsid w:val="00771978"/>
    <w:rsid w:val="0077248D"/>
    <w:rsid w:val="00772C98"/>
    <w:rsid w:val="00774825"/>
    <w:rsid w:val="00774989"/>
    <w:rsid w:val="0077567F"/>
    <w:rsid w:val="00775D7D"/>
    <w:rsid w:val="00776890"/>
    <w:rsid w:val="00780597"/>
    <w:rsid w:val="00780E3B"/>
    <w:rsid w:val="0078184D"/>
    <w:rsid w:val="00782800"/>
    <w:rsid w:val="00782C47"/>
    <w:rsid w:val="00783343"/>
    <w:rsid w:val="0078335B"/>
    <w:rsid w:val="00783988"/>
    <w:rsid w:val="007841CD"/>
    <w:rsid w:val="007854C4"/>
    <w:rsid w:val="007857A8"/>
    <w:rsid w:val="00786AE8"/>
    <w:rsid w:val="00786E37"/>
    <w:rsid w:val="007872E3"/>
    <w:rsid w:val="007903C2"/>
    <w:rsid w:val="00790687"/>
    <w:rsid w:val="00791D96"/>
    <w:rsid w:val="00791F46"/>
    <w:rsid w:val="00792482"/>
    <w:rsid w:val="007933F7"/>
    <w:rsid w:val="00795BEE"/>
    <w:rsid w:val="007966A6"/>
    <w:rsid w:val="00796D9E"/>
    <w:rsid w:val="007973A1"/>
    <w:rsid w:val="007A195C"/>
    <w:rsid w:val="007A1D13"/>
    <w:rsid w:val="007A1FBD"/>
    <w:rsid w:val="007A27D1"/>
    <w:rsid w:val="007A27FD"/>
    <w:rsid w:val="007A2991"/>
    <w:rsid w:val="007A2F40"/>
    <w:rsid w:val="007A3209"/>
    <w:rsid w:val="007A489F"/>
    <w:rsid w:val="007A4B52"/>
    <w:rsid w:val="007A67C6"/>
    <w:rsid w:val="007A79A5"/>
    <w:rsid w:val="007B028A"/>
    <w:rsid w:val="007B0364"/>
    <w:rsid w:val="007B0F97"/>
    <w:rsid w:val="007B2848"/>
    <w:rsid w:val="007B2DD4"/>
    <w:rsid w:val="007B305D"/>
    <w:rsid w:val="007B4AFB"/>
    <w:rsid w:val="007B791A"/>
    <w:rsid w:val="007C2BD3"/>
    <w:rsid w:val="007C2D97"/>
    <w:rsid w:val="007C31E5"/>
    <w:rsid w:val="007C5569"/>
    <w:rsid w:val="007C7117"/>
    <w:rsid w:val="007D14C5"/>
    <w:rsid w:val="007D225F"/>
    <w:rsid w:val="007D2895"/>
    <w:rsid w:val="007D2A6E"/>
    <w:rsid w:val="007D340E"/>
    <w:rsid w:val="007D3DD5"/>
    <w:rsid w:val="007D40A6"/>
    <w:rsid w:val="007D4191"/>
    <w:rsid w:val="007D5271"/>
    <w:rsid w:val="007D5A7D"/>
    <w:rsid w:val="007D5B32"/>
    <w:rsid w:val="007D62B6"/>
    <w:rsid w:val="007D68A0"/>
    <w:rsid w:val="007D7C6E"/>
    <w:rsid w:val="007D7F5B"/>
    <w:rsid w:val="007E098D"/>
    <w:rsid w:val="007E1007"/>
    <w:rsid w:val="007E1AAD"/>
    <w:rsid w:val="007E1B02"/>
    <w:rsid w:val="007E454B"/>
    <w:rsid w:val="007E5AFB"/>
    <w:rsid w:val="007E793B"/>
    <w:rsid w:val="007F04E9"/>
    <w:rsid w:val="007F2943"/>
    <w:rsid w:val="007F2B05"/>
    <w:rsid w:val="007F4927"/>
    <w:rsid w:val="007F4B59"/>
    <w:rsid w:val="007F536E"/>
    <w:rsid w:val="007F62BE"/>
    <w:rsid w:val="007F6AC7"/>
    <w:rsid w:val="007F7704"/>
    <w:rsid w:val="007F7F7C"/>
    <w:rsid w:val="00801D3C"/>
    <w:rsid w:val="00803387"/>
    <w:rsid w:val="00804F26"/>
    <w:rsid w:val="008059CA"/>
    <w:rsid w:val="00805EAA"/>
    <w:rsid w:val="00806B75"/>
    <w:rsid w:val="008072FC"/>
    <w:rsid w:val="00810D01"/>
    <w:rsid w:val="00811258"/>
    <w:rsid w:val="0081129F"/>
    <w:rsid w:val="00812C43"/>
    <w:rsid w:val="008132CB"/>
    <w:rsid w:val="00813315"/>
    <w:rsid w:val="00814357"/>
    <w:rsid w:val="00817517"/>
    <w:rsid w:val="00820CFA"/>
    <w:rsid w:val="00820FE2"/>
    <w:rsid w:val="00821848"/>
    <w:rsid w:val="00821F71"/>
    <w:rsid w:val="008232E4"/>
    <w:rsid w:val="00823683"/>
    <w:rsid w:val="00823A0A"/>
    <w:rsid w:val="00823AFA"/>
    <w:rsid w:val="00823FD1"/>
    <w:rsid w:val="00825CD4"/>
    <w:rsid w:val="00826DF3"/>
    <w:rsid w:val="0083055C"/>
    <w:rsid w:val="0083196E"/>
    <w:rsid w:val="00832F73"/>
    <w:rsid w:val="00834199"/>
    <w:rsid w:val="0083521C"/>
    <w:rsid w:val="008359FE"/>
    <w:rsid w:val="008402F7"/>
    <w:rsid w:val="00840E21"/>
    <w:rsid w:val="00840E55"/>
    <w:rsid w:val="00841078"/>
    <w:rsid w:val="00841890"/>
    <w:rsid w:val="00841B0F"/>
    <w:rsid w:val="00842498"/>
    <w:rsid w:val="0084390A"/>
    <w:rsid w:val="00844E32"/>
    <w:rsid w:val="00846190"/>
    <w:rsid w:val="00847778"/>
    <w:rsid w:val="00851BC1"/>
    <w:rsid w:val="008535E0"/>
    <w:rsid w:val="0085379D"/>
    <w:rsid w:val="008549CD"/>
    <w:rsid w:val="00854A76"/>
    <w:rsid w:val="00854C2E"/>
    <w:rsid w:val="00855906"/>
    <w:rsid w:val="0085638A"/>
    <w:rsid w:val="008604AE"/>
    <w:rsid w:val="008606A8"/>
    <w:rsid w:val="0086267A"/>
    <w:rsid w:val="00862D11"/>
    <w:rsid w:val="0086302E"/>
    <w:rsid w:val="00863474"/>
    <w:rsid w:val="008640A5"/>
    <w:rsid w:val="00864651"/>
    <w:rsid w:val="00864D19"/>
    <w:rsid w:val="00864F50"/>
    <w:rsid w:val="008651CC"/>
    <w:rsid w:val="00866297"/>
    <w:rsid w:val="00867AC5"/>
    <w:rsid w:val="00870C92"/>
    <w:rsid w:val="00871B7D"/>
    <w:rsid w:val="00871CAD"/>
    <w:rsid w:val="00872D31"/>
    <w:rsid w:val="008730F0"/>
    <w:rsid w:val="0087347B"/>
    <w:rsid w:val="00875488"/>
    <w:rsid w:val="00875877"/>
    <w:rsid w:val="008761D7"/>
    <w:rsid w:val="008765C2"/>
    <w:rsid w:val="00877FCD"/>
    <w:rsid w:val="00882885"/>
    <w:rsid w:val="008834E1"/>
    <w:rsid w:val="00883674"/>
    <w:rsid w:val="00883F1C"/>
    <w:rsid w:val="00884051"/>
    <w:rsid w:val="008845FE"/>
    <w:rsid w:val="00884963"/>
    <w:rsid w:val="00886014"/>
    <w:rsid w:val="00886647"/>
    <w:rsid w:val="00886788"/>
    <w:rsid w:val="00886DDB"/>
    <w:rsid w:val="00887A9F"/>
    <w:rsid w:val="00887EBA"/>
    <w:rsid w:val="008918D1"/>
    <w:rsid w:val="008946A2"/>
    <w:rsid w:val="00896EC7"/>
    <w:rsid w:val="008A0C88"/>
    <w:rsid w:val="008A11AE"/>
    <w:rsid w:val="008A16DC"/>
    <w:rsid w:val="008A24D7"/>
    <w:rsid w:val="008A2A41"/>
    <w:rsid w:val="008A36D6"/>
    <w:rsid w:val="008A4557"/>
    <w:rsid w:val="008A6C0E"/>
    <w:rsid w:val="008A74F2"/>
    <w:rsid w:val="008B01D5"/>
    <w:rsid w:val="008B0A86"/>
    <w:rsid w:val="008B1745"/>
    <w:rsid w:val="008B4C64"/>
    <w:rsid w:val="008B55FB"/>
    <w:rsid w:val="008B658D"/>
    <w:rsid w:val="008B766A"/>
    <w:rsid w:val="008C11B0"/>
    <w:rsid w:val="008C2B0B"/>
    <w:rsid w:val="008C3265"/>
    <w:rsid w:val="008C36EF"/>
    <w:rsid w:val="008C37E7"/>
    <w:rsid w:val="008C3EEF"/>
    <w:rsid w:val="008C4CEC"/>
    <w:rsid w:val="008C6D0D"/>
    <w:rsid w:val="008C76F4"/>
    <w:rsid w:val="008C7E46"/>
    <w:rsid w:val="008D0F06"/>
    <w:rsid w:val="008D2833"/>
    <w:rsid w:val="008D31FB"/>
    <w:rsid w:val="008D3923"/>
    <w:rsid w:val="008D3BB3"/>
    <w:rsid w:val="008D44D1"/>
    <w:rsid w:val="008D4CE0"/>
    <w:rsid w:val="008D4F82"/>
    <w:rsid w:val="008D5538"/>
    <w:rsid w:val="008D67ED"/>
    <w:rsid w:val="008D6AD9"/>
    <w:rsid w:val="008D7DE6"/>
    <w:rsid w:val="008E00C1"/>
    <w:rsid w:val="008E0368"/>
    <w:rsid w:val="008E093A"/>
    <w:rsid w:val="008E0CA7"/>
    <w:rsid w:val="008E1C25"/>
    <w:rsid w:val="008E240A"/>
    <w:rsid w:val="008E5109"/>
    <w:rsid w:val="008E6FA9"/>
    <w:rsid w:val="008E75B5"/>
    <w:rsid w:val="008E7EB0"/>
    <w:rsid w:val="008F135E"/>
    <w:rsid w:val="008F15D7"/>
    <w:rsid w:val="008F48B6"/>
    <w:rsid w:val="008F71A3"/>
    <w:rsid w:val="008F7A1D"/>
    <w:rsid w:val="0090097B"/>
    <w:rsid w:val="00901241"/>
    <w:rsid w:val="009013AC"/>
    <w:rsid w:val="00901651"/>
    <w:rsid w:val="00901A45"/>
    <w:rsid w:val="00901FCD"/>
    <w:rsid w:val="00904306"/>
    <w:rsid w:val="009049C6"/>
    <w:rsid w:val="00906003"/>
    <w:rsid w:val="009066D3"/>
    <w:rsid w:val="00906B22"/>
    <w:rsid w:val="00906D31"/>
    <w:rsid w:val="009076B6"/>
    <w:rsid w:val="0091038D"/>
    <w:rsid w:val="00910B3C"/>
    <w:rsid w:val="009124FA"/>
    <w:rsid w:val="00914358"/>
    <w:rsid w:val="0091498D"/>
    <w:rsid w:val="00914FDC"/>
    <w:rsid w:val="00915845"/>
    <w:rsid w:val="009165D2"/>
    <w:rsid w:val="009203CB"/>
    <w:rsid w:val="00920A5F"/>
    <w:rsid w:val="00921EDE"/>
    <w:rsid w:val="00922090"/>
    <w:rsid w:val="00923B61"/>
    <w:rsid w:val="00923CB9"/>
    <w:rsid w:val="009245BF"/>
    <w:rsid w:val="00925A65"/>
    <w:rsid w:val="00927F6A"/>
    <w:rsid w:val="00930094"/>
    <w:rsid w:val="009303A4"/>
    <w:rsid w:val="00930938"/>
    <w:rsid w:val="0093225A"/>
    <w:rsid w:val="00932A00"/>
    <w:rsid w:val="00932BB8"/>
    <w:rsid w:val="00933252"/>
    <w:rsid w:val="0093397D"/>
    <w:rsid w:val="0093421A"/>
    <w:rsid w:val="00934A45"/>
    <w:rsid w:val="0093544E"/>
    <w:rsid w:val="0093558F"/>
    <w:rsid w:val="009370D2"/>
    <w:rsid w:val="00937B8E"/>
    <w:rsid w:val="0094063B"/>
    <w:rsid w:val="0094080F"/>
    <w:rsid w:val="00941203"/>
    <w:rsid w:val="00942D1D"/>
    <w:rsid w:val="00943DC0"/>
    <w:rsid w:val="00944141"/>
    <w:rsid w:val="009445AC"/>
    <w:rsid w:val="00944CF3"/>
    <w:rsid w:val="0094605F"/>
    <w:rsid w:val="00946153"/>
    <w:rsid w:val="00947017"/>
    <w:rsid w:val="0095030C"/>
    <w:rsid w:val="0095148E"/>
    <w:rsid w:val="00951674"/>
    <w:rsid w:val="00951873"/>
    <w:rsid w:val="00951C61"/>
    <w:rsid w:val="009520D7"/>
    <w:rsid w:val="00952906"/>
    <w:rsid w:val="009569C9"/>
    <w:rsid w:val="00956D79"/>
    <w:rsid w:val="009614F3"/>
    <w:rsid w:val="00961EF2"/>
    <w:rsid w:val="0096416C"/>
    <w:rsid w:val="009647C8"/>
    <w:rsid w:val="00964862"/>
    <w:rsid w:val="0096577E"/>
    <w:rsid w:val="00966BED"/>
    <w:rsid w:val="009675BE"/>
    <w:rsid w:val="00970D85"/>
    <w:rsid w:val="009727F3"/>
    <w:rsid w:val="009731D1"/>
    <w:rsid w:val="0097451E"/>
    <w:rsid w:val="009753C5"/>
    <w:rsid w:val="00975A4D"/>
    <w:rsid w:val="0097642C"/>
    <w:rsid w:val="009803C9"/>
    <w:rsid w:val="00980DBE"/>
    <w:rsid w:val="00981E35"/>
    <w:rsid w:val="00983D40"/>
    <w:rsid w:val="00984006"/>
    <w:rsid w:val="009841EC"/>
    <w:rsid w:val="009842AD"/>
    <w:rsid w:val="00984D72"/>
    <w:rsid w:val="00986946"/>
    <w:rsid w:val="009873AE"/>
    <w:rsid w:val="009905A9"/>
    <w:rsid w:val="0099190E"/>
    <w:rsid w:val="00992987"/>
    <w:rsid w:val="00993119"/>
    <w:rsid w:val="00995BB2"/>
    <w:rsid w:val="009963FB"/>
    <w:rsid w:val="009966E0"/>
    <w:rsid w:val="00996714"/>
    <w:rsid w:val="00996B2F"/>
    <w:rsid w:val="009972A4"/>
    <w:rsid w:val="0099751C"/>
    <w:rsid w:val="009A0E20"/>
    <w:rsid w:val="009A11E4"/>
    <w:rsid w:val="009A1B6C"/>
    <w:rsid w:val="009A3573"/>
    <w:rsid w:val="009A4B57"/>
    <w:rsid w:val="009A59DA"/>
    <w:rsid w:val="009A5B16"/>
    <w:rsid w:val="009A74F3"/>
    <w:rsid w:val="009B03DB"/>
    <w:rsid w:val="009B061F"/>
    <w:rsid w:val="009B1482"/>
    <w:rsid w:val="009B15B0"/>
    <w:rsid w:val="009B2078"/>
    <w:rsid w:val="009B2B84"/>
    <w:rsid w:val="009B463B"/>
    <w:rsid w:val="009B473A"/>
    <w:rsid w:val="009B53B6"/>
    <w:rsid w:val="009B5BA3"/>
    <w:rsid w:val="009B5F12"/>
    <w:rsid w:val="009B695F"/>
    <w:rsid w:val="009C11F6"/>
    <w:rsid w:val="009C400D"/>
    <w:rsid w:val="009C4016"/>
    <w:rsid w:val="009C644A"/>
    <w:rsid w:val="009C6B5C"/>
    <w:rsid w:val="009C7AF0"/>
    <w:rsid w:val="009D1636"/>
    <w:rsid w:val="009D1968"/>
    <w:rsid w:val="009D1A5F"/>
    <w:rsid w:val="009D1CFF"/>
    <w:rsid w:val="009D24D3"/>
    <w:rsid w:val="009D25D4"/>
    <w:rsid w:val="009D2894"/>
    <w:rsid w:val="009D2B09"/>
    <w:rsid w:val="009D44EA"/>
    <w:rsid w:val="009D5C43"/>
    <w:rsid w:val="009D6D87"/>
    <w:rsid w:val="009D76BE"/>
    <w:rsid w:val="009E03A4"/>
    <w:rsid w:val="009E05DE"/>
    <w:rsid w:val="009E1199"/>
    <w:rsid w:val="009E12DB"/>
    <w:rsid w:val="009E2EE6"/>
    <w:rsid w:val="009E7E12"/>
    <w:rsid w:val="009F3F28"/>
    <w:rsid w:val="009F4245"/>
    <w:rsid w:val="009F507F"/>
    <w:rsid w:val="009F542A"/>
    <w:rsid w:val="009F5605"/>
    <w:rsid w:val="009F691E"/>
    <w:rsid w:val="009F701D"/>
    <w:rsid w:val="009F70CA"/>
    <w:rsid w:val="009F7894"/>
    <w:rsid w:val="00A00940"/>
    <w:rsid w:val="00A012B0"/>
    <w:rsid w:val="00A020A0"/>
    <w:rsid w:val="00A05013"/>
    <w:rsid w:val="00A0612B"/>
    <w:rsid w:val="00A065C5"/>
    <w:rsid w:val="00A07114"/>
    <w:rsid w:val="00A10253"/>
    <w:rsid w:val="00A11499"/>
    <w:rsid w:val="00A12BEC"/>
    <w:rsid w:val="00A12DDF"/>
    <w:rsid w:val="00A12EF5"/>
    <w:rsid w:val="00A132E5"/>
    <w:rsid w:val="00A1458E"/>
    <w:rsid w:val="00A14E18"/>
    <w:rsid w:val="00A15D38"/>
    <w:rsid w:val="00A16974"/>
    <w:rsid w:val="00A206E1"/>
    <w:rsid w:val="00A2091F"/>
    <w:rsid w:val="00A21A38"/>
    <w:rsid w:val="00A23220"/>
    <w:rsid w:val="00A2404D"/>
    <w:rsid w:val="00A24715"/>
    <w:rsid w:val="00A27035"/>
    <w:rsid w:val="00A27D6E"/>
    <w:rsid w:val="00A27F19"/>
    <w:rsid w:val="00A30351"/>
    <w:rsid w:val="00A313CB"/>
    <w:rsid w:val="00A314FB"/>
    <w:rsid w:val="00A3188F"/>
    <w:rsid w:val="00A32923"/>
    <w:rsid w:val="00A32C8F"/>
    <w:rsid w:val="00A32EE1"/>
    <w:rsid w:val="00A33FE0"/>
    <w:rsid w:val="00A3515F"/>
    <w:rsid w:val="00A36D53"/>
    <w:rsid w:val="00A400B3"/>
    <w:rsid w:val="00A40A8C"/>
    <w:rsid w:val="00A41214"/>
    <w:rsid w:val="00A415BD"/>
    <w:rsid w:val="00A41E0C"/>
    <w:rsid w:val="00A4342D"/>
    <w:rsid w:val="00A43947"/>
    <w:rsid w:val="00A43E9D"/>
    <w:rsid w:val="00A4445E"/>
    <w:rsid w:val="00A4472F"/>
    <w:rsid w:val="00A44AE5"/>
    <w:rsid w:val="00A45599"/>
    <w:rsid w:val="00A457C0"/>
    <w:rsid w:val="00A46500"/>
    <w:rsid w:val="00A47921"/>
    <w:rsid w:val="00A51120"/>
    <w:rsid w:val="00A5275C"/>
    <w:rsid w:val="00A5331A"/>
    <w:rsid w:val="00A544B1"/>
    <w:rsid w:val="00A549B8"/>
    <w:rsid w:val="00A54C45"/>
    <w:rsid w:val="00A54CC7"/>
    <w:rsid w:val="00A550DE"/>
    <w:rsid w:val="00A556A0"/>
    <w:rsid w:val="00A55A45"/>
    <w:rsid w:val="00A56B18"/>
    <w:rsid w:val="00A56F5E"/>
    <w:rsid w:val="00A60F3F"/>
    <w:rsid w:val="00A6212F"/>
    <w:rsid w:val="00A62706"/>
    <w:rsid w:val="00A627D4"/>
    <w:rsid w:val="00A65367"/>
    <w:rsid w:val="00A66A2E"/>
    <w:rsid w:val="00A67ED1"/>
    <w:rsid w:val="00A70B94"/>
    <w:rsid w:val="00A70F93"/>
    <w:rsid w:val="00A715F9"/>
    <w:rsid w:val="00A72AC7"/>
    <w:rsid w:val="00A73538"/>
    <w:rsid w:val="00A73AFA"/>
    <w:rsid w:val="00A73C75"/>
    <w:rsid w:val="00A76934"/>
    <w:rsid w:val="00A76DF8"/>
    <w:rsid w:val="00A8173B"/>
    <w:rsid w:val="00A82EF1"/>
    <w:rsid w:val="00A84C51"/>
    <w:rsid w:val="00A8662F"/>
    <w:rsid w:val="00A91C3C"/>
    <w:rsid w:val="00A92924"/>
    <w:rsid w:val="00A92D10"/>
    <w:rsid w:val="00A9301D"/>
    <w:rsid w:val="00A93E9C"/>
    <w:rsid w:val="00A945A5"/>
    <w:rsid w:val="00A96D62"/>
    <w:rsid w:val="00A96FFC"/>
    <w:rsid w:val="00AA0312"/>
    <w:rsid w:val="00AA0983"/>
    <w:rsid w:val="00AA0FD5"/>
    <w:rsid w:val="00AA10C3"/>
    <w:rsid w:val="00AA140F"/>
    <w:rsid w:val="00AA17E3"/>
    <w:rsid w:val="00AA3AE4"/>
    <w:rsid w:val="00AA3EBF"/>
    <w:rsid w:val="00AA3FBD"/>
    <w:rsid w:val="00AA453F"/>
    <w:rsid w:val="00AA4DAE"/>
    <w:rsid w:val="00AA610A"/>
    <w:rsid w:val="00AA6612"/>
    <w:rsid w:val="00AA6C7A"/>
    <w:rsid w:val="00AB4A21"/>
    <w:rsid w:val="00AB51A0"/>
    <w:rsid w:val="00AB5890"/>
    <w:rsid w:val="00AB5BA9"/>
    <w:rsid w:val="00AB5BEA"/>
    <w:rsid w:val="00AB60B5"/>
    <w:rsid w:val="00AB742A"/>
    <w:rsid w:val="00AB7C26"/>
    <w:rsid w:val="00AC0221"/>
    <w:rsid w:val="00AC04E4"/>
    <w:rsid w:val="00AC1C55"/>
    <w:rsid w:val="00AC1CD1"/>
    <w:rsid w:val="00AC288A"/>
    <w:rsid w:val="00AC2C13"/>
    <w:rsid w:val="00AC35D0"/>
    <w:rsid w:val="00AC3C36"/>
    <w:rsid w:val="00AC3C7B"/>
    <w:rsid w:val="00AC48FE"/>
    <w:rsid w:val="00AC5015"/>
    <w:rsid w:val="00AC5EC1"/>
    <w:rsid w:val="00AC6299"/>
    <w:rsid w:val="00AC6566"/>
    <w:rsid w:val="00AC68C6"/>
    <w:rsid w:val="00AD0857"/>
    <w:rsid w:val="00AD0B48"/>
    <w:rsid w:val="00AD114D"/>
    <w:rsid w:val="00AD1E95"/>
    <w:rsid w:val="00AD1F76"/>
    <w:rsid w:val="00AD3DE1"/>
    <w:rsid w:val="00AD3F00"/>
    <w:rsid w:val="00AD5544"/>
    <w:rsid w:val="00AD7EE3"/>
    <w:rsid w:val="00AE02ED"/>
    <w:rsid w:val="00AE165C"/>
    <w:rsid w:val="00AE27B6"/>
    <w:rsid w:val="00AE280D"/>
    <w:rsid w:val="00AE29EC"/>
    <w:rsid w:val="00AE3860"/>
    <w:rsid w:val="00AE3A04"/>
    <w:rsid w:val="00AE53DB"/>
    <w:rsid w:val="00AE5685"/>
    <w:rsid w:val="00AE5A13"/>
    <w:rsid w:val="00AE5A49"/>
    <w:rsid w:val="00AE66CF"/>
    <w:rsid w:val="00AE6A41"/>
    <w:rsid w:val="00AF0FD1"/>
    <w:rsid w:val="00AF1634"/>
    <w:rsid w:val="00AF1F65"/>
    <w:rsid w:val="00AF2042"/>
    <w:rsid w:val="00AF2510"/>
    <w:rsid w:val="00AF272C"/>
    <w:rsid w:val="00AF291A"/>
    <w:rsid w:val="00AF2D9E"/>
    <w:rsid w:val="00AF37AA"/>
    <w:rsid w:val="00AF390C"/>
    <w:rsid w:val="00AF3A9E"/>
    <w:rsid w:val="00AF4433"/>
    <w:rsid w:val="00AF54CA"/>
    <w:rsid w:val="00AF59D7"/>
    <w:rsid w:val="00AF6728"/>
    <w:rsid w:val="00B00E4A"/>
    <w:rsid w:val="00B02E52"/>
    <w:rsid w:val="00B02F2A"/>
    <w:rsid w:val="00B04B63"/>
    <w:rsid w:val="00B04C2A"/>
    <w:rsid w:val="00B05815"/>
    <w:rsid w:val="00B05B32"/>
    <w:rsid w:val="00B076E7"/>
    <w:rsid w:val="00B07956"/>
    <w:rsid w:val="00B10367"/>
    <w:rsid w:val="00B10947"/>
    <w:rsid w:val="00B11A3D"/>
    <w:rsid w:val="00B13A84"/>
    <w:rsid w:val="00B167A4"/>
    <w:rsid w:val="00B170C5"/>
    <w:rsid w:val="00B17CFE"/>
    <w:rsid w:val="00B17FEE"/>
    <w:rsid w:val="00B21D51"/>
    <w:rsid w:val="00B22D7B"/>
    <w:rsid w:val="00B23397"/>
    <w:rsid w:val="00B23C31"/>
    <w:rsid w:val="00B23D70"/>
    <w:rsid w:val="00B2412E"/>
    <w:rsid w:val="00B248E5"/>
    <w:rsid w:val="00B24BD7"/>
    <w:rsid w:val="00B2587E"/>
    <w:rsid w:val="00B260FD"/>
    <w:rsid w:val="00B263C7"/>
    <w:rsid w:val="00B26D87"/>
    <w:rsid w:val="00B27196"/>
    <w:rsid w:val="00B27D44"/>
    <w:rsid w:val="00B3159F"/>
    <w:rsid w:val="00B31615"/>
    <w:rsid w:val="00B327F4"/>
    <w:rsid w:val="00B3480E"/>
    <w:rsid w:val="00B34C74"/>
    <w:rsid w:val="00B35B2A"/>
    <w:rsid w:val="00B36596"/>
    <w:rsid w:val="00B36DC7"/>
    <w:rsid w:val="00B36F7E"/>
    <w:rsid w:val="00B37389"/>
    <w:rsid w:val="00B37837"/>
    <w:rsid w:val="00B426FD"/>
    <w:rsid w:val="00B42DB7"/>
    <w:rsid w:val="00B43C90"/>
    <w:rsid w:val="00B443E2"/>
    <w:rsid w:val="00B45C85"/>
    <w:rsid w:val="00B47088"/>
    <w:rsid w:val="00B504B6"/>
    <w:rsid w:val="00B5287D"/>
    <w:rsid w:val="00B52A03"/>
    <w:rsid w:val="00B5656D"/>
    <w:rsid w:val="00B56962"/>
    <w:rsid w:val="00B569EC"/>
    <w:rsid w:val="00B5709A"/>
    <w:rsid w:val="00B6162C"/>
    <w:rsid w:val="00B61B87"/>
    <w:rsid w:val="00B62BB3"/>
    <w:rsid w:val="00B62FE1"/>
    <w:rsid w:val="00B6404C"/>
    <w:rsid w:val="00B64262"/>
    <w:rsid w:val="00B64F79"/>
    <w:rsid w:val="00B659F7"/>
    <w:rsid w:val="00B65A0A"/>
    <w:rsid w:val="00B65DDD"/>
    <w:rsid w:val="00B66CE6"/>
    <w:rsid w:val="00B67CFF"/>
    <w:rsid w:val="00B701B0"/>
    <w:rsid w:val="00B70765"/>
    <w:rsid w:val="00B71515"/>
    <w:rsid w:val="00B717FD"/>
    <w:rsid w:val="00B72D51"/>
    <w:rsid w:val="00B75800"/>
    <w:rsid w:val="00B7583F"/>
    <w:rsid w:val="00B7703E"/>
    <w:rsid w:val="00B824F9"/>
    <w:rsid w:val="00B82AE5"/>
    <w:rsid w:val="00B8329E"/>
    <w:rsid w:val="00B86DA6"/>
    <w:rsid w:val="00B871BE"/>
    <w:rsid w:val="00B9080E"/>
    <w:rsid w:val="00B90AFC"/>
    <w:rsid w:val="00B90B37"/>
    <w:rsid w:val="00B90BC3"/>
    <w:rsid w:val="00B9253E"/>
    <w:rsid w:val="00B92E2B"/>
    <w:rsid w:val="00B93516"/>
    <w:rsid w:val="00B93793"/>
    <w:rsid w:val="00B93EB3"/>
    <w:rsid w:val="00B94CDF"/>
    <w:rsid w:val="00B94E1F"/>
    <w:rsid w:val="00B950C7"/>
    <w:rsid w:val="00B956AB"/>
    <w:rsid w:val="00BA4371"/>
    <w:rsid w:val="00BA4528"/>
    <w:rsid w:val="00BA5A15"/>
    <w:rsid w:val="00BA621D"/>
    <w:rsid w:val="00BA6382"/>
    <w:rsid w:val="00BA6C81"/>
    <w:rsid w:val="00BA7F8E"/>
    <w:rsid w:val="00BB156E"/>
    <w:rsid w:val="00BB17E8"/>
    <w:rsid w:val="00BB23F3"/>
    <w:rsid w:val="00BB2A4D"/>
    <w:rsid w:val="00BB2DAA"/>
    <w:rsid w:val="00BB34A6"/>
    <w:rsid w:val="00BB3F3B"/>
    <w:rsid w:val="00BB42B4"/>
    <w:rsid w:val="00BB4733"/>
    <w:rsid w:val="00BB4785"/>
    <w:rsid w:val="00BB4F6D"/>
    <w:rsid w:val="00BB50EB"/>
    <w:rsid w:val="00BB7461"/>
    <w:rsid w:val="00BC236E"/>
    <w:rsid w:val="00BC4C9E"/>
    <w:rsid w:val="00BC56C9"/>
    <w:rsid w:val="00BC62C4"/>
    <w:rsid w:val="00BC6BA4"/>
    <w:rsid w:val="00BC71B4"/>
    <w:rsid w:val="00BD1B5A"/>
    <w:rsid w:val="00BD304B"/>
    <w:rsid w:val="00BD38EF"/>
    <w:rsid w:val="00BD3F69"/>
    <w:rsid w:val="00BD435C"/>
    <w:rsid w:val="00BD586A"/>
    <w:rsid w:val="00BD7552"/>
    <w:rsid w:val="00BE22B2"/>
    <w:rsid w:val="00BE269A"/>
    <w:rsid w:val="00BE335E"/>
    <w:rsid w:val="00BE35DE"/>
    <w:rsid w:val="00BE53FD"/>
    <w:rsid w:val="00BE5C71"/>
    <w:rsid w:val="00BE6C93"/>
    <w:rsid w:val="00BF08BE"/>
    <w:rsid w:val="00BF19DF"/>
    <w:rsid w:val="00BF2477"/>
    <w:rsid w:val="00BF2EFB"/>
    <w:rsid w:val="00BF4529"/>
    <w:rsid w:val="00BF5C75"/>
    <w:rsid w:val="00BF62A2"/>
    <w:rsid w:val="00BF7531"/>
    <w:rsid w:val="00C01730"/>
    <w:rsid w:val="00C025B0"/>
    <w:rsid w:val="00C031C4"/>
    <w:rsid w:val="00C04466"/>
    <w:rsid w:val="00C05EF1"/>
    <w:rsid w:val="00C07A40"/>
    <w:rsid w:val="00C07BCF"/>
    <w:rsid w:val="00C10427"/>
    <w:rsid w:val="00C11D18"/>
    <w:rsid w:val="00C12268"/>
    <w:rsid w:val="00C136AB"/>
    <w:rsid w:val="00C1384D"/>
    <w:rsid w:val="00C13F73"/>
    <w:rsid w:val="00C14655"/>
    <w:rsid w:val="00C1494C"/>
    <w:rsid w:val="00C15718"/>
    <w:rsid w:val="00C200AA"/>
    <w:rsid w:val="00C21BE9"/>
    <w:rsid w:val="00C22056"/>
    <w:rsid w:val="00C237F6"/>
    <w:rsid w:val="00C242A3"/>
    <w:rsid w:val="00C255E4"/>
    <w:rsid w:val="00C26517"/>
    <w:rsid w:val="00C2719C"/>
    <w:rsid w:val="00C307B4"/>
    <w:rsid w:val="00C30E94"/>
    <w:rsid w:val="00C325AF"/>
    <w:rsid w:val="00C33762"/>
    <w:rsid w:val="00C34D6A"/>
    <w:rsid w:val="00C35F88"/>
    <w:rsid w:val="00C37ED3"/>
    <w:rsid w:val="00C40D0E"/>
    <w:rsid w:val="00C42D67"/>
    <w:rsid w:val="00C43D30"/>
    <w:rsid w:val="00C44245"/>
    <w:rsid w:val="00C444BE"/>
    <w:rsid w:val="00C4450D"/>
    <w:rsid w:val="00C45270"/>
    <w:rsid w:val="00C45C25"/>
    <w:rsid w:val="00C45C61"/>
    <w:rsid w:val="00C45D9F"/>
    <w:rsid w:val="00C52C9F"/>
    <w:rsid w:val="00C55696"/>
    <w:rsid w:val="00C617C1"/>
    <w:rsid w:val="00C62B06"/>
    <w:rsid w:val="00C62C88"/>
    <w:rsid w:val="00C62F2A"/>
    <w:rsid w:val="00C633A8"/>
    <w:rsid w:val="00C634DF"/>
    <w:rsid w:val="00C63833"/>
    <w:rsid w:val="00C6449B"/>
    <w:rsid w:val="00C64833"/>
    <w:rsid w:val="00C64CCE"/>
    <w:rsid w:val="00C64E9C"/>
    <w:rsid w:val="00C66200"/>
    <w:rsid w:val="00C6629B"/>
    <w:rsid w:val="00C6653F"/>
    <w:rsid w:val="00C66EA9"/>
    <w:rsid w:val="00C675F6"/>
    <w:rsid w:val="00C7084B"/>
    <w:rsid w:val="00C708F9"/>
    <w:rsid w:val="00C71D10"/>
    <w:rsid w:val="00C7242C"/>
    <w:rsid w:val="00C725BE"/>
    <w:rsid w:val="00C72752"/>
    <w:rsid w:val="00C72DEF"/>
    <w:rsid w:val="00C73775"/>
    <w:rsid w:val="00C73F98"/>
    <w:rsid w:val="00C744DC"/>
    <w:rsid w:val="00C747FA"/>
    <w:rsid w:val="00C74F7E"/>
    <w:rsid w:val="00C77880"/>
    <w:rsid w:val="00C80202"/>
    <w:rsid w:val="00C80AFA"/>
    <w:rsid w:val="00C80F3B"/>
    <w:rsid w:val="00C818E7"/>
    <w:rsid w:val="00C8280D"/>
    <w:rsid w:val="00C83062"/>
    <w:rsid w:val="00C838FE"/>
    <w:rsid w:val="00C85484"/>
    <w:rsid w:val="00C8694F"/>
    <w:rsid w:val="00C90DCE"/>
    <w:rsid w:val="00C9152C"/>
    <w:rsid w:val="00C91E1B"/>
    <w:rsid w:val="00C91FAF"/>
    <w:rsid w:val="00C9213B"/>
    <w:rsid w:val="00C92385"/>
    <w:rsid w:val="00C92B37"/>
    <w:rsid w:val="00C935E3"/>
    <w:rsid w:val="00C952E2"/>
    <w:rsid w:val="00C96158"/>
    <w:rsid w:val="00C9691C"/>
    <w:rsid w:val="00C97019"/>
    <w:rsid w:val="00C971CE"/>
    <w:rsid w:val="00C97804"/>
    <w:rsid w:val="00C97C8A"/>
    <w:rsid w:val="00C97F7A"/>
    <w:rsid w:val="00CA0A30"/>
    <w:rsid w:val="00CA0FF0"/>
    <w:rsid w:val="00CA35F1"/>
    <w:rsid w:val="00CA4998"/>
    <w:rsid w:val="00CA712B"/>
    <w:rsid w:val="00CA793A"/>
    <w:rsid w:val="00CB1878"/>
    <w:rsid w:val="00CB1A14"/>
    <w:rsid w:val="00CB1CF0"/>
    <w:rsid w:val="00CB1D7A"/>
    <w:rsid w:val="00CB2493"/>
    <w:rsid w:val="00CB3185"/>
    <w:rsid w:val="00CB39C9"/>
    <w:rsid w:val="00CB4712"/>
    <w:rsid w:val="00CB4AF1"/>
    <w:rsid w:val="00CB5857"/>
    <w:rsid w:val="00CC0B6F"/>
    <w:rsid w:val="00CC10D1"/>
    <w:rsid w:val="00CC2003"/>
    <w:rsid w:val="00CC243C"/>
    <w:rsid w:val="00CC376D"/>
    <w:rsid w:val="00CC423B"/>
    <w:rsid w:val="00CC6CB2"/>
    <w:rsid w:val="00CD0B0D"/>
    <w:rsid w:val="00CD32A2"/>
    <w:rsid w:val="00CD388F"/>
    <w:rsid w:val="00CD4BE1"/>
    <w:rsid w:val="00CD4CBC"/>
    <w:rsid w:val="00CD4E15"/>
    <w:rsid w:val="00CD5821"/>
    <w:rsid w:val="00CD5FFA"/>
    <w:rsid w:val="00CE0A1A"/>
    <w:rsid w:val="00CE0A2D"/>
    <w:rsid w:val="00CE1097"/>
    <w:rsid w:val="00CE16A1"/>
    <w:rsid w:val="00CE17C0"/>
    <w:rsid w:val="00CE18E0"/>
    <w:rsid w:val="00CE1FDD"/>
    <w:rsid w:val="00CE27A5"/>
    <w:rsid w:val="00CE2B2B"/>
    <w:rsid w:val="00CE37B0"/>
    <w:rsid w:val="00CE37B7"/>
    <w:rsid w:val="00CE3917"/>
    <w:rsid w:val="00CE3A0F"/>
    <w:rsid w:val="00CE515B"/>
    <w:rsid w:val="00CE5708"/>
    <w:rsid w:val="00CE5F58"/>
    <w:rsid w:val="00CE6D6C"/>
    <w:rsid w:val="00CF0309"/>
    <w:rsid w:val="00CF0934"/>
    <w:rsid w:val="00CF124A"/>
    <w:rsid w:val="00CF16AB"/>
    <w:rsid w:val="00CF1A1E"/>
    <w:rsid w:val="00CF447F"/>
    <w:rsid w:val="00CF4F7A"/>
    <w:rsid w:val="00CF53B3"/>
    <w:rsid w:val="00CF64F7"/>
    <w:rsid w:val="00CF7721"/>
    <w:rsid w:val="00D00FE4"/>
    <w:rsid w:val="00D04821"/>
    <w:rsid w:val="00D057F0"/>
    <w:rsid w:val="00D05969"/>
    <w:rsid w:val="00D05E75"/>
    <w:rsid w:val="00D10038"/>
    <w:rsid w:val="00D10595"/>
    <w:rsid w:val="00D11AA6"/>
    <w:rsid w:val="00D11B66"/>
    <w:rsid w:val="00D120E7"/>
    <w:rsid w:val="00D13BE8"/>
    <w:rsid w:val="00D14306"/>
    <w:rsid w:val="00D14FD3"/>
    <w:rsid w:val="00D16A65"/>
    <w:rsid w:val="00D2074A"/>
    <w:rsid w:val="00D22682"/>
    <w:rsid w:val="00D24751"/>
    <w:rsid w:val="00D25117"/>
    <w:rsid w:val="00D255A1"/>
    <w:rsid w:val="00D2633A"/>
    <w:rsid w:val="00D265AF"/>
    <w:rsid w:val="00D3037F"/>
    <w:rsid w:val="00D30DAB"/>
    <w:rsid w:val="00D31CA2"/>
    <w:rsid w:val="00D341CA"/>
    <w:rsid w:val="00D347D4"/>
    <w:rsid w:val="00D34A62"/>
    <w:rsid w:val="00D3594C"/>
    <w:rsid w:val="00D35BF5"/>
    <w:rsid w:val="00D37023"/>
    <w:rsid w:val="00D406B1"/>
    <w:rsid w:val="00D42596"/>
    <w:rsid w:val="00D43AA8"/>
    <w:rsid w:val="00D43F41"/>
    <w:rsid w:val="00D43FB3"/>
    <w:rsid w:val="00D4414F"/>
    <w:rsid w:val="00D45223"/>
    <w:rsid w:val="00D45A44"/>
    <w:rsid w:val="00D47579"/>
    <w:rsid w:val="00D50121"/>
    <w:rsid w:val="00D5254F"/>
    <w:rsid w:val="00D53018"/>
    <w:rsid w:val="00D5358E"/>
    <w:rsid w:val="00D54725"/>
    <w:rsid w:val="00D54D9E"/>
    <w:rsid w:val="00D553D1"/>
    <w:rsid w:val="00D56112"/>
    <w:rsid w:val="00D56F15"/>
    <w:rsid w:val="00D5700A"/>
    <w:rsid w:val="00D61169"/>
    <w:rsid w:val="00D612E1"/>
    <w:rsid w:val="00D62821"/>
    <w:rsid w:val="00D62D88"/>
    <w:rsid w:val="00D63A03"/>
    <w:rsid w:val="00D6468B"/>
    <w:rsid w:val="00D64831"/>
    <w:rsid w:val="00D64E79"/>
    <w:rsid w:val="00D6519E"/>
    <w:rsid w:val="00D658F4"/>
    <w:rsid w:val="00D673D2"/>
    <w:rsid w:val="00D67FF4"/>
    <w:rsid w:val="00D7028B"/>
    <w:rsid w:val="00D705F4"/>
    <w:rsid w:val="00D71A43"/>
    <w:rsid w:val="00D71FD6"/>
    <w:rsid w:val="00D72CD0"/>
    <w:rsid w:val="00D73C3A"/>
    <w:rsid w:val="00D74EC5"/>
    <w:rsid w:val="00D80606"/>
    <w:rsid w:val="00D80D9A"/>
    <w:rsid w:val="00D80E7D"/>
    <w:rsid w:val="00D8286E"/>
    <w:rsid w:val="00D830A2"/>
    <w:rsid w:val="00D831B3"/>
    <w:rsid w:val="00D86226"/>
    <w:rsid w:val="00D8644D"/>
    <w:rsid w:val="00D867F4"/>
    <w:rsid w:val="00D86B4B"/>
    <w:rsid w:val="00D86CE4"/>
    <w:rsid w:val="00D87889"/>
    <w:rsid w:val="00D90737"/>
    <w:rsid w:val="00D90897"/>
    <w:rsid w:val="00D92AAE"/>
    <w:rsid w:val="00D92F4F"/>
    <w:rsid w:val="00D936DC"/>
    <w:rsid w:val="00D9450D"/>
    <w:rsid w:val="00D949BE"/>
    <w:rsid w:val="00D95455"/>
    <w:rsid w:val="00D956E1"/>
    <w:rsid w:val="00D96361"/>
    <w:rsid w:val="00D97FFD"/>
    <w:rsid w:val="00DA03A8"/>
    <w:rsid w:val="00DA0C9E"/>
    <w:rsid w:val="00DA260F"/>
    <w:rsid w:val="00DA2DDC"/>
    <w:rsid w:val="00DA3729"/>
    <w:rsid w:val="00DA3962"/>
    <w:rsid w:val="00DA3CE0"/>
    <w:rsid w:val="00DA46AB"/>
    <w:rsid w:val="00DA4B8C"/>
    <w:rsid w:val="00DA4E59"/>
    <w:rsid w:val="00DA534D"/>
    <w:rsid w:val="00DA64E6"/>
    <w:rsid w:val="00DA667C"/>
    <w:rsid w:val="00DA674B"/>
    <w:rsid w:val="00DA7A18"/>
    <w:rsid w:val="00DA7CB1"/>
    <w:rsid w:val="00DB096E"/>
    <w:rsid w:val="00DB0B2F"/>
    <w:rsid w:val="00DB1BC1"/>
    <w:rsid w:val="00DB3E17"/>
    <w:rsid w:val="00DB4025"/>
    <w:rsid w:val="00DB5FC8"/>
    <w:rsid w:val="00DB6682"/>
    <w:rsid w:val="00DC0FE0"/>
    <w:rsid w:val="00DC1A27"/>
    <w:rsid w:val="00DC1D9E"/>
    <w:rsid w:val="00DC3888"/>
    <w:rsid w:val="00DC3A1D"/>
    <w:rsid w:val="00DC5425"/>
    <w:rsid w:val="00DC5644"/>
    <w:rsid w:val="00DC652F"/>
    <w:rsid w:val="00DC65B5"/>
    <w:rsid w:val="00DC7B88"/>
    <w:rsid w:val="00DD066D"/>
    <w:rsid w:val="00DD07B9"/>
    <w:rsid w:val="00DD13FE"/>
    <w:rsid w:val="00DD1FA1"/>
    <w:rsid w:val="00DD2424"/>
    <w:rsid w:val="00DD3104"/>
    <w:rsid w:val="00DD598D"/>
    <w:rsid w:val="00DD603B"/>
    <w:rsid w:val="00DD6751"/>
    <w:rsid w:val="00DD6AA0"/>
    <w:rsid w:val="00DD7887"/>
    <w:rsid w:val="00DE1A62"/>
    <w:rsid w:val="00DE4274"/>
    <w:rsid w:val="00DE47CC"/>
    <w:rsid w:val="00DE53DD"/>
    <w:rsid w:val="00DE5D6A"/>
    <w:rsid w:val="00DE690A"/>
    <w:rsid w:val="00DE7753"/>
    <w:rsid w:val="00DE7EAF"/>
    <w:rsid w:val="00DF1E06"/>
    <w:rsid w:val="00DF218F"/>
    <w:rsid w:val="00DF269A"/>
    <w:rsid w:val="00DF7081"/>
    <w:rsid w:val="00E0021F"/>
    <w:rsid w:val="00E0095A"/>
    <w:rsid w:val="00E020BB"/>
    <w:rsid w:val="00E021CF"/>
    <w:rsid w:val="00E02BF4"/>
    <w:rsid w:val="00E03BD6"/>
    <w:rsid w:val="00E03EDE"/>
    <w:rsid w:val="00E0414F"/>
    <w:rsid w:val="00E04FBD"/>
    <w:rsid w:val="00E05104"/>
    <w:rsid w:val="00E053A1"/>
    <w:rsid w:val="00E061D5"/>
    <w:rsid w:val="00E0689B"/>
    <w:rsid w:val="00E06D6D"/>
    <w:rsid w:val="00E06F05"/>
    <w:rsid w:val="00E07B44"/>
    <w:rsid w:val="00E07F2D"/>
    <w:rsid w:val="00E10DCC"/>
    <w:rsid w:val="00E12780"/>
    <w:rsid w:val="00E130A7"/>
    <w:rsid w:val="00E13412"/>
    <w:rsid w:val="00E17246"/>
    <w:rsid w:val="00E174AA"/>
    <w:rsid w:val="00E20797"/>
    <w:rsid w:val="00E23CE6"/>
    <w:rsid w:val="00E25F59"/>
    <w:rsid w:val="00E27675"/>
    <w:rsid w:val="00E27CAC"/>
    <w:rsid w:val="00E3087E"/>
    <w:rsid w:val="00E31B7E"/>
    <w:rsid w:val="00E32BBE"/>
    <w:rsid w:val="00E332C2"/>
    <w:rsid w:val="00E3616E"/>
    <w:rsid w:val="00E4072C"/>
    <w:rsid w:val="00E407C5"/>
    <w:rsid w:val="00E437BE"/>
    <w:rsid w:val="00E44DE2"/>
    <w:rsid w:val="00E456BE"/>
    <w:rsid w:val="00E457B1"/>
    <w:rsid w:val="00E457F3"/>
    <w:rsid w:val="00E46231"/>
    <w:rsid w:val="00E46930"/>
    <w:rsid w:val="00E47211"/>
    <w:rsid w:val="00E47826"/>
    <w:rsid w:val="00E47E8A"/>
    <w:rsid w:val="00E507C3"/>
    <w:rsid w:val="00E522FA"/>
    <w:rsid w:val="00E52ABE"/>
    <w:rsid w:val="00E56709"/>
    <w:rsid w:val="00E57308"/>
    <w:rsid w:val="00E623AC"/>
    <w:rsid w:val="00E63069"/>
    <w:rsid w:val="00E63371"/>
    <w:rsid w:val="00E63AEA"/>
    <w:rsid w:val="00E63F48"/>
    <w:rsid w:val="00E672AE"/>
    <w:rsid w:val="00E67C02"/>
    <w:rsid w:val="00E67ECC"/>
    <w:rsid w:val="00E704AC"/>
    <w:rsid w:val="00E70676"/>
    <w:rsid w:val="00E74AE7"/>
    <w:rsid w:val="00E76407"/>
    <w:rsid w:val="00E76527"/>
    <w:rsid w:val="00E76DF6"/>
    <w:rsid w:val="00E77750"/>
    <w:rsid w:val="00E81437"/>
    <w:rsid w:val="00E824F5"/>
    <w:rsid w:val="00E83427"/>
    <w:rsid w:val="00E85796"/>
    <w:rsid w:val="00E85A65"/>
    <w:rsid w:val="00E86347"/>
    <w:rsid w:val="00E9041C"/>
    <w:rsid w:val="00E91605"/>
    <w:rsid w:val="00E93A50"/>
    <w:rsid w:val="00E9766B"/>
    <w:rsid w:val="00EA090F"/>
    <w:rsid w:val="00EA170F"/>
    <w:rsid w:val="00EA1C9A"/>
    <w:rsid w:val="00EA4171"/>
    <w:rsid w:val="00EA4630"/>
    <w:rsid w:val="00EA47E6"/>
    <w:rsid w:val="00EA54F9"/>
    <w:rsid w:val="00EA60FA"/>
    <w:rsid w:val="00EA6C87"/>
    <w:rsid w:val="00EA72C7"/>
    <w:rsid w:val="00EA7A47"/>
    <w:rsid w:val="00EB0C84"/>
    <w:rsid w:val="00EB1E2E"/>
    <w:rsid w:val="00EB2460"/>
    <w:rsid w:val="00EB3661"/>
    <w:rsid w:val="00EB4F80"/>
    <w:rsid w:val="00EB772B"/>
    <w:rsid w:val="00EB7DEA"/>
    <w:rsid w:val="00EC121F"/>
    <w:rsid w:val="00EC127B"/>
    <w:rsid w:val="00EC4175"/>
    <w:rsid w:val="00EC4FD0"/>
    <w:rsid w:val="00EC5B3F"/>
    <w:rsid w:val="00EC5DB2"/>
    <w:rsid w:val="00EC7211"/>
    <w:rsid w:val="00ED056F"/>
    <w:rsid w:val="00ED0CB4"/>
    <w:rsid w:val="00ED0FB7"/>
    <w:rsid w:val="00ED0FF8"/>
    <w:rsid w:val="00ED2729"/>
    <w:rsid w:val="00ED3779"/>
    <w:rsid w:val="00ED6A7E"/>
    <w:rsid w:val="00EE002F"/>
    <w:rsid w:val="00EE105B"/>
    <w:rsid w:val="00EE1949"/>
    <w:rsid w:val="00EE19B2"/>
    <w:rsid w:val="00EE22FA"/>
    <w:rsid w:val="00EE2A8B"/>
    <w:rsid w:val="00EE36A6"/>
    <w:rsid w:val="00EE3EBC"/>
    <w:rsid w:val="00EE5C04"/>
    <w:rsid w:val="00EE5FC2"/>
    <w:rsid w:val="00EE61DC"/>
    <w:rsid w:val="00EE6AEF"/>
    <w:rsid w:val="00EF039D"/>
    <w:rsid w:val="00EF1AF2"/>
    <w:rsid w:val="00EF2F49"/>
    <w:rsid w:val="00EF4E45"/>
    <w:rsid w:val="00EF5138"/>
    <w:rsid w:val="00EF53CE"/>
    <w:rsid w:val="00EF560A"/>
    <w:rsid w:val="00EF5E79"/>
    <w:rsid w:val="00EF6407"/>
    <w:rsid w:val="00EF6E2C"/>
    <w:rsid w:val="00EF7925"/>
    <w:rsid w:val="00EF7E3C"/>
    <w:rsid w:val="00F0250E"/>
    <w:rsid w:val="00F02648"/>
    <w:rsid w:val="00F0443F"/>
    <w:rsid w:val="00F04C39"/>
    <w:rsid w:val="00F06657"/>
    <w:rsid w:val="00F06986"/>
    <w:rsid w:val="00F07E9C"/>
    <w:rsid w:val="00F10E38"/>
    <w:rsid w:val="00F10F7A"/>
    <w:rsid w:val="00F133A5"/>
    <w:rsid w:val="00F138CA"/>
    <w:rsid w:val="00F13CB4"/>
    <w:rsid w:val="00F141AE"/>
    <w:rsid w:val="00F14B6C"/>
    <w:rsid w:val="00F168DB"/>
    <w:rsid w:val="00F16D88"/>
    <w:rsid w:val="00F206C7"/>
    <w:rsid w:val="00F21719"/>
    <w:rsid w:val="00F23CD9"/>
    <w:rsid w:val="00F25323"/>
    <w:rsid w:val="00F2535F"/>
    <w:rsid w:val="00F26395"/>
    <w:rsid w:val="00F27FA6"/>
    <w:rsid w:val="00F30C9A"/>
    <w:rsid w:val="00F31A97"/>
    <w:rsid w:val="00F31ACA"/>
    <w:rsid w:val="00F321DA"/>
    <w:rsid w:val="00F3248C"/>
    <w:rsid w:val="00F32E5A"/>
    <w:rsid w:val="00F33026"/>
    <w:rsid w:val="00F34780"/>
    <w:rsid w:val="00F36090"/>
    <w:rsid w:val="00F36849"/>
    <w:rsid w:val="00F37E13"/>
    <w:rsid w:val="00F41103"/>
    <w:rsid w:val="00F41DFB"/>
    <w:rsid w:val="00F423B4"/>
    <w:rsid w:val="00F42777"/>
    <w:rsid w:val="00F43377"/>
    <w:rsid w:val="00F44206"/>
    <w:rsid w:val="00F46F1D"/>
    <w:rsid w:val="00F50A4F"/>
    <w:rsid w:val="00F51386"/>
    <w:rsid w:val="00F51517"/>
    <w:rsid w:val="00F52859"/>
    <w:rsid w:val="00F52DEC"/>
    <w:rsid w:val="00F53115"/>
    <w:rsid w:val="00F5412E"/>
    <w:rsid w:val="00F55290"/>
    <w:rsid w:val="00F557CB"/>
    <w:rsid w:val="00F56511"/>
    <w:rsid w:val="00F5740B"/>
    <w:rsid w:val="00F57B91"/>
    <w:rsid w:val="00F57D7A"/>
    <w:rsid w:val="00F6283D"/>
    <w:rsid w:val="00F632C1"/>
    <w:rsid w:val="00F63451"/>
    <w:rsid w:val="00F6566D"/>
    <w:rsid w:val="00F66196"/>
    <w:rsid w:val="00F668D5"/>
    <w:rsid w:val="00F66FC2"/>
    <w:rsid w:val="00F67423"/>
    <w:rsid w:val="00F675C4"/>
    <w:rsid w:val="00F67CF1"/>
    <w:rsid w:val="00F714F1"/>
    <w:rsid w:val="00F7155B"/>
    <w:rsid w:val="00F72A7A"/>
    <w:rsid w:val="00F74C22"/>
    <w:rsid w:val="00F771A8"/>
    <w:rsid w:val="00F80D9A"/>
    <w:rsid w:val="00F829F0"/>
    <w:rsid w:val="00F82BE2"/>
    <w:rsid w:val="00F8434A"/>
    <w:rsid w:val="00F9268F"/>
    <w:rsid w:val="00F95CEC"/>
    <w:rsid w:val="00F966C7"/>
    <w:rsid w:val="00F967EC"/>
    <w:rsid w:val="00F96B7B"/>
    <w:rsid w:val="00F97548"/>
    <w:rsid w:val="00F97ADF"/>
    <w:rsid w:val="00FA0423"/>
    <w:rsid w:val="00FA1104"/>
    <w:rsid w:val="00FA2019"/>
    <w:rsid w:val="00FA53EC"/>
    <w:rsid w:val="00FA5447"/>
    <w:rsid w:val="00FA5C58"/>
    <w:rsid w:val="00FB0D96"/>
    <w:rsid w:val="00FB1185"/>
    <w:rsid w:val="00FB2312"/>
    <w:rsid w:val="00FB4939"/>
    <w:rsid w:val="00FB5E4C"/>
    <w:rsid w:val="00FB719B"/>
    <w:rsid w:val="00FB79DB"/>
    <w:rsid w:val="00FC0B1D"/>
    <w:rsid w:val="00FC336A"/>
    <w:rsid w:val="00FC3F81"/>
    <w:rsid w:val="00FC4A74"/>
    <w:rsid w:val="00FC4D48"/>
    <w:rsid w:val="00FC51EE"/>
    <w:rsid w:val="00FC6B04"/>
    <w:rsid w:val="00FC7326"/>
    <w:rsid w:val="00FD031B"/>
    <w:rsid w:val="00FD1A89"/>
    <w:rsid w:val="00FD2EE2"/>
    <w:rsid w:val="00FD3F57"/>
    <w:rsid w:val="00FD45F6"/>
    <w:rsid w:val="00FE1BA9"/>
    <w:rsid w:val="00FE1E0C"/>
    <w:rsid w:val="00FE23A4"/>
    <w:rsid w:val="00FE3F45"/>
    <w:rsid w:val="00FE445D"/>
    <w:rsid w:val="00FE4934"/>
    <w:rsid w:val="00FE528B"/>
    <w:rsid w:val="00FF09A7"/>
    <w:rsid w:val="00FF192D"/>
    <w:rsid w:val="00FF2918"/>
    <w:rsid w:val="00FF2F75"/>
    <w:rsid w:val="00FF35B3"/>
    <w:rsid w:val="00FF3D60"/>
    <w:rsid w:val="00FF40BD"/>
    <w:rsid w:val="00FF44EF"/>
    <w:rsid w:val="00FF4F44"/>
    <w:rsid w:val="00FF5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Rectangular Callout 2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F4"/>
  </w:style>
  <w:style w:type="paragraph" w:styleId="1">
    <w:name w:val="heading 1"/>
    <w:basedOn w:val="a"/>
    <w:next w:val="a"/>
    <w:link w:val="1Char"/>
    <w:uiPriority w:val="9"/>
    <w:qFormat/>
    <w:rsid w:val="00034F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B5582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66E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C3956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4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14E18"/>
  </w:style>
  <w:style w:type="paragraph" w:styleId="a4">
    <w:name w:val="footer"/>
    <w:basedOn w:val="a"/>
    <w:link w:val="Char0"/>
    <w:uiPriority w:val="99"/>
    <w:unhideWhenUsed/>
    <w:rsid w:val="00A14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14E18"/>
  </w:style>
  <w:style w:type="paragraph" w:customStyle="1" w:styleId="01HEADLINE">
    <w:name w:val="01 HEADLINE"/>
    <w:basedOn w:val="a3"/>
    <w:qFormat/>
    <w:rsid w:val="00A14E18"/>
    <w:pPr>
      <w:tabs>
        <w:tab w:val="clear" w:pos="4513"/>
        <w:tab w:val="clear" w:pos="9026"/>
        <w:tab w:val="center" w:pos="4320"/>
        <w:tab w:val="right" w:pos="8640"/>
      </w:tabs>
    </w:pPr>
    <w:rPr>
      <w:rFonts w:ascii="Calibri" w:eastAsia="Times New Roman" w:hAnsi="Calibri"/>
      <w:b/>
      <w:color w:val="FFFFFF"/>
      <w:sz w:val="26"/>
      <w:szCs w:val="26"/>
    </w:rPr>
  </w:style>
  <w:style w:type="paragraph" w:styleId="a5">
    <w:name w:val="Balloon Text"/>
    <w:basedOn w:val="a"/>
    <w:link w:val="Char1"/>
    <w:uiPriority w:val="99"/>
    <w:semiHidden/>
    <w:unhideWhenUsed/>
    <w:rsid w:val="00A14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14E18"/>
    <w:rPr>
      <w:rFonts w:ascii="Tahoma" w:hAnsi="Tahoma" w:cs="Tahoma"/>
      <w:sz w:val="16"/>
      <w:szCs w:val="16"/>
    </w:rPr>
  </w:style>
  <w:style w:type="paragraph" w:customStyle="1" w:styleId="02TITLE">
    <w:name w:val="02 TITLE"/>
    <w:basedOn w:val="a"/>
    <w:qFormat/>
    <w:rsid w:val="00003855"/>
    <w:pPr>
      <w:spacing w:after="240" w:line="240" w:lineRule="auto"/>
    </w:pPr>
    <w:rPr>
      <w:rFonts w:asciiTheme="majorHAnsi" w:eastAsiaTheme="minorEastAsia" w:hAnsiTheme="majorHAnsi"/>
      <w:b/>
      <w:color w:val="11275D"/>
      <w:sz w:val="28"/>
      <w:szCs w:val="28"/>
    </w:rPr>
  </w:style>
  <w:style w:type="paragraph" w:customStyle="1" w:styleId="04SUBSUB">
    <w:name w:val="04 SUBSUB"/>
    <w:basedOn w:val="a"/>
    <w:qFormat/>
    <w:rsid w:val="00003855"/>
    <w:pPr>
      <w:tabs>
        <w:tab w:val="left" w:pos="8262"/>
      </w:tabs>
      <w:spacing w:before="480" w:line="264" w:lineRule="auto"/>
      <w:ind w:left="2835" w:right="74"/>
      <w:contextualSpacing/>
      <w:jc w:val="both"/>
    </w:pPr>
    <w:rPr>
      <w:rFonts w:asciiTheme="majorHAnsi" w:eastAsiaTheme="minorEastAsia" w:hAnsiTheme="majorHAnsi" w:cstheme="majorHAnsi"/>
      <w:b/>
      <w:color w:val="11275D"/>
      <w:sz w:val="21"/>
      <w:szCs w:val="21"/>
      <w:lang w:val="en-GB"/>
    </w:rPr>
  </w:style>
  <w:style w:type="paragraph" w:styleId="a6">
    <w:name w:val="List Paragraph"/>
    <w:basedOn w:val="a"/>
    <w:uiPriority w:val="34"/>
    <w:qFormat/>
    <w:rsid w:val="0000385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a7">
    <w:name w:val="Table Grid"/>
    <w:basedOn w:val="a1"/>
    <w:uiPriority w:val="59"/>
    <w:rsid w:val="00653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5PLAINTEXT">
    <w:name w:val="05 PLAIN TEXT"/>
    <w:basedOn w:val="a"/>
    <w:qFormat/>
    <w:rsid w:val="00D72CD0"/>
    <w:pPr>
      <w:tabs>
        <w:tab w:val="left" w:pos="8262"/>
      </w:tabs>
      <w:spacing w:before="120" w:after="0" w:line="264" w:lineRule="auto"/>
      <w:ind w:left="2835" w:right="74"/>
      <w:contextualSpacing/>
      <w:jc w:val="both"/>
    </w:pPr>
    <w:rPr>
      <w:rFonts w:asciiTheme="majorHAnsi" w:eastAsiaTheme="minorEastAsia" w:hAnsiTheme="majorHAnsi" w:cstheme="majorHAnsi"/>
      <w:color w:val="0D0D0D" w:themeColor="text1" w:themeTint="F2"/>
      <w:sz w:val="19"/>
      <w:szCs w:val="19"/>
      <w:lang w:val="en-GB"/>
    </w:rPr>
  </w:style>
  <w:style w:type="paragraph" w:customStyle="1" w:styleId="a8">
    <w:name w:val="Τίτλος ενότητας"/>
    <w:qFormat/>
    <w:rsid w:val="00F168DB"/>
    <w:pPr>
      <w:pBdr>
        <w:bottom w:val="single" w:sz="6" w:space="11" w:color="E0CBA4"/>
      </w:pBdr>
      <w:spacing w:before="480" w:after="240" w:line="240" w:lineRule="auto"/>
      <w:ind w:left="2835"/>
    </w:pPr>
    <w:rPr>
      <w:rFonts w:asciiTheme="majorHAnsi" w:eastAsiaTheme="minorEastAsia" w:hAnsiTheme="majorHAnsi"/>
      <w:noProof/>
      <w:color w:val="000000" w:themeColor="text1"/>
      <w:sz w:val="32"/>
      <w:szCs w:val="32"/>
      <w:lang w:val="en-GB" w:eastAsia="en-GB"/>
    </w:rPr>
  </w:style>
  <w:style w:type="paragraph" w:styleId="a9">
    <w:name w:val="footnote text"/>
    <w:basedOn w:val="a"/>
    <w:link w:val="Char2"/>
    <w:uiPriority w:val="99"/>
    <w:unhideWhenUsed/>
    <w:rsid w:val="00F168DB"/>
    <w:pPr>
      <w:spacing w:after="0" w:line="240" w:lineRule="auto"/>
    </w:pPr>
    <w:rPr>
      <w:rFonts w:eastAsiaTheme="minorEastAsia"/>
      <w:sz w:val="20"/>
      <w:szCs w:val="20"/>
      <w:lang w:val="en-US"/>
    </w:rPr>
  </w:style>
  <w:style w:type="character" w:customStyle="1" w:styleId="Char2">
    <w:name w:val="Κείμενο υποσημείωσης Char"/>
    <w:basedOn w:val="a0"/>
    <w:link w:val="a9"/>
    <w:uiPriority w:val="99"/>
    <w:rsid w:val="00F168DB"/>
    <w:rPr>
      <w:rFonts w:eastAsiaTheme="minorEastAsia"/>
      <w:sz w:val="20"/>
      <w:szCs w:val="20"/>
      <w:lang w:val="en-US"/>
    </w:rPr>
  </w:style>
  <w:style w:type="paragraph" w:customStyle="1" w:styleId="10TableB">
    <w:name w:val="10 Table B"/>
    <w:basedOn w:val="a"/>
    <w:qFormat/>
    <w:rsid w:val="00F168DB"/>
    <w:pPr>
      <w:spacing w:after="0" w:line="240" w:lineRule="auto"/>
    </w:pPr>
    <w:rPr>
      <w:rFonts w:asciiTheme="majorHAnsi" w:eastAsiaTheme="minorEastAsia" w:hAnsiTheme="majorHAnsi"/>
      <w:b/>
      <w:sz w:val="19"/>
      <w:szCs w:val="19"/>
      <w:lang w:val="en-US"/>
    </w:rPr>
  </w:style>
  <w:style w:type="paragraph" w:customStyle="1" w:styleId="11TableP">
    <w:name w:val="11 Table P"/>
    <w:basedOn w:val="a"/>
    <w:qFormat/>
    <w:rsid w:val="00F168DB"/>
    <w:pPr>
      <w:spacing w:after="0" w:line="240" w:lineRule="auto"/>
    </w:pPr>
    <w:rPr>
      <w:rFonts w:asciiTheme="majorHAnsi" w:eastAsiaTheme="minorEastAsia" w:hAnsiTheme="majorHAnsi"/>
      <w:sz w:val="19"/>
      <w:szCs w:val="19"/>
      <w:lang w:val="en-US"/>
    </w:rPr>
  </w:style>
  <w:style w:type="paragraph" w:styleId="Web">
    <w:name w:val="Normal (Web)"/>
    <w:basedOn w:val="a"/>
    <w:uiPriority w:val="99"/>
    <w:semiHidden/>
    <w:unhideWhenUsed/>
    <w:rsid w:val="008E00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character" w:styleId="aa">
    <w:name w:val="footnote reference"/>
    <w:basedOn w:val="a0"/>
    <w:uiPriority w:val="99"/>
    <w:semiHidden/>
    <w:unhideWhenUsed/>
    <w:rsid w:val="004631DC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FC7326"/>
    <w:rPr>
      <w:sz w:val="16"/>
      <w:szCs w:val="16"/>
    </w:rPr>
  </w:style>
  <w:style w:type="paragraph" w:styleId="ac">
    <w:name w:val="annotation text"/>
    <w:basedOn w:val="a"/>
    <w:link w:val="Char3"/>
    <w:uiPriority w:val="99"/>
    <w:semiHidden/>
    <w:unhideWhenUsed/>
    <w:rsid w:val="00FC7326"/>
    <w:pPr>
      <w:spacing w:after="0" w:line="240" w:lineRule="auto"/>
    </w:pPr>
    <w:rPr>
      <w:rFonts w:ascii="Calibri" w:hAnsi="Calibri" w:cs="Times New Roman"/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semiHidden/>
    <w:rsid w:val="00FC7326"/>
    <w:rPr>
      <w:rFonts w:ascii="Calibri" w:hAnsi="Calibri" w:cs="Times New Roman"/>
      <w:sz w:val="20"/>
      <w:szCs w:val="20"/>
    </w:rPr>
  </w:style>
  <w:style w:type="character" w:styleId="-">
    <w:name w:val="Hyperlink"/>
    <w:basedOn w:val="a0"/>
    <w:uiPriority w:val="99"/>
    <w:unhideWhenUsed/>
    <w:rsid w:val="00A33FE0"/>
    <w:rPr>
      <w:color w:val="0070C0" w:themeColor="hyperlink"/>
      <w:u w:val="single"/>
    </w:rPr>
  </w:style>
  <w:style w:type="numbering" w:customStyle="1" w:styleId="NoList1">
    <w:name w:val="No List1"/>
    <w:next w:val="a2"/>
    <w:uiPriority w:val="99"/>
    <w:semiHidden/>
    <w:unhideWhenUsed/>
    <w:rsid w:val="00D612E1"/>
  </w:style>
  <w:style w:type="table" w:customStyle="1" w:styleId="TableGrid1">
    <w:name w:val="Table Grid1"/>
    <w:basedOn w:val="a1"/>
    <w:next w:val="a7"/>
    <w:uiPriority w:val="59"/>
    <w:rsid w:val="00D61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Επικεφαλίδα 1 Char"/>
    <w:basedOn w:val="a0"/>
    <w:link w:val="1"/>
    <w:uiPriority w:val="9"/>
    <w:rsid w:val="00034F63"/>
    <w:rPr>
      <w:rFonts w:asciiTheme="majorHAnsi" w:eastAsiaTheme="majorEastAsia" w:hAnsiTheme="majorHAnsi" w:cstheme="majorBidi"/>
      <w:color w:val="2B5582" w:themeColor="accent1" w:themeShade="BF"/>
      <w:sz w:val="32"/>
      <w:szCs w:val="32"/>
    </w:rPr>
  </w:style>
  <w:style w:type="table" w:customStyle="1" w:styleId="TableGrid2">
    <w:name w:val="Table Grid2"/>
    <w:basedOn w:val="a1"/>
    <w:next w:val="a7"/>
    <w:uiPriority w:val="59"/>
    <w:rsid w:val="00E00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CF7721"/>
    <w:pPr>
      <w:spacing w:after="200"/>
    </w:pPr>
    <w:rPr>
      <w:rFonts w:asciiTheme="minorHAnsi" w:hAnsiTheme="minorHAnsi" w:cstheme="minorBidi"/>
      <w:b/>
      <w:bCs/>
    </w:rPr>
  </w:style>
  <w:style w:type="character" w:customStyle="1" w:styleId="Char4">
    <w:name w:val="Θέμα σχολίου Char"/>
    <w:basedOn w:val="Char3"/>
    <w:link w:val="ad"/>
    <w:uiPriority w:val="99"/>
    <w:semiHidden/>
    <w:rsid w:val="00CF7721"/>
    <w:rPr>
      <w:rFonts w:ascii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F7F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2">
    <w:name w:val="s2"/>
    <w:basedOn w:val="a"/>
    <w:rsid w:val="00AA140F"/>
    <w:pPr>
      <w:spacing w:before="100" w:beforeAutospacing="1" w:after="100" w:afterAutospacing="1" w:line="240" w:lineRule="auto"/>
    </w:pPr>
    <w:rPr>
      <w:rFonts w:ascii="Calibri" w:hAnsi="Calibri" w:cs="Times New Roman"/>
    </w:rPr>
  </w:style>
  <w:style w:type="character" w:customStyle="1" w:styleId="3Char">
    <w:name w:val="Επικεφαλίδα 3 Char"/>
    <w:basedOn w:val="a0"/>
    <w:link w:val="3"/>
    <w:uiPriority w:val="9"/>
    <w:rsid w:val="00C66EA9"/>
    <w:rPr>
      <w:rFonts w:asciiTheme="majorHAnsi" w:eastAsiaTheme="majorEastAsia" w:hAnsiTheme="majorHAnsi" w:cstheme="majorBidi"/>
      <w:color w:val="1C3956" w:themeColor="accent1" w:themeShade="7F"/>
      <w:sz w:val="24"/>
      <w:szCs w:val="24"/>
    </w:rPr>
  </w:style>
  <w:style w:type="paragraph" w:styleId="ae">
    <w:name w:val="Revision"/>
    <w:hidden/>
    <w:uiPriority w:val="99"/>
    <w:semiHidden/>
    <w:rsid w:val="00FC33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raeusbankgroup.com" TargetMode="External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___Microsoft_Office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___Microsoft_Office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___Microsoft_Office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______________Microsoft_Office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___Microsoft_Office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9417416572928512E-2"/>
          <c:y val="0.15636995706662504"/>
          <c:w val="0.92774949642922588"/>
          <c:h val="0.71844953155690128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Σύνολο NPE</c:v>
                </c:pt>
              </c:strCache>
            </c:strRef>
          </c:tx>
          <c:spPr>
            <a:solidFill>
              <a:srgbClr val="FFC000"/>
            </a:solidFill>
            <a:ln w="12700">
              <a:noFill/>
              <a:prstDash val="solid"/>
            </a:ln>
            <a:effectLst/>
          </c:spPr>
          <c:dLbls>
            <c:dLbl>
              <c:idx val="2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700" b="0"/>
                  </a:pPr>
                  <a:endParaRPr lang="en-US"/>
                </a:p>
              </c:txPr>
            </c:dLbl>
            <c:dLbl>
              <c:idx val="6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1"/>
                  </a:pPr>
                  <a:endParaRPr lang="en-US"/>
                </a:p>
              </c:txPr>
            </c:dLbl>
            <c:dLbl>
              <c:idx val="7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1"/>
                  </a:pPr>
                  <a:endParaRPr lang="en-US"/>
                </a:p>
              </c:txPr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 b="0"/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Sheet1!$A$2:$A$9</c:f>
              <c:strCache>
                <c:ptCount val="7"/>
                <c:pt idx="0">
                  <c:v>Σεπ.15</c:v>
                </c:pt>
                <c:pt idx="2">
                  <c:v>Σεπ.16</c:v>
                </c:pt>
                <c:pt idx="3">
                  <c:v>Δεκ.16</c:v>
                </c:pt>
                <c:pt idx="4">
                  <c:v>Μαρ.17</c:v>
                </c:pt>
                <c:pt idx="5">
                  <c:v>Ιουν.17</c:v>
                </c:pt>
                <c:pt idx="6">
                  <c:v>Σεπ.17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7"/>
                <c:pt idx="0" formatCode="#,##0.0">
                  <c:v>37.700000000000003</c:v>
                </c:pt>
                <c:pt idx="2" formatCode="#,##0.0">
                  <c:v>36.300000000000004</c:v>
                </c:pt>
                <c:pt idx="3" formatCode="#,##0.0">
                  <c:v>35.800000000000004</c:v>
                </c:pt>
                <c:pt idx="4" formatCode="#,##0.0">
                  <c:v>35.200000000000003</c:v>
                </c:pt>
                <c:pt idx="5" formatCode="#,##0.0">
                  <c:v>34.5</c:v>
                </c:pt>
                <c:pt idx="6" formatCode="#,##0.0">
                  <c:v>33.800000000000004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01E-44FD-9BCA-F68D388A277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Σύνολο NPL</c:v>
                </c:pt>
              </c:strCache>
            </c:strRef>
          </c:tx>
          <c:spPr>
            <a:solidFill>
              <a:srgbClr val="003C96"/>
            </a:solidFill>
          </c:spPr>
          <c:dLbls>
            <c:dLbl>
              <c:idx val="6"/>
              <c:layout>
                <c:manualLayout>
                  <c:x val="-2.0349066105109059E-2"/>
                  <c:y val="1.69061707523246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700" b="1"/>
                  </a:pPr>
                  <a:endParaRPr lang="en-US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2595907342977475"/>
                      <c:h val="0.1210907808121617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B438-4EA3-AF47-4937C86AF3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Sheet1!$A$2:$A$9</c:f>
              <c:strCache>
                <c:ptCount val="7"/>
                <c:pt idx="0">
                  <c:v>Σεπ.15</c:v>
                </c:pt>
                <c:pt idx="2">
                  <c:v>Σεπ.16</c:v>
                </c:pt>
                <c:pt idx="3">
                  <c:v>Δεκ.16</c:v>
                </c:pt>
                <c:pt idx="4">
                  <c:v>Μαρ.17</c:v>
                </c:pt>
                <c:pt idx="5">
                  <c:v>Ιουν.17</c:v>
                </c:pt>
                <c:pt idx="6">
                  <c:v>Σεπ.17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7"/>
                <c:pt idx="0" formatCode="#,##0.0">
                  <c:v>27.897222580999991</c:v>
                </c:pt>
                <c:pt idx="2" formatCode="#,##0.0">
                  <c:v>25.346052</c:v>
                </c:pt>
                <c:pt idx="3" formatCode="#,##0.0">
                  <c:v>24.381661029818307</c:v>
                </c:pt>
                <c:pt idx="4" formatCode="#,##0.0">
                  <c:v>24.086900620000005</c:v>
                </c:pt>
                <c:pt idx="5" formatCode="#,##0.0">
                  <c:v>23.001100909000005</c:v>
                </c:pt>
                <c:pt idx="6" formatCode="#,##0.0">
                  <c:v>22.068381209000002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438-4EA3-AF47-4937C86AF3EE}"/>
            </c:ext>
          </c:extLst>
        </c:ser>
        <c:dLbls>
          <c:showVal val="1"/>
        </c:dLbls>
        <c:gapWidth val="180"/>
        <c:overlap val="-24"/>
        <c:axId val="167021184"/>
        <c:axId val="167027072"/>
      </c:barChart>
      <c:catAx>
        <c:axId val="167021184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6350">
            <a:solidFill>
              <a:schemeClr val="bg1"/>
            </a:solidFill>
            <a:prstDash val="solid"/>
          </a:ln>
        </c:spPr>
        <c:txPr>
          <a:bodyPr/>
          <a:lstStyle/>
          <a:p>
            <a:pPr algn="ctr">
              <a:defRPr lang="en-GB" sz="65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7027072"/>
        <c:crosses val="autoZero"/>
        <c:auto val="1"/>
        <c:lblAlgn val="ctr"/>
        <c:lblOffset val="100"/>
      </c:catAx>
      <c:valAx>
        <c:axId val="167027072"/>
        <c:scaling>
          <c:orientation val="minMax"/>
        </c:scaling>
        <c:delete val="1"/>
        <c:axPos val="l"/>
        <c:numFmt formatCode="#,##0.0" sourceLinked="1"/>
        <c:tickLblPos val="nextTo"/>
        <c:crossAx val="167021184"/>
        <c:crosses val="autoZero"/>
        <c:crossBetween val="between"/>
      </c:valAx>
      <c:spPr>
        <a:noFill/>
        <a:ln>
          <a:noFill/>
        </a:ln>
      </c:spPr>
    </c:plotArea>
    <c:legend>
      <c:legendPos val="t"/>
      <c:layout>
        <c:manualLayout>
          <c:xMode val="edge"/>
          <c:yMode val="edge"/>
          <c:x val="0.3801757919794912"/>
          <c:y val="5.0718512256973818E-2"/>
          <c:w val="0.61755493499359115"/>
          <c:h val="0.12222695535839091"/>
        </c:manualLayout>
      </c:layout>
    </c:legend>
    <c:plotVisOnly val="1"/>
    <c:dispBlanksAs val="gap"/>
  </c:chart>
  <c:spPr>
    <a:noFill/>
    <a:ln w="0">
      <a:noFill/>
    </a:ln>
  </c:spPr>
  <c:txPr>
    <a:bodyPr/>
    <a:lstStyle/>
    <a:p>
      <a:pPr>
        <a:defRPr sz="700">
          <a:latin typeface="+mj-lt"/>
        </a:defRPr>
      </a:pPr>
      <a:endParaRPr lang="en-US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7929906699073714"/>
          <c:y val="0.28086439423531601"/>
          <c:w val="0.75432667644851714"/>
          <c:h val="0.55005345284842033"/>
        </c:manualLayout>
      </c:layout>
      <c:lineChart>
        <c:grouping val="standard"/>
        <c:marker val="1"/>
        <c:axId val="166525568"/>
        <c:axId val="167047552"/>
      </c:lineChart>
      <c:catAx>
        <c:axId val="166525568"/>
        <c:scaling>
          <c:orientation val="minMax"/>
        </c:scaling>
        <c:axPos val="b"/>
        <c:numFmt formatCode="General" sourceLinked="0"/>
        <c:majorTickMark val="none"/>
        <c:tickLblPos val="low"/>
        <c:spPr>
          <a:ln>
            <a:solidFill>
              <a:schemeClr val="bg2">
                <a:lumMod val="75000"/>
              </a:schemeClr>
            </a:solidFill>
          </a:ln>
        </c:spPr>
        <c:txPr>
          <a:bodyPr rot="-5400000"/>
          <a:lstStyle/>
          <a:p>
            <a:pPr>
              <a:defRPr lang="en-US" sz="500">
                <a:solidFill>
                  <a:schemeClr val="tx1">
                    <a:lumMod val="50000"/>
                    <a:lumOff val="50000"/>
                  </a:schemeClr>
                </a:solidFill>
              </a:defRPr>
            </a:pPr>
            <a:endParaRPr lang="en-US"/>
          </a:p>
        </c:txPr>
        <c:crossAx val="167047552"/>
        <c:crosses val="autoZero"/>
        <c:auto val="1"/>
        <c:lblAlgn val="ctr"/>
        <c:lblOffset val="400"/>
      </c:catAx>
      <c:valAx>
        <c:axId val="167047552"/>
        <c:scaling>
          <c:orientation val="minMax"/>
        </c:scaling>
        <c:delete val="1"/>
        <c:axPos val="l"/>
        <c:numFmt formatCode="0.0%" sourceLinked="0"/>
        <c:tickLblPos val="none"/>
        <c:crossAx val="166525568"/>
        <c:crosses val="autoZero"/>
        <c:crossBetween val="between"/>
        <c:majorUnit val="1.0000000000000004E-2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7.255936675461741E-2"/>
          <c:y val="0.16627037999560396"/>
          <c:w val="0.85488126649076535"/>
          <c:h val="0.72238599485409161"/>
        </c:manualLayout>
      </c:layout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Καθαρά  Έσοδα Τόκων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ln>
                      <a:noFill/>
                    </a:ln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Q3.16</c:v>
                </c:pt>
                <c:pt idx="1">
                  <c:v>Q4.16</c:v>
                </c:pt>
                <c:pt idx="2">
                  <c:v>Q1.17</c:v>
                </c:pt>
                <c:pt idx="3">
                  <c:v>Q2.17</c:v>
                </c:pt>
                <c:pt idx="4">
                  <c:v>Q3.17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452</c:v>
                </c:pt>
                <c:pt idx="1">
                  <c:v>450</c:v>
                </c:pt>
                <c:pt idx="2">
                  <c:v>437</c:v>
                </c:pt>
                <c:pt idx="3">
                  <c:v>436</c:v>
                </c:pt>
                <c:pt idx="4">
                  <c:v>431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9E-4547-ABDE-07D1D27FB72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Καθαρά Έσοδα Προμηθειών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Q3.16</c:v>
                </c:pt>
                <c:pt idx="1">
                  <c:v>Q4.16</c:v>
                </c:pt>
                <c:pt idx="2">
                  <c:v>Q1.17</c:v>
                </c:pt>
                <c:pt idx="3">
                  <c:v>Q2.17</c:v>
                </c:pt>
                <c:pt idx="4">
                  <c:v>Q3.17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82</c:v>
                </c:pt>
                <c:pt idx="1">
                  <c:v>91</c:v>
                </c:pt>
                <c:pt idx="2">
                  <c:v>81</c:v>
                </c:pt>
                <c:pt idx="3">
                  <c:v>82</c:v>
                </c:pt>
                <c:pt idx="4">
                  <c:v>127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09E-4547-ABDE-07D1D27FB727}"/>
            </c:ext>
          </c:extLst>
        </c:ser>
        <c:overlap val="100"/>
        <c:axId val="192821888"/>
        <c:axId val="192860544"/>
      </c:barChart>
      <c:lineChart>
        <c:grouping val="standard"/>
        <c:ser>
          <c:idx val="2"/>
          <c:order val="2"/>
          <c:tx>
            <c:strRef>
              <c:f>Sheet1!$D$1</c:f>
              <c:strCache>
                <c:ptCount val="1"/>
                <c:pt idx="0">
                  <c:v>Core Banking Income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baseline="0">
                      <a:ln>
                        <a:noFill/>
                      </a:ln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Q3.16</c:v>
                </c:pt>
                <c:pt idx="1">
                  <c:v>Q4.16</c:v>
                </c:pt>
                <c:pt idx="2">
                  <c:v>Q1.17</c:v>
                </c:pt>
                <c:pt idx="3">
                  <c:v>Q2.17</c:v>
                </c:pt>
                <c:pt idx="4">
                  <c:v>Q3.17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533</c:v>
                </c:pt>
                <c:pt idx="1">
                  <c:v>541</c:v>
                </c:pt>
                <c:pt idx="2">
                  <c:v>517</c:v>
                </c:pt>
                <c:pt idx="3">
                  <c:v>518</c:v>
                </c:pt>
                <c:pt idx="4">
                  <c:v>558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03-4ABD-992B-4AB8C30A065D}"/>
            </c:ext>
          </c:extLst>
        </c:ser>
        <c:marker val="1"/>
        <c:axId val="192821888"/>
        <c:axId val="192860544"/>
      </c:lineChart>
      <c:catAx>
        <c:axId val="1928218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860544"/>
        <c:crosses val="autoZero"/>
        <c:auto val="1"/>
        <c:lblAlgn val="ctr"/>
        <c:lblOffset val="100"/>
      </c:catAx>
      <c:valAx>
        <c:axId val="19286054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tickLblPos val="nextTo"/>
        <c:crossAx val="192821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13765088400889203"/>
          <c:y val="2.9131918854970733E-2"/>
          <c:w val="0.61915681549041224"/>
          <c:h val="0.1087991156277879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ln>
                <a:noFill/>
              </a:ln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  <a:solidFill>
            <a:schemeClr val="tx1"/>
          </a:solidFill>
        </a:defRPr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7792371698218713E-2"/>
          <c:y val="7.6859580052493423E-2"/>
          <c:w val="0.83652919622670918"/>
          <c:h val="0.77184842519685226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Καταστήματα</c:v>
                </c:pt>
              </c:strCache>
            </c:strRef>
          </c:tx>
          <c:spPr>
            <a:ln w="6350">
              <a:solidFill>
                <a:schemeClr val="tx2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 w="6350">
                <a:solidFill>
                  <a:schemeClr val="tx2"/>
                </a:solidFill>
              </a:ln>
            </c:spPr>
          </c:marker>
          <c:dLbls>
            <c:dLbl>
              <c:idx val="0"/>
              <c:layout>
                <c:manualLayout>
                  <c:x val="-6.1640290013253302E-2"/>
                  <c:y val="-7.0290026246719234E-2"/>
                </c:manualLayout>
              </c:layout>
              <c:tx>
                <c:rich>
                  <a:bodyPr/>
                  <a:lstStyle/>
                  <a:p>
                    <a:r>
                      <a:rPr lang="en-US" sz="700" b="0" i="0" dirty="0">
                        <a:solidFill>
                          <a:schemeClr val="tx2"/>
                        </a:solidFill>
                      </a:rPr>
                      <a:t>1,380</a:t>
                    </a:r>
                    <a:endParaRPr lang="en-US" dirty="0">
                      <a:solidFill>
                        <a:srgbClr val="3B73AF"/>
                      </a:solidFill>
                    </a:endParaRPr>
                  </a:p>
                </c:rich>
              </c:tx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A30-48B1-800A-40794827BDF7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30-48B1-800A-40794827BDF7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30-48B1-800A-40794827BDF7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30-48B1-800A-40794827BDF7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30-48B1-800A-40794827BDF7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30-48B1-800A-40794827BDF7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A30-48B1-800A-40794827BDF7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A30-48B1-800A-40794827BDF7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A30-48B1-800A-40794827BDF7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A30-48B1-800A-40794827BDF7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A30-48B1-800A-40794827BDF7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A30-48B1-800A-40794827BDF7}"/>
                </c:ext>
              </c:extLst>
            </c:dLbl>
            <c:dLbl>
              <c:idx val="1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C7-4EB1-8438-97686D063F74}"/>
                </c:ext>
              </c:extLst>
            </c:dLbl>
            <c:dLbl>
              <c:idx val="1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F76-4F1C-AABF-44692E66C6B4}"/>
                </c:ext>
              </c:extLst>
            </c:dLbl>
            <c:dLbl>
              <c:idx val="1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9E-473A-9547-54FE51BA31F5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47-4D52-8698-E332F91FC046}"/>
                </c:ext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22-40BB-BEDB-0BA897B59212}"/>
                </c:ext>
              </c:extLst>
            </c:dLbl>
            <c:dLbl>
              <c:idx val="1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40-4662-B6B6-B025CF6A479A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04-4D41-851B-638FEBD02D7D}"/>
                </c:ext>
              </c:extLst>
            </c:dLbl>
            <c:dLbl>
              <c:idx val="19"/>
              <c:tx>
                <c:rich>
                  <a:bodyPr/>
                  <a:lstStyle/>
                  <a:p>
                    <a:fld id="{EF14A7E4-6B5D-4449-9ED5-D918516EB324}" type="VALUE">
                      <a:rPr lang="en-US" b="1"/>
                      <a:pPr/>
                      <a:t>[VALUE]</a:t>
                    </a:fld>
                    <a:endParaRPr lang="el-GR"/>
                  </a:p>
                </c:rich>
              </c:tx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360-495E-B582-9EE528B0BECF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700" b="0" i="0">
                    <a:solidFill>
                      <a:schemeClr val="tx2"/>
                    </a:solidFill>
                    <a:effectLst/>
                    <a:latin typeface="+mn-lt"/>
                  </a:defRPr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Sheet1!$A$2:$A$21</c:f>
              <c:strCache>
                <c:ptCount val="20"/>
                <c:pt idx="0">
                  <c:v>Δεκ.12</c:v>
                </c:pt>
                <c:pt idx="1">
                  <c:v>Μαρ.13</c:v>
                </c:pt>
                <c:pt idx="2">
                  <c:v>Ιουν.13</c:v>
                </c:pt>
                <c:pt idx="3">
                  <c:v>Σεπ.13</c:v>
                </c:pt>
                <c:pt idx="4">
                  <c:v>Δεκ.13</c:v>
                </c:pt>
                <c:pt idx="5">
                  <c:v>Μαρ.14</c:v>
                </c:pt>
                <c:pt idx="6">
                  <c:v>Ιουν.14</c:v>
                </c:pt>
                <c:pt idx="7">
                  <c:v>Σεπ.14</c:v>
                </c:pt>
                <c:pt idx="8">
                  <c:v>Δεκ.14</c:v>
                </c:pt>
                <c:pt idx="9">
                  <c:v>Μαρ.15</c:v>
                </c:pt>
                <c:pt idx="10">
                  <c:v>Ιουν.15</c:v>
                </c:pt>
                <c:pt idx="11">
                  <c:v>Σεπ.15</c:v>
                </c:pt>
                <c:pt idx="12">
                  <c:v>Δεκ.15</c:v>
                </c:pt>
                <c:pt idx="13">
                  <c:v>Μαρ.16</c:v>
                </c:pt>
                <c:pt idx="14">
                  <c:v>Ιουν.16</c:v>
                </c:pt>
                <c:pt idx="15">
                  <c:v>Σεπ.16</c:v>
                </c:pt>
                <c:pt idx="16">
                  <c:v>Δεκ.16</c:v>
                </c:pt>
                <c:pt idx="17">
                  <c:v>Μαρ.17</c:v>
                </c:pt>
                <c:pt idx="18">
                  <c:v>Ιουν.17</c:v>
                </c:pt>
                <c:pt idx="19">
                  <c:v>Σεπ.17</c:v>
                </c:pt>
              </c:strCache>
            </c:strRef>
          </c:cat>
          <c:val>
            <c:numRef>
              <c:f>Sheet1!$B$2:$B$21</c:f>
              <c:numCache>
                <c:formatCode>0</c:formatCode>
                <c:ptCount val="20"/>
                <c:pt idx="0">
                  <c:v>1354</c:v>
                </c:pt>
                <c:pt idx="1">
                  <c:v>1306</c:v>
                </c:pt>
                <c:pt idx="2">
                  <c:v>1280</c:v>
                </c:pt>
                <c:pt idx="3">
                  <c:v>1218</c:v>
                </c:pt>
                <c:pt idx="4">
                  <c:v>1037</c:v>
                </c:pt>
                <c:pt idx="5">
                  <c:v>964</c:v>
                </c:pt>
                <c:pt idx="6">
                  <c:v>889</c:v>
                </c:pt>
                <c:pt idx="7">
                  <c:v>870</c:v>
                </c:pt>
                <c:pt idx="8">
                  <c:v>803</c:v>
                </c:pt>
                <c:pt idx="9">
                  <c:v>791</c:v>
                </c:pt>
                <c:pt idx="10">
                  <c:v>804</c:v>
                </c:pt>
                <c:pt idx="11">
                  <c:v>778</c:v>
                </c:pt>
                <c:pt idx="12">
                  <c:v>709</c:v>
                </c:pt>
                <c:pt idx="13">
                  <c:v>701</c:v>
                </c:pt>
                <c:pt idx="14">
                  <c:v>678</c:v>
                </c:pt>
                <c:pt idx="15">
                  <c:v>671</c:v>
                </c:pt>
                <c:pt idx="16">
                  <c:v>660</c:v>
                </c:pt>
                <c:pt idx="17">
                  <c:v>649</c:v>
                </c:pt>
                <c:pt idx="18">
                  <c:v>639</c:v>
                </c:pt>
                <c:pt idx="19">
                  <c:v>628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AA30-48B1-800A-40794827BDF7}"/>
            </c:ext>
          </c:extLst>
        </c:ser>
        <c:marker val="1"/>
        <c:axId val="192737664"/>
        <c:axId val="192739200"/>
      </c:lineChart>
      <c:lineChart>
        <c:grouping val="standard"/>
        <c:ser>
          <c:idx val="1"/>
          <c:order val="1"/>
          <c:tx>
            <c:strRef>
              <c:f>Sheet1!$C$1</c:f>
              <c:strCache>
                <c:ptCount val="1"/>
                <c:pt idx="0">
                  <c:v>Εργαζόμενοι</c:v>
                </c:pt>
              </c:strCache>
            </c:strRef>
          </c:tx>
          <c:spPr>
            <a:ln w="6350">
              <a:solidFill>
                <a:srgbClr val="FFC000"/>
              </a:solidFill>
              <a:prstDash val="solid"/>
            </a:ln>
          </c:spPr>
          <c:marker>
            <c:symbol val="circle"/>
            <c:size val="4"/>
            <c:spPr>
              <a:solidFill>
                <a:schemeClr val="bg1"/>
              </a:solidFill>
              <a:ln w="6350">
                <a:solidFill>
                  <a:srgbClr val="FFC000"/>
                </a:solidFill>
              </a:ln>
            </c:spPr>
          </c:marker>
          <c:dLbls>
            <c:dLbl>
              <c:idx val="0"/>
              <c:layout>
                <c:manualLayout>
                  <c:x val="-5.749562861928232E-2"/>
                  <c:y val="-7.32986876619698E-2"/>
                </c:manualLayout>
              </c:layout>
              <c:tx>
                <c:rich>
                  <a:bodyPr/>
                  <a:lstStyle/>
                  <a:p>
                    <a:pPr>
                      <a:defRPr lang="en-US" sz="700" b="0">
                        <a:solidFill>
                          <a:schemeClr val="tx1"/>
                        </a:solidFill>
                      </a:defRPr>
                    </a:pPr>
                    <a:r>
                      <a:rPr lang="en-US" b="0"/>
                      <a:t>19,401</a:t>
                    </a:r>
                  </a:p>
                </c:rich>
              </c:tx>
              <c:numFmt formatCode="#,##0" sourceLinked="0"/>
              <c:spPr>
                <a:noFill/>
                <a:ln>
                  <a:noFill/>
                </a:ln>
                <a:effectLst/>
              </c:spPr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AA30-48B1-800A-40794827BDF7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A30-48B1-800A-40794827BDF7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A30-48B1-800A-40794827BDF7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A30-48B1-800A-40794827BDF7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A30-48B1-800A-40794827BDF7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A30-48B1-800A-40794827BDF7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A30-48B1-800A-40794827BDF7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A30-48B1-800A-40794827BDF7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A30-48B1-800A-40794827BDF7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A30-48B1-800A-40794827BDF7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AA30-48B1-800A-40794827BDF7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AA30-48B1-800A-40794827BDF7}"/>
                </c:ext>
              </c:extLst>
            </c:dLbl>
            <c:dLbl>
              <c:idx val="1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F76-4F1C-AABF-44692E66C6B4}"/>
                </c:ext>
              </c:extLst>
            </c:dLbl>
            <c:dLbl>
              <c:idx val="1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F76-4F1C-AABF-44692E66C6B4}"/>
                </c:ext>
              </c:extLst>
            </c:dLbl>
            <c:dLbl>
              <c:idx val="1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C7-4EB1-8438-97686D063F74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47-4D52-8698-E332F91FC046}"/>
                </c:ext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22-40BB-BEDB-0BA897B59212}"/>
                </c:ext>
              </c:extLst>
            </c:dLbl>
            <c:dLbl>
              <c:idx val="1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40-4662-B6B6-B025CF6A479A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60-495E-B582-9EE528B0BECF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700" b="1">
                    <a:solidFill>
                      <a:schemeClr val="tx1"/>
                    </a:solidFill>
                  </a:defRPr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Sheet1!$A$2:$A$21</c:f>
              <c:strCache>
                <c:ptCount val="20"/>
                <c:pt idx="0">
                  <c:v>Δεκ.12</c:v>
                </c:pt>
                <c:pt idx="1">
                  <c:v>Μαρ.13</c:v>
                </c:pt>
                <c:pt idx="2">
                  <c:v>Ιουν.13</c:v>
                </c:pt>
                <c:pt idx="3">
                  <c:v>Σεπ.13</c:v>
                </c:pt>
                <c:pt idx="4">
                  <c:v>Δεκ.13</c:v>
                </c:pt>
                <c:pt idx="5">
                  <c:v>Μαρ.14</c:v>
                </c:pt>
                <c:pt idx="6">
                  <c:v>Ιουν.14</c:v>
                </c:pt>
                <c:pt idx="7">
                  <c:v>Σεπ.14</c:v>
                </c:pt>
                <c:pt idx="8">
                  <c:v>Δεκ.14</c:v>
                </c:pt>
                <c:pt idx="9">
                  <c:v>Μαρ.15</c:v>
                </c:pt>
                <c:pt idx="10">
                  <c:v>Ιουν.15</c:v>
                </c:pt>
                <c:pt idx="11">
                  <c:v>Σεπ.15</c:v>
                </c:pt>
                <c:pt idx="12">
                  <c:v>Δεκ.15</c:v>
                </c:pt>
                <c:pt idx="13">
                  <c:v>Μαρ.16</c:v>
                </c:pt>
                <c:pt idx="14">
                  <c:v>Ιουν.16</c:v>
                </c:pt>
                <c:pt idx="15">
                  <c:v>Σεπ.16</c:v>
                </c:pt>
                <c:pt idx="16">
                  <c:v>Δεκ.16</c:v>
                </c:pt>
                <c:pt idx="17">
                  <c:v>Μαρ.17</c:v>
                </c:pt>
                <c:pt idx="18">
                  <c:v>Ιουν.17</c:v>
                </c:pt>
                <c:pt idx="19">
                  <c:v>Σεπ.17</c:v>
                </c:pt>
              </c:strCache>
            </c:strRef>
          </c:cat>
          <c:val>
            <c:numRef>
              <c:f>Sheet1!$C$2:$C$21</c:f>
              <c:numCache>
                <c:formatCode>0</c:formatCode>
                <c:ptCount val="20"/>
                <c:pt idx="0">
                  <c:v>19238</c:v>
                </c:pt>
                <c:pt idx="1">
                  <c:v>18624</c:v>
                </c:pt>
                <c:pt idx="2">
                  <c:v>18591</c:v>
                </c:pt>
                <c:pt idx="3">
                  <c:v>18440</c:v>
                </c:pt>
                <c:pt idx="4">
                  <c:v>16558</c:v>
                </c:pt>
                <c:pt idx="5">
                  <c:v>16454</c:v>
                </c:pt>
                <c:pt idx="6">
                  <c:v>16541</c:v>
                </c:pt>
                <c:pt idx="7">
                  <c:v>16528</c:v>
                </c:pt>
                <c:pt idx="8">
                  <c:v>15539</c:v>
                </c:pt>
                <c:pt idx="9">
                  <c:v>15499</c:v>
                </c:pt>
                <c:pt idx="10">
                  <c:v>15743</c:v>
                </c:pt>
                <c:pt idx="11">
                  <c:v>15715</c:v>
                </c:pt>
                <c:pt idx="12">
                  <c:v>15599</c:v>
                </c:pt>
                <c:pt idx="13">
                  <c:v>15627</c:v>
                </c:pt>
                <c:pt idx="14">
                  <c:v>14958</c:v>
                </c:pt>
                <c:pt idx="15">
                  <c:v>14796</c:v>
                </c:pt>
                <c:pt idx="16">
                  <c:v>14492</c:v>
                </c:pt>
                <c:pt idx="17">
                  <c:v>14054</c:v>
                </c:pt>
                <c:pt idx="18">
                  <c:v>13928</c:v>
                </c:pt>
                <c:pt idx="19">
                  <c:v>13892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AA30-48B1-800A-40794827BDF7}"/>
            </c:ext>
          </c:extLst>
        </c:ser>
        <c:marker val="1"/>
        <c:axId val="192910464"/>
        <c:axId val="192740736"/>
      </c:lineChart>
      <c:catAx>
        <c:axId val="192737664"/>
        <c:scaling>
          <c:orientation val="minMax"/>
        </c:scaling>
        <c:axPos val="b"/>
        <c:numFmt formatCode="General" sourceLinked="1"/>
        <c:tickLblPos val="nextTo"/>
        <c:spPr>
          <a:ln w="6350">
            <a:solidFill>
              <a:schemeClr val="bg1"/>
            </a:solidFill>
          </a:ln>
        </c:spPr>
        <c:txPr>
          <a:bodyPr rot="-5400000" vert="horz"/>
          <a:lstStyle/>
          <a:p>
            <a:pPr>
              <a:defRPr lang="en-US" sz="40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</a:defRPr>
            </a:pPr>
            <a:endParaRPr lang="en-US"/>
          </a:p>
        </c:txPr>
        <c:crossAx val="192739200"/>
        <c:crosses val="autoZero"/>
        <c:lblAlgn val="ctr"/>
        <c:lblOffset val="100"/>
        <c:noMultiLvlLbl val="1"/>
      </c:catAx>
      <c:valAx>
        <c:axId val="192739200"/>
        <c:scaling>
          <c:orientation val="minMax"/>
          <c:max val="1900"/>
          <c:min val="500"/>
        </c:scaling>
        <c:axPos val="l"/>
        <c:numFmt formatCode="0" sourceLinked="1"/>
        <c:majorTickMark val="none"/>
        <c:tickLblPos val="none"/>
        <c:spPr>
          <a:ln>
            <a:noFill/>
          </a:ln>
        </c:spPr>
        <c:txPr>
          <a:bodyPr/>
          <a:lstStyle/>
          <a:p>
            <a:pPr>
              <a:defRPr lang="en-US" sz="300">
                <a:solidFill>
                  <a:schemeClr val="bg1">
                    <a:lumMod val="95000"/>
                  </a:schemeClr>
                </a:solidFill>
              </a:defRPr>
            </a:pPr>
            <a:endParaRPr lang="en-US"/>
          </a:p>
        </c:txPr>
        <c:crossAx val="192737664"/>
        <c:crosses val="autoZero"/>
        <c:crossBetween val="between"/>
        <c:majorUnit val="100"/>
      </c:valAx>
      <c:valAx>
        <c:axId val="192740736"/>
        <c:scaling>
          <c:orientation val="minMax"/>
          <c:max val="19500"/>
          <c:min val="10000"/>
        </c:scaling>
        <c:axPos val="r"/>
        <c:numFmt formatCode="0" sourceLinked="1"/>
        <c:majorTickMark val="none"/>
        <c:tickLblPos val="none"/>
        <c:spPr>
          <a:ln>
            <a:noFill/>
          </a:ln>
        </c:spPr>
        <c:txPr>
          <a:bodyPr/>
          <a:lstStyle/>
          <a:p>
            <a:pPr>
              <a:defRPr lang="en-US" sz="300">
                <a:solidFill>
                  <a:schemeClr val="bg1"/>
                </a:solidFill>
              </a:defRPr>
            </a:pPr>
            <a:endParaRPr lang="en-US"/>
          </a:p>
        </c:txPr>
        <c:crossAx val="192910464"/>
        <c:crosses val="max"/>
        <c:crossBetween val="between"/>
        <c:majorUnit val="1000"/>
        <c:minorUnit val="1"/>
      </c:valAx>
      <c:catAx>
        <c:axId val="192910464"/>
        <c:scaling>
          <c:orientation val="minMax"/>
        </c:scaling>
        <c:delete val="1"/>
        <c:axPos val="t"/>
        <c:numFmt formatCode="General" sourceLinked="1"/>
        <c:tickLblPos val="none"/>
        <c:crossAx val="192740736"/>
        <c:crosses val="max"/>
        <c:auto val="1"/>
        <c:lblAlgn val="ctr"/>
        <c:lblOffset val="100"/>
        <c:noMultiLvlLbl val="1"/>
      </c:catAx>
      <c:spPr>
        <a:noFill/>
      </c:spPr>
    </c:plotArea>
    <c:legend>
      <c:legendPos val="b"/>
      <c:layout>
        <c:manualLayout>
          <c:xMode val="edge"/>
          <c:yMode val="edge"/>
          <c:x val="0.44310171198388698"/>
          <c:y val="6.4568897637795331E-2"/>
          <c:w val="0.51049816792702862"/>
          <c:h val="0.15209776902887101"/>
        </c:manualLayout>
      </c:layout>
      <c:txPr>
        <a:bodyPr/>
        <a:lstStyle/>
        <a:p>
          <a:pPr>
            <a:defRPr lang="en-US" sz="650">
              <a:solidFill>
                <a:schemeClr val="tx1"/>
              </a:solidFill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00"/>
      </a:pPr>
      <a:endParaRPr lang="en-US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141732283464552E-2"/>
          <c:y val="0.15636990423686872"/>
          <c:w val="0.84087428726581603"/>
          <c:h val="0.71844953155690128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ΚΠΦΠ</c:v>
                </c:pt>
              </c:strCache>
            </c:strRef>
          </c:tx>
          <c:spPr>
            <a:solidFill>
              <a:srgbClr val="FFC000"/>
            </a:solidFill>
            <a:ln w="12700">
              <a:noFill/>
              <a:prstDash val="solid"/>
            </a:ln>
            <a:effectLst/>
          </c:spPr>
          <c:dPt>
            <c:idx val="4"/>
            <c:spPr>
              <a:solidFill>
                <a:srgbClr val="003C96"/>
              </a:solidFill>
              <a:ln w="12700">
                <a:noFill/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739-4638-8FB4-6F9B62477777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700" b="1"/>
                  </a:pPr>
                  <a:endParaRPr lang="en-US"/>
                </a:p>
              </c:txPr>
            </c:dLbl>
            <c:dLbl>
              <c:idx val="6"/>
              <c:layout>
                <c:manualLayout>
                  <c:x val="-1.0536276751464835E-16"/>
                  <c:y val="-9.045680687471757E-3"/>
                </c:manualLayout>
              </c:layout>
              <c:tx>
                <c:rich>
                  <a:bodyPr/>
                  <a:lstStyle/>
                  <a:p>
                    <a:fld id="{D16646C8-31F2-4D03-9697-5123E3E5693E}" type="VALUE">
                      <a:rPr lang="en-US" b="0"/>
                      <a:pPr/>
                      <a:t>[VALUE]</a:t>
                    </a:fld>
                    <a:endParaRPr lang="el-GR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B8BB-4A11-AE72-19462B85081F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A1FE53ED-D15C-41D9-ADE1-13E2F310319A}" type="VALUE">
                      <a:rPr lang="en-US" b="1"/>
                      <a:pPr/>
                      <a:t>[VALUE]</a:t>
                    </a:fld>
                    <a:endParaRPr lang="el-GR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523-4248-8268-9ED8AE452E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0"/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Sheet1!$A$2:$A$7</c:f>
              <c:strCache>
                <c:ptCount val="5"/>
                <c:pt idx="0">
                  <c:v>Δεκ.15</c:v>
                </c:pt>
                <c:pt idx="1">
                  <c:v>Σεπ.16</c:v>
                </c:pt>
                <c:pt idx="2">
                  <c:v>Μαρ.17</c:v>
                </c:pt>
                <c:pt idx="3">
                  <c:v>Ιουν.17</c:v>
                </c:pt>
                <c:pt idx="4">
                  <c:v>Σεπ.17</c:v>
                </c:pt>
              </c:strCache>
            </c:strRef>
          </c:cat>
          <c:val>
            <c:numRef>
              <c:f>Sheet1!$B$2:$B$7</c:f>
              <c:numCache>
                <c:formatCode>#,##0.0</c:formatCode>
                <c:ptCount val="5"/>
                <c:pt idx="0">
                  <c:v>36.547232031349999</c:v>
                </c:pt>
                <c:pt idx="1">
                  <c:v>36.785863263399996</c:v>
                </c:pt>
                <c:pt idx="2">
                  <c:v>38.036176502990003</c:v>
                </c:pt>
                <c:pt idx="3">
                  <c:v>38.185013023540002</c:v>
                </c:pt>
                <c:pt idx="4">
                  <c:v>39.1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39-4638-8FB4-6F9B62477777}"/>
            </c:ext>
          </c:extLst>
        </c:ser>
        <c:gapWidth val="171"/>
        <c:overlap val="-24"/>
        <c:axId val="192914944"/>
        <c:axId val="192916864"/>
      </c:barChart>
      <c:catAx>
        <c:axId val="192914944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6350">
            <a:solidFill>
              <a:schemeClr val="bg1"/>
            </a:solidFill>
            <a:prstDash val="solid"/>
          </a:ln>
        </c:spPr>
        <c:txPr>
          <a:bodyPr/>
          <a:lstStyle/>
          <a:p>
            <a:pPr algn="ctr">
              <a:defRPr sz="650">
                <a:latin typeface="+mn-lt"/>
              </a:defRPr>
            </a:pPr>
            <a:endParaRPr lang="en-US"/>
          </a:p>
        </c:txPr>
        <c:crossAx val="192916864"/>
        <c:crosses val="autoZero"/>
        <c:auto val="1"/>
        <c:lblAlgn val="ctr"/>
        <c:lblOffset val="100"/>
      </c:catAx>
      <c:valAx>
        <c:axId val="192916864"/>
        <c:scaling>
          <c:orientation val="minMax"/>
          <c:min val="30"/>
        </c:scaling>
        <c:delete val="1"/>
        <c:axPos val="l"/>
        <c:numFmt formatCode="#,##0.0" sourceLinked="1"/>
        <c:tickLblPos val="nextTo"/>
        <c:crossAx val="192914944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</c:chart>
  <c:spPr>
    <a:noFill/>
    <a:ln w="0">
      <a:noFill/>
    </a:ln>
  </c:spPr>
  <c:txPr>
    <a:bodyPr/>
    <a:lstStyle/>
    <a:p>
      <a:pPr>
        <a:defRPr sz="400">
          <a:latin typeface="+mj-lt"/>
        </a:defRPr>
      </a:pPr>
      <a:endParaRPr lang="en-US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8910383246653135E-2"/>
          <c:y val="0.23931788873211668"/>
          <c:w val="0.83446140920775302"/>
          <c:h val="0.6210835495274073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Δείκτης Κάλυψης NPΕ 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1"/>
                  </a:pPr>
                  <a:endParaRPr lang="en-US"/>
                </a:p>
              </c:txPr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1"/>
                  </a:pPr>
                  <a:endParaRPr lang="en-US"/>
                </a:p>
              </c:txPr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0"/>
                  </a:pPr>
                  <a:endParaRPr lang="en-US"/>
                </a:p>
              </c:txPr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0"/>
                  </a:pPr>
                  <a:endParaRPr lang="en-US"/>
                </a:p>
              </c:txPr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1"/>
                  </a:pPr>
                  <a:endParaRPr lang="en-US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Sheet1!$A$2:$A$7</c:f>
              <c:strCache>
                <c:ptCount val="2"/>
                <c:pt idx="0">
                  <c:v>Ιουν.17</c:v>
                </c:pt>
                <c:pt idx="1">
                  <c:v>Σεπ.17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2"/>
                <c:pt idx="0">
                  <c:v>0.45</c:v>
                </c:pt>
                <c:pt idx="1">
                  <c:v>0.46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B0D-4FBB-9552-EFF0A9692A4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Δείκτης Κάλυψης NPL</c:v>
                </c:pt>
              </c:strCache>
            </c:strRef>
          </c:tx>
          <c:spPr>
            <a:solidFill>
              <a:srgbClr val="003C96"/>
            </a:solidFill>
          </c:spPr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1"/>
                  </a:pPr>
                  <a:endParaRPr lang="en-US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Sheet1!$A$2:$A$7</c:f>
              <c:strCache>
                <c:ptCount val="2"/>
                <c:pt idx="0">
                  <c:v>Ιουν.17</c:v>
                </c:pt>
                <c:pt idx="1">
                  <c:v>Σεπ.17</c:v>
                </c:pt>
              </c:strCache>
            </c:strRef>
          </c:cat>
          <c:val>
            <c:numRef>
              <c:f>Sheet1!$C$2:$C$7</c:f>
              <c:numCache>
                <c:formatCode>0%</c:formatCode>
                <c:ptCount val="2"/>
                <c:pt idx="0">
                  <c:v>0.6819032671980878</c:v>
                </c:pt>
                <c:pt idx="1">
                  <c:v>0.69656083309504169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304-42C0-8B36-07AD1F5DCF18}"/>
            </c:ext>
          </c:extLst>
        </c:ser>
        <c:dLbls>
          <c:showVal val="1"/>
        </c:dLbls>
        <c:gapWidth val="185"/>
        <c:overlap val="-10"/>
        <c:axId val="193152896"/>
        <c:axId val="193154432"/>
      </c:barChart>
      <c:catAx>
        <c:axId val="193152896"/>
        <c:scaling>
          <c:orientation val="minMax"/>
        </c:scaling>
        <c:axPos val="b"/>
        <c:numFmt formatCode="General" sourceLinked="1"/>
        <c:majorTickMark val="none"/>
        <c:tickLblPos val="nextTo"/>
        <c:spPr>
          <a:ln>
            <a:solidFill>
              <a:schemeClr val="bg1"/>
            </a:solidFill>
          </a:ln>
        </c:spPr>
        <c:txPr>
          <a:bodyPr rot="0" vert="horz"/>
          <a:lstStyle/>
          <a:p>
            <a:pPr>
              <a:defRPr lang="el-GR" sz="65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</a:defRPr>
            </a:pPr>
            <a:endParaRPr lang="en-US"/>
          </a:p>
        </c:txPr>
        <c:crossAx val="193154432"/>
        <c:crosses val="autoZero"/>
        <c:auto val="1"/>
        <c:lblAlgn val="ctr"/>
        <c:lblOffset val="100"/>
      </c:catAx>
      <c:valAx>
        <c:axId val="193154432"/>
        <c:scaling>
          <c:orientation val="minMax"/>
          <c:max val="0.70000000000000095"/>
          <c:min val="0.30000000000000016"/>
        </c:scaling>
        <c:delete val="1"/>
        <c:axPos val="l"/>
        <c:numFmt formatCode="0%" sourceLinked="1"/>
        <c:tickLblPos val="nextTo"/>
        <c:crossAx val="193152896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22283440699042667"/>
          <c:y val="3.0828516377649336E-2"/>
          <c:w val="0.77257913994457894"/>
          <c:h val="0.12075007965044832"/>
        </c:manualLayout>
      </c:layout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/>
      </a:pPr>
      <a:endParaRPr lang="en-US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7475410420809546E-2"/>
          <c:y val="0.10648813925883575"/>
          <c:w val="0.65691049660695044"/>
          <c:h val="0.67257393930731035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Σχηματισμός NPE</c:v>
                </c:pt>
              </c:strCache>
            </c:strRef>
          </c:tx>
          <c:spPr>
            <a:solidFill>
              <a:srgbClr val="FAB414"/>
            </a:solidFill>
            <a:ln w="15875">
              <a:solidFill>
                <a:schemeClr val="bg1"/>
              </a:solidFill>
            </a:ln>
            <a:effectLst/>
          </c:spPr>
          <c:dPt>
            <c:idx val="0"/>
            <c:spPr>
              <a:solidFill>
                <a:srgbClr val="FFC000"/>
              </a:solidFill>
              <a:ln w="15875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BEB-4C2B-9866-B732418434AD}"/>
              </c:ext>
            </c:extLst>
          </c:dPt>
          <c:dPt>
            <c:idx val="1"/>
            <c:spPr>
              <a:solidFill>
                <a:srgbClr val="FFC000"/>
              </a:solidFill>
              <a:ln w="15875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BEB-4C2B-9866-B732418434AD}"/>
              </c:ext>
            </c:extLst>
          </c:dPt>
          <c:dLbls>
            <c:dLbl>
              <c:idx val="0"/>
              <c:layout>
                <c:manualLayout>
                  <c:x val="-1.1527377521613837E-2"/>
                  <c:y val="-3.877557473990450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600"/>
                  </a:pPr>
                  <a:endParaRPr lang="en-US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BEB-4C2B-9866-B732418434AD}"/>
                </c:ext>
              </c:extLst>
            </c:dLbl>
            <c:dLbl>
              <c:idx val="1"/>
              <c:layout>
                <c:manualLayout>
                  <c:x val="-5.7636887608069707E-3"/>
                  <c:y val="1.091357556209088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600"/>
                  </a:pPr>
                  <a:endParaRPr lang="en-US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BEB-4C2B-9866-B732418434AD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Sheet1!$A$2:$A$3</c:f>
              <c:strCache>
                <c:ptCount val="2"/>
                <c:pt idx="0">
                  <c:v>Ιουν.17</c:v>
                </c:pt>
                <c:pt idx="1">
                  <c:v>Σεπ.17</c:v>
                </c:pt>
              </c:strCache>
            </c:strRef>
          </c:cat>
          <c:val>
            <c:numRef>
              <c:f>Sheet1!$B$2:$B$3</c:f>
              <c:numCache>
                <c:formatCode>0</c:formatCode>
                <c:ptCount val="2"/>
                <c:pt idx="0">
                  <c:v>-139</c:v>
                </c:pt>
                <c:pt idx="1">
                  <c:v>-274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FBEB-4C2B-9866-B732418434A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Σχηματισμός NPL</c:v>
                </c:pt>
              </c:strCache>
            </c:strRef>
          </c:tx>
          <c:spPr>
            <a:solidFill>
              <a:srgbClr val="003C96"/>
            </a:solidFill>
          </c:spPr>
          <c:dLbls>
            <c:dLbl>
              <c:idx val="0"/>
              <c:layout>
                <c:manualLayout>
                  <c:x val="4.530011325028273E-3"/>
                  <c:y val="1.369842581831968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75DB-4B0E-9A8F-449BD522D738}"/>
                </c:ext>
              </c:extLst>
            </c:dLbl>
            <c:dLbl>
              <c:idx val="1"/>
              <c:layout>
                <c:manualLayout>
                  <c:x val="0"/>
                  <c:y val="2.0598599208248129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75DB-4B0E-9A8F-449BD522D7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Sheet1!$A$2:$A$3</c:f>
              <c:strCache>
                <c:ptCount val="2"/>
                <c:pt idx="0">
                  <c:v>Ιουν.17</c:v>
                </c:pt>
                <c:pt idx="1">
                  <c:v>Σεπ.17</c:v>
                </c:pt>
              </c:strCache>
            </c:strRef>
          </c:cat>
          <c:val>
            <c:numRef>
              <c:f>Sheet1!$C$2:$C$3</c:f>
              <c:numCache>
                <c:formatCode>0</c:formatCode>
                <c:ptCount val="2"/>
                <c:pt idx="0">
                  <c:v>-329.06507242000424</c:v>
                </c:pt>
                <c:pt idx="1">
                  <c:v>-470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75DB-4B0E-9A8F-449BD522D738}"/>
            </c:ext>
          </c:extLst>
        </c:ser>
        <c:dLbls>
          <c:showVal val="1"/>
        </c:dLbls>
        <c:gapWidth val="210"/>
        <c:overlap val="-10"/>
        <c:axId val="193431424"/>
        <c:axId val="193432960"/>
      </c:barChart>
      <c:catAx>
        <c:axId val="193431424"/>
        <c:scaling>
          <c:orientation val="minMax"/>
        </c:scaling>
        <c:delete val="1"/>
        <c:axPos val="b"/>
        <c:numFmt formatCode="General" sourceLinked="1"/>
        <c:tickLblPos val="nextTo"/>
        <c:crossAx val="193432960"/>
        <c:crosses val="autoZero"/>
        <c:auto val="1"/>
        <c:lblAlgn val="ctr"/>
        <c:lblOffset val="100"/>
      </c:catAx>
      <c:valAx>
        <c:axId val="193432960"/>
        <c:scaling>
          <c:orientation val="minMax"/>
          <c:max val="100"/>
          <c:min val="-500"/>
        </c:scaling>
        <c:delete val="1"/>
        <c:axPos val="l"/>
        <c:numFmt formatCode="#,##0" sourceLinked="0"/>
        <c:tickLblPos val="nextTo"/>
        <c:crossAx val="193431424"/>
        <c:crosses val="autoZero"/>
        <c:crossBetween val="between"/>
        <c:majorUnit val="1000"/>
      </c:valAx>
    </c:plotArea>
    <c:legend>
      <c:legendPos val="t"/>
      <c:layout>
        <c:manualLayout>
          <c:xMode val="edge"/>
          <c:yMode val="edge"/>
          <c:x val="1.838843631577753E-2"/>
          <c:y val="4.8192771084337387E-2"/>
          <c:w val="0.79031201071047652"/>
          <c:h val="0.11614015115580432"/>
        </c:manualLayout>
      </c:layout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/>
      </a:pPr>
      <a:endParaRPr lang="en-US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8756333302140326E-2"/>
          <c:y val="0.25496396283797873"/>
          <c:w val="0.93743085170380869"/>
          <c:h val="0.56936372536766189"/>
        </c:manualLayout>
      </c:layout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ELA</c:v>
                </c:pt>
              </c:strCache>
            </c:strRef>
          </c:tx>
          <c:spPr>
            <a:solidFill>
              <a:srgbClr val="FFC000"/>
            </a:solidFill>
            <a:ln w="15875">
              <a:noFill/>
            </a:ln>
            <a:effectLst/>
          </c:spP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latin typeface="+mn-lt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Sheet1!$A$2:$A$12</c:f>
              <c:strCache>
                <c:ptCount val="8"/>
                <c:pt idx="0">
                  <c:v>Δεκ.15</c:v>
                </c:pt>
                <c:pt idx="1">
                  <c:v>Μαρ.16</c:v>
                </c:pt>
                <c:pt idx="2">
                  <c:v>Ιουν.16</c:v>
                </c:pt>
                <c:pt idx="3">
                  <c:v>Σεπ.16</c:v>
                </c:pt>
                <c:pt idx="4">
                  <c:v>Δεκ.16</c:v>
                </c:pt>
                <c:pt idx="5">
                  <c:v>Μαρ.17</c:v>
                </c:pt>
                <c:pt idx="6">
                  <c:v>Ιουν.17</c:v>
                </c:pt>
                <c:pt idx="7">
                  <c:v>Σεπ.17</c:v>
                </c:pt>
              </c:strCache>
            </c:strRef>
          </c:cat>
          <c:val>
            <c:numRef>
              <c:f>Sheet1!$B$2:$B$12</c:f>
              <c:numCache>
                <c:formatCode>0.0</c:formatCode>
                <c:ptCount val="8"/>
                <c:pt idx="0">
                  <c:v>16.7</c:v>
                </c:pt>
                <c:pt idx="1">
                  <c:v>16</c:v>
                </c:pt>
                <c:pt idx="2">
                  <c:v>14.4</c:v>
                </c:pt>
                <c:pt idx="3">
                  <c:v>12.7</c:v>
                </c:pt>
                <c:pt idx="4">
                  <c:v>11.9</c:v>
                </c:pt>
                <c:pt idx="5">
                  <c:v>11</c:v>
                </c:pt>
                <c:pt idx="6">
                  <c:v>10.3</c:v>
                </c:pt>
                <c:pt idx="7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24-4FED-9D84-F84035197D6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ΕΚΤ</c:v>
                </c:pt>
              </c:strCache>
            </c:strRef>
          </c:tx>
          <c:spPr>
            <a:solidFill>
              <a:srgbClr val="003C96"/>
            </a:solidFill>
            <a:ln w="15875">
              <a:noFill/>
            </a:ln>
            <a:effectLst/>
          </c:spP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chemeClr val="bg1"/>
                    </a:solidFill>
                    <a:latin typeface="+mn-lt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Sheet1!$A$2:$A$12</c:f>
              <c:strCache>
                <c:ptCount val="8"/>
                <c:pt idx="0">
                  <c:v>Δεκ.15</c:v>
                </c:pt>
                <c:pt idx="1">
                  <c:v>Μαρ.16</c:v>
                </c:pt>
                <c:pt idx="2">
                  <c:v>Ιουν.16</c:v>
                </c:pt>
                <c:pt idx="3">
                  <c:v>Σεπ.16</c:v>
                </c:pt>
                <c:pt idx="4">
                  <c:v>Δεκ.16</c:v>
                </c:pt>
                <c:pt idx="5">
                  <c:v>Μαρ.17</c:v>
                </c:pt>
                <c:pt idx="6">
                  <c:v>Ιουν.17</c:v>
                </c:pt>
                <c:pt idx="7">
                  <c:v>Σεπ.17</c:v>
                </c:pt>
              </c:strCache>
            </c:strRef>
          </c:cat>
          <c:val>
            <c:numRef>
              <c:f>Sheet1!$C$2:$C$12</c:f>
              <c:numCache>
                <c:formatCode>0.00</c:formatCode>
                <c:ptCount val="8"/>
                <c:pt idx="0">
                  <c:v>16</c:v>
                </c:pt>
                <c:pt idx="1">
                  <c:v>14.4</c:v>
                </c:pt>
                <c:pt idx="2">
                  <c:v>12.4</c:v>
                </c:pt>
                <c:pt idx="3">
                  <c:v>11.05</c:v>
                </c:pt>
                <c:pt idx="4">
                  <c:v>9</c:v>
                </c:pt>
                <c:pt idx="5">
                  <c:v>4.45</c:v>
                </c:pt>
                <c:pt idx="6">
                  <c:v>5.5010000000000003</c:v>
                </c:pt>
                <c:pt idx="7">
                  <c:v>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224-4FED-9D84-F84035197D69}"/>
            </c:ext>
          </c:extLst>
        </c:ser>
        <c:gapWidth val="146"/>
        <c:overlap val="100"/>
        <c:axId val="193974656"/>
        <c:axId val="193976192"/>
      </c:barChart>
      <c:catAx>
        <c:axId val="193974656"/>
        <c:scaling>
          <c:orientation val="minMax"/>
          <c:min val="1"/>
        </c:scaling>
        <c:axPos val="b"/>
        <c:numFmt formatCode="General" sourceLinked="1"/>
        <c:majorTickMark val="none"/>
        <c:tickLblPos val="nextTo"/>
        <c:spPr>
          <a:ln w="6350">
            <a:solidFill>
              <a:sysClr val="window" lastClr="FFFFFF"/>
            </a:solidFill>
          </a:ln>
        </c:spPr>
        <c:txPr>
          <a:bodyPr/>
          <a:lstStyle/>
          <a:p>
            <a:pPr>
              <a:defRPr lang="en-US" sz="65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</a:defRPr>
            </a:pPr>
            <a:endParaRPr lang="en-US"/>
          </a:p>
        </c:txPr>
        <c:crossAx val="193976192"/>
        <c:crosses val="autoZero"/>
        <c:lblAlgn val="ctr"/>
        <c:lblOffset val="100"/>
      </c:catAx>
      <c:valAx>
        <c:axId val="193976192"/>
        <c:scaling>
          <c:orientation val="minMax"/>
          <c:max val="40"/>
          <c:min val="0"/>
        </c:scaling>
        <c:delete val="1"/>
        <c:axPos val="l"/>
        <c:numFmt formatCode="0" sourceLinked="0"/>
        <c:tickLblPos val="nextTo"/>
        <c:crossAx val="193974656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46587793854288112"/>
          <c:y val="0.11280464941882302"/>
          <c:w val="0.48589664346564221"/>
          <c:h val="0.15461869349664606"/>
        </c:manualLayout>
      </c:layout>
      <c:overlay val="1"/>
      <c:txPr>
        <a:bodyPr/>
        <a:lstStyle/>
        <a:p>
          <a:pPr>
            <a:defRPr lang="en-US" sz="700">
              <a:solidFill>
                <a:srgbClr val="404040"/>
              </a:solidFill>
              <a:latin typeface="+mn-lt"/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>
          <a:latin typeface="Arial Narrow" pitchFamily="34" charset="0"/>
        </a:defRPr>
      </a:pPr>
      <a:endParaRPr lang="en-US"/>
    </a:p>
  </c:txPr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010104370756473"/>
          <c:y val="0.20384969205581974"/>
          <c:w val="0.77297450494744502"/>
          <c:h val="0.65076739169980014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Ιουν.17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-4.88519785051295E-3"/>
                  <c:y val="3.11647837943123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97A-48CF-9F7E-CD8BEAB229E5}"/>
                </c:ext>
              </c:extLst>
            </c:dLbl>
            <c:dLbl>
              <c:idx val="1"/>
              <c:layout>
                <c:manualLayout>
                  <c:x val="-4.88519785051295E-3"/>
                  <c:y val="2.3373587845734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97A-48CF-9F7E-CD8BEAB229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 b="0"/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Sheet1!$A$2:$A$3</c:f>
              <c:strCache>
                <c:ptCount val="2"/>
                <c:pt idx="0">
                  <c:v>Phased-in</c:v>
                </c:pt>
                <c:pt idx="1">
                  <c:v>Fully loaded</c:v>
                </c:pt>
              </c:strCache>
            </c:strRef>
          </c:cat>
          <c:val>
            <c:numRef>
              <c:f>Sheet1!$B$2:$B$3</c:f>
              <c:numCache>
                <c:formatCode>0.0%</c:formatCode>
                <c:ptCount val="2"/>
                <c:pt idx="0">
                  <c:v>0.16900000000000001</c:v>
                </c:pt>
                <c:pt idx="1">
                  <c:v>0.16500000000000001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97A-48CF-9F7E-CD8BEAB229E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Σεπ.17</c:v>
                </c:pt>
              </c:strCache>
            </c:strRef>
          </c:tx>
          <c:spPr>
            <a:solidFill>
              <a:srgbClr val="003C96"/>
            </a:solidFill>
          </c:spPr>
          <c:dLbls>
            <c:dLbl>
              <c:idx val="0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97A-48CF-9F7E-CD8BEAB229E5}"/>
                </c:ext>
              </c:extLst>
            </c:dLbl>
            <c:dLbl>
              <c:idx val="1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97A-48CF-9F7E-CD8BEAB229E5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Sheet1!$A$2:$A$3</c:f>
              <c:strCache>
                <c:ptCount val="2"/>
                <c:pt idx="0">
                  <c:v>Phased-in</c:v>
                </c:pt>
                <c:pt idx="1">
                  <c:v>Fully loaded</c:v>
                </c:pt>
              </c:strCache>
            </c:strRef>
          </c:cat>
          <c:val>
            <c:numRef>
              <c:f>Sheet1!$C$2:$C$3</c:f>
              <c:numCache>
                <c:formatCode>0.0%</c:formatCode>
                <c:ptCount val="2"/>
                <c:pt idx="0">
                  <c:v>0.16980000000000001</c:v>
                </c:pt>
                <c:pt idx="1">
                  <c:v>0.16600000000000001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97A-48CF-9F7E-CD8BEAB229E5}"/>
            </c:ext>
          </c:extLst>
        </c:ser>
        <c:gapWidth val="218"/>
        <c:overlap val="-26"/>
        <c:axId val="200665728"/>
        <c:axId val="193520000"/>
      </c:barChart>
      <c:catAx>
        <c:axId val="200665728"/>
        <c:scaling>
          <c:orientation val="minMax"/>
        </c:scaling>
        <c:axPos val="b"/>
        <c:numFmt formatCode="General" sourceLinked="1"/>
        <c:majorTickMark val="none"/>
        <c:tickLblPos val="nextTo"/>
        <c:spPr>
          <a:ln>
            <a:solidFill>
              <a:schemeClr val="bg1"/>
            </a:solidFill>
          </a:ln>
        </c:spPr>
        <c:txPr>
          <a:bodyPr rot="0" vert="horz"/>
          <a:lstStyle/>
          <a:p>
            <a:pPr>
              <a:defRPr lang="el-GR" sz="70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</a:defRPr>
            </a:pPr>
            <a:endParaRPr lang="en-US"/>
          </a:p>
        </c:txPr>
        <c:crossAx val="193520000"/>
        <c:crosses val="autoZero"/>
        <c:auto val="1"/>
        <c:lblAlgn val="ctr"/>
        <c:lblOffset val="100"/>
      </c:catAx>
      <c:valAx>
        <c:axId val="193520000"/>
        <c:scaling>
          <c:orientation val="minMax"/>
          <c:max val="0.18000000000000005"/>
          <c:min val="0.16"/>
        </c:scaling>
        <c:delete val="1"/>
        <c:axPos val="l"/>
        <c:numFmt formatCode="0.0%" sourceLinked="1"/>
        <c:tickLblPos val="nextTo"/>
        <c:crossAx val="20066572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45573505189785557"/>
          <c:y val="0.16033367116239189"/>
          <c:w val="0.39820339358988593"/>
          <c:h val="0.16448117252670155"/>
        </c:manualLayout>
      </c:layout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/>
      </a:pPr>
      <a:endParaRPr lang="en-US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0.5529</cdr:x>
      <cdr:y>0.47172</cdr:y>
    </cdr:from>
    <cdr:to>
      <cdr:x>0.62193</cdr:x>
      <cdr:y>0.54207</cdr:y>
    </cdr:to>
    <cdr:sp macro="" textlink="">
      <cdr:nvSpPr>
        <cdr:cNvPr id="10" name="Text Box 9"/>
        <cdr:cNvSpPr txBox="1"/>
      </cdr:nvSpPr>
      <cdr:spPr>
        <a:xfrm xmlns:a="http://schemas.openxmlformats.org/drawingml/2006/main">
          <a:off x="1268146" y="833933"/>
          <a:ext cx="158318" cy="1243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500"/>
        </a:p>
      </cdr:txBody>
    </cdr:sp>
  </cdr:relSizeAnchor>
  <cdr:relSizeAnchor xmlns:cdr="http://schemas.openxmlformats.org/drawingml/2006/chartDrawing">
    <cdr:from>
      <cdr:x>0.71232</cdr:x>
      <cdr:y>0.19623</cdr:y>
    </cdr:from>
    <cdr:to>
      <cdr:x>0.85374</cdr:x>
      <cdr:y>0.29968</cdr:y>
    </cdr:to>
    <cdr:sp macro="" textlink="">
      <cdr:nvSpPr>
        <cdr:cNvPr id="13" name="Rectangle 12"/>
        <cdr:cNvSpPr/>
      </cdr:nvSpPr>
      <cdr:spPr>
        <a:xfrm xmlns:a="http://schemas.openxmlformats.org/drawingml/2006/main">
          <a:off x="1669972" y="385775"/>
          <a:ext cx="331548" cy="2033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</cdr:sp>
  </cdr:relSizeAnchor>
  <cdr:relSizeAnchor xmlns:cdr="http://schemas.openxmlformats.org/drawingml/2006/chartDrawing">
    <cdr:from>
      <cdr:x>0.75457</cdr:x>
      <cdr:y>0.17685</cdr:y>
    </cdr:from>
    <cdr:to>
      <cdr:x>0.89599</cdr:x>
      <cdr:y>0.2803</cdr:y>
    </cdr:to>
    <cdr:sp macro="" textlink="">
      <cdr:nvSpPr>
        <cdr:cNvPr id="14" name="Rectangle 13"/>
        <cdr:cNvSpPr/>
      </cdr:nvSpPr>
      <cdr:spPr>
        <a:xfrm xmlns:a="http://schemas.openxmlformats.org/drawingml/2006/main">
          <a:off x="1769032" y="347675"/>
          <a:ext cx="331548" cy="2033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</cdr:sp>
  </cdr:relSizeAnchor>
  <cdr:relSizeAnchor xmlns:cdr="http://schemas.openxmlformats.org/drawingml/2006/chartDrawing">
    <cdr:from>
      <cdr:x>0.38168</cdr:x>
      <cdr:y>0.37919</cdr:y>
    </cdr:from>
    <cdr:to>
      <cdr:x>0.55086</cdr:x>
      <cdr:y>0.484</cdr:y>
    </cdr:to>
    <cdr:sp macro="" textlink="">
      <cdr:nvSpPr>
        <cdr:cNvPr id="29" name="TextBox 24"/>
        <cdr:cNvSpPr txBox="1"/>
      </cdr:nvSpPr>
      <cdr:spPr>
        <a:xfrm xmlns:a="http://schemas.openxmlformats.org/drawingml/2006/main">
          <a:off x="713769" y="728135"/>
          <a:ext cx="316379" cy="20126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13" tIns="45708" rIns="91413" bIns="45708" rtlCol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700" b="0">
              <a:solidFill>
                <a:sysClr val="windowText" lastClr="000000"/>
              </a:solidFill>
            </a:rPr>
            <a:t> 24</a:t>
          </a:r>
          <a:endParaRPr lang="en-GB" sz="700" b="0" dirty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0.02126</cdr:x>
      <cdr:y>0.25097</cdr:y>
    </cdr:from>
    <cdr:to>
      <cdr:x>0.16867</cdr:x>
      <cdr:y>0.35611</cdr:y>
    </cdr:to>
    <cdr:sp macro="" textlink="">
      <cdr:nvSpPr>
        <cdr:cNvPr id="25" name="TextBox 24"/>
        <cdr:cNvSpPr txBox="1"/>
      </cdr:nvSpPr>
      <cdr:spPr>
        <a:xfrm xmlns:a="http://schemas.openxmlformats.org/drawingml/2006/main">
          <a:off x="39757" y="481918"/>
          <a:ext cx="275667" cy="201894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13" tIns="45708" rIns="91413" bIns="45708" rtlCol="0">
          <a:spAutoFit/>
        </a:bodyPr>
        <a:lstStyle xmlns:a="http://schemas.openxmlformats.org/drawingml/2006/main">
          <a:defPPr>
            <a:defRPr lang="en-US"/>
          </a:defPPr>
          <a:lvl1pPr marL="0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368227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736452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104678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472904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1841129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209355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2577581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2945808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700" b="0" dirty="0">
              <a:solidFill>
                <a:sysClr val="windowText" lastClr="000000"/>
              </a:solidFill>
            </a:rPr>
            <a:t>3</a:t>
          </a:r>
          <a:r>
            <a:rPr lang="en-US" sz="700" b="0" dirty="0">
              <a:solidFill>
                <a:sysClr val="windowText" lastClr="000000"/>
              </a:solidFill>
            </a:rPr>
            <a:t>3</a:t>
          </a:r>
          <a:endParaRPr lang="en-GB" sz="700" b="0" dirty="0">
            <a:solidFill>
              <a:sysClr val="windowText" lastClr="0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Θέμα του Office">
  <a:themeElements>
    <a:clrScheme name="corporatecolors">
      <a:dk1>
        <a:sysClr val="windowText" lastClr="000000"/>
      </a:dk1>
      <a:lt1>
        <a:sysClr val="window" lastClr="FFFFFF"/>
      </a:lt1>
      <a:dk2>
        <a:srgbClr val="003C96"/>
      </a:dk2>
      <a:lt2>
        <a:srgbClr val="D9D9D9"/>
      </a:lt2>
      <a:accent1>
        <a:srgbClr val="3A73AE"/>
      </a:accent1>
      <a:accent2>
        <a:srgbClr val="D1AA70"/>
      </a:accent2>
      <a:accent3>
        <a:srgbClr val="464646"/>
      </a:accent3>
      <a:accent4>
        <a:srgbClr val="FAB414"/>
      </a:accent4>
      <a:accent5>
        <a:srgbClr val="FF0000"/>
      </a:accent5>
      <a:accent6>
        <a:srgbClr val="00B050"/>
      </a:accent6>
      <a:hlink>
        <a:srgbClr val="0070C0"/>
      </a:hlink>
      <a:folHlink>
        <a:srgbClr val="7030A0"/>
      </a:folHlink>
    </a:clrScheme>
    <a:fontScheme name="Piraeus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corporatecolors">
    <a:dk1>
      <a:sysClr val="windowText" lastClr="000000"/>
    </a:dk1>
    <a:lt1>
      <a:sysClr val="window" lastClr="FFFFFF"/>
    </a:lt1>
    <a:dk2>
      <a:srgbClr val="003C96"/>
    </a:dk2>
    <a:lt2>
      <a:srgbClr val="D9D9D9"/>
    </a:lt2>
    <a:accent1>
      <a:srgbClr val="3A73AE"/>
    </a:accent1>
    <a:accent2>
      <a:srgbClr val="D1AA70"/>
    </a:accent2>
    <a:accent3>
      <a:srgbClr val="464646"/>
    </a:accent3>
    <a:accent4>
      <a:srgbClr val="FAB414"/>
    </a:accent4>
    <a:accent5>
      <a:srgbClr val="FF0000"/>
    </a:accent5>
    <a:accent6>
      <a:srgbClr val="00B050"/>
    </a:accent6>
    <a:hlink>
      <a:srgbClr val="0070C0"/>
    </a:hlink>
    <a:folHlink>
      <a:srgbClr val="7030A0"/>
    </a:folHlink>
  </a:clrScheme>
  <a:fontScheme name="PiraeusFonts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corporatecolors">
    <a:dk1>
      <a:sysClr val="windowText" lastClr="000000"/>
    </a:dk1>
    <a:lt1>
      <a:sysClr val="window" lastClr="FFFFFF"/>
    </a:lt1>
    <a:dk2>
      <a:srgbClr val="003C96"/>
    </a:dk2>
    <a:lt2>
      <a:srgbClr val="D9D9D9"/>
    </a:lt2>
    <a:accent1>
      <a:srgbClr val="3A73AE"/>
    </a:accent1>
    <a:accent2>
      <a:srgbClr val="D1AA70"/>
    </a:accent2>
    <a:accent3>
      <a:srgbClr val="464646"/>
    </a:accent3>
    <a:accent4>
      <a:srgbClr val="FAB414"/>
    </a:accent4>
    <a:accent5>
      <a:srgbClr val="FF0000"/>
    </a:accent5>
    <a:accent6>
      <a:srgbClr val="00B050"/>
    </a:accent6>
    <a:hlink>
      <a:srgbClr val="0070C0"/>
    </a:hlink>
    <a:folHlink>
      <a:srgbClr val="7030A0"/>
    </a:folHlink>
  </a:clrScheme>
  <a:fontScheme name="PiraeusFonts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corporatecolors">
    <a:dk1>
      <a:sysClr val="windowText" lastClr="000000"/>
    </a:dk1>
    <a:lt1>
      <a:sysClr val="window" lastClr="FFFFFF"/>
    </a:lt1>
    <a:dk2>
      <a:srgbClr val="003C96"/>
    </a:dk2>
    <a:lt2>
      <a:srgbClr val="D9D9D9"/>
    </a:lt2>
    <a:accent1>
      <a:srgbClr val="3A73AE"/>
    </a:accent1>
    <a:accent2>
      <a:srgbClr val="D1AA70"/>
    </a:accent2>
    <a:accent3>
      <a:srgbClr val="464646"/>
    </a:accent3>
    <a:accent4>
      <a:srgbClr val="FAB414"/>
    </a:accent4>
    <a:accent5>
      <a:srgbClr val="FF0000"/>
    </a:accent5>
    <a:accent6>
      <a:srgbClr val="00B050"/>
    </a:accent6>
    <a:hlink>
      <a:srgbClr val="0070C0"/>
    </a:hlink>
    <a:folHlink>
      <a:srgbClr val="7030A0"/>
    </a:folHlink>
  </a:clrScheme>
  <a:fontScheme name="PiraeusFonts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corporatecolors">
    <a:dk1>
      <a:sysClr val="windowText" lastClr="000000"/>
    </a:dk1>
    <a:lt1>
      <a:sysClr val="window" lastClr="FFFFFF"/>
    </a:lt1>
    <a:dk2>
      <a:srgbClr val="003C96"/>
    </a:dk2>
    <a:lt2>
      <a:srgbClr val="D9D9D9"/>
    </a:lt2>
    <a:accent1>
      <a:srgbClr val="3A73AE"/>
    </a:accent1>
    <a:accent2>
      <a:srgbClr val="D1AA70"/>
    </a:accent2>
    <a:accent3>
      <a:srgbClr val="464646"/>
    </a:accent3>
    <a:accent4>
      <a:srgbClr val="FAB414"/>
    </a:accent4>
    <a:accent5>
      <a:srgbClr val="FF0000"/>
    </a:accent5>
    <a:accent6>
      <a:srgbClr val="00B050"/>
    </a:accent6>
    <a:hlink>
      <a:srgbClr val="0070C0"/>
    </a:hlink>
    <a:folHlink>
      <a:srgbClr val="7030A0"/>
    </a:folHlink>
  </a:clrScheme>
  <a:fontScheme name="PiraeusFonts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corporatecolors">
    <a:dk1>
      <a:sysClr val="windowText" lastClr="000000"/>
    </a:dk1>
    <a:lt1>
      <a:sysClr val="window" lastClr="FFFFFF"/>
    </a:lt1>
    <a:dk2>
      <a:srgbClr val="003C96"/>
    </a:dk2>
    <a:lt2>
      <a:srgbClr val="D9D9D9"/>
    </a:lt2>
    <a:accent1>
      <a:srgbClr val="3A73AE"/>
    </a:accent1>
    <a:accent2>
      <a:srgbClr val="D1AA70"/>
    </a:accent2>
    <a:accent3>
      <a:srgbClr val="464646"/>
    </a:accent3>
    <a:accent4>
      <a:srgbClr val="FAB414"/>
    </a:accent4>
    <a:accent5>
      <a:srgbClr val="FF0000"/>
    </a:accent5>
    <a:accent6>
      <a:srgbClr val="00B050"/>
    </a:accent6>
    <a:hlink>
      <a:srgbClr val="0070C0"/>
    </a:hlink>
    <a:folHlink>
      <a:srgbClr val="7030A0"/>
    </a:folHlink>
  </a:clrScheme>
  <a:fontScheme name="PiraeusFonts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corporatecolors">
    <a:dk1>
      <a:sysClr val="windowText" lastClr="000000"/>
    </a:dk1>
    <a:lt1>
      <a:sysClr val="window" lastClr="FFFFFF"/>
    </a:lt1>
    <a:dk2>
      <a:srgbClr val="003C96"/>
    </a:dk2>
    <a:lt2>
      <a:srgbClr val="D9D9D9"/>
    </a:lt2>
    <a:accent1>
      <a:srgbClr val="3A73AE"/>
    </a:accent1>
    <a:accent2>
      <a:srgbClr val="D1AA70"/>
    </a:accent2>
    <a:accent3>
      <a:srgbClr val="464646"/>
    </a:accent3>
    <a:accent4>
      <a:srgbClr val="FAB414"/>
    </a:accent4>
    <a:accent5>
      <a:srgbClr val="FF0000"/>
    </a:accent5>
    <a:accent6>
      <a:srgbClr val="00B050"/>
    </a:accent6>
    <a:hlink>
      <a:srgbClr val="0070C0"/>
    </a:hlink>
    <a:folHlink>
      <a:srgbClr val="7030A0"/>
    </a:folHlink>
  </a:clrScheme>
  <a:fontScheme name="PiraeusFonts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corporatecolors">
    <a:dk1>
      <a:sysClr val="windowText" lastClr="000000"/>
    </a:dk1>
    <a:lt1>
      <a:sysClr val="window" lastClr="FFFFFF"/>
    </a:lt1>
    <a:dk2>
      <a:srgbClr val="003C96"/>
    </a:dk2>
    <a:lt2>
      <a:srgbClr val="D9D9D9"/>
    </a:lt2>
    <a:accent1>
      <a:srgbClr val="3A73AE"/>
    </a:accent1>
    <a:accent2>
      <a:srgbClr val="D1AA70"/>
    </a:accent2>
    <a:accent3>
      <a:srgbClr val="464646"/>
    </a:accent3>
    <a:accent4>
      <a:srgbClr val="FAB414"/>
    </a:accent4>
    <a:accent5>
      <a:srgbClr val="FF0000"/>
    </a:accent5>
    <a:accent6>
      <a:srgbClr val="00B050"/>
    </a:accent6>
    <a:hlink>
      <a:srgbClr val="0070C0"/>
    </a:hlink>
    <a:folHlink>
      <a:srgbClr val="7030A0"/>
    </a:folHlink>
  </a:clrScheme>
  <a:fontScheme name="PiraeusFonts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2F4E0-CFFA-49CE-8426-DF3E93E0F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4161</Words>
  <Characters>23720</Characters>
  <Application>Microsoft Office Word</Application>
  <DocSecurity>0</DocSecurity>
  <Lines>197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Μπερμπάτη Χρυσάνθη</dc:creator>
  <cp:lastModifiedBy>User</cp:lastModifiedBy>
  <cp:revision>2</cp:revision>
  <cp:lastPrinted>2017-11-27T13:57:00Z</cp:lastPrinted>
  <dcterms:created xsi:type="dcterms:W3CDTF">2017-11-28T15:42:00Z</dcterms:created>
  <dcterms:modified xsi:type="dcterms:W3CDTF">2017-11-28T15:42:00Z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2056465934</vt:i4>
  </property>
</Properties>
</file>