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9A" w:rsidRPr="00020ABC" w:rsidRDefault="002C0E3F" w:rsidP="0073379A">
      <w:pPr>
        <w:pStyle w:val="msotitle2"/>
        <w:widowControl w:val="0"/>
        <w:ind w:left="720" w:firstLine="720"/>
        <w:jc w:val="right"/>
        <w:rPr>
          <w:rFonts w:ascii="Arial" w:hAnsi="Arial" w:cs="Arial"/>
          <w:b w:val="0"/>
          <w:color w:val="000066"/>
          <w:sz w:val="18"/>
          <w:szCs w:val="18"/>
        </w:rPr>
      </w:pPr>
      <w:r>
        <w:rPr>
          <w:noProof/>
        </w:rPr>
        <w:pict>
          <v:rect id="_x0000_s1033" style="position:absolute;left:0;text-align:left;margin-left:-16.55pt;margin-top:5.1pt;width:457.6pt;height:27.05pt;z-index:251641344" fillcolor="navy">
            <v:textbox style="mso-next-textbox:#_x0000_s1033">
              <w:txbxContent>
                <w:p w:rsidR="00050234" w:rsidRPr="005B7CDE" w:rsidRDefault="00050234" w:rsidP="0073379A">
                  <w:pPr>
                    <w:pStyle w:val="msotitle2"/>
                    <w:widowControl w:val="0"/>
                    <w:jc w:val="center"/>
                    <w:rPr>
                      <w:sz w:val="52"/>
                    </w:rPr>
                  </w:pPr>
                  <w:r>
                    <w:rPr>
                      <w:rFonts w:ascii="Arial" w:hAnsi="Arial" w:cs="Arial"/>
                      <w:color w:val="FFFFFF"/>
                      <w:sz w:val="32"/>
                      <w:szCs w:val="36"/>
                    </w:rPr>
                    <w:t xml:space="preserve">Οικονομικά Στοιχεία </w:t>
                  </w:r>
                  <w:r w:rsidR="004D79C4">
                    <w:rPr>
                      <w:rFonts w:ascii="Arial" w:hAnsi="Arial" w:cs="Arial"/>
                      <w:color w:val="FFFFFF"/>
                      <w:sz w:val="32"/>
                      <w:szCs w:val="36"/>
                    </w:rPr>
                    <w:t>Έτους</w:t>
                  </w:r>
                  <w:r w:rsidRPr="005B7CDE">
                    <w:rPr>
                      <w:rFonts w:ascii="Arial" w:hAnsi="Arial" w:cs="Arial"/>
                      <w:color w:val="FFFFFF"/>
                      <w:sz w:val="32"/>
                      <w:szCs w:val="36"/>
                    </w:rPr>
                    <w:t xml:space="preserve"> 20</w:t>
                  </w:r>
                  <w:r w:rsidRPr="005B7CDE">
                    <w:rPr>
                      <w:rFonts w:ascii="Arial" w:hAnsi="Arial" w:cs="Arial"/>
                      <w:color w:val="FFFFFF"/>
                      <w:sz w:val="32"/>
                      <w:szCs w:val="36"/>
                      <w:lang w:val="en-US"/>
                    </w:rPr>
                    <w:t>1</w:t>
                  </w:r>
                  <w:r w:rsidR="00337AEF">
                    <w:rPr>
                      <w:rFonts w:ascii="Arial" w:hAnsi="Arial" w:cs="Arial"/>
                      <w:color w:val="FFFFFF"/>
                      <w:sz w:val="32"/>
                      <w:szCs w:val="36"/>
                      <w:lang w:val="en-US"/>
                    </w:rPr>
                    <w:t>6</w:t>
                  </w:r>
                </w:p>
              </w:txbxContent>
            </v:textbox>
          </v:rect>
        </w:pict>
      </w:r>
      <w:r w:rsidR="00B512DF">
        <w:rPr>
          <w:rFonts w:ascii="Arial" w:hAnsi="Arial" w:cs="Arial"/>
          <w:noProof/>
          <w:color w:val="000080"/>
          <w:sz w:val="17"/>
          <w:szCs w:val="17"/>
        </w:rPr>
        <w:pict>
          <v:roundrect id="_x0000_s1434" style="position:absolute;left:0;text-align:left;margin-left:-29.6pt;margin-top:75.4pt;width:490.65pt;height:704.6pt;z-index:-251653632;visibility:visible;mso-wrap-edited:f;mso-wrap-distance-left:2.88pt;mso-wrap-distance-top:2.88pt;mso-wrap-distance-right:2.88pt;mso-wrap-distance-bottom:2.88pt;mso-position-vertical-relative:page" arcsize="2658f" fillcolor="#dfe4e9" stroked="f" strokecolor="#e5f0f5" insetpen="t" o:cliptowrap="t">
            <v:shadow color="#ccc"/>
            <o:lock v:ext="edit" shapetype="t"/>
            <v:textbox inset="2.88pt,2.88pt,2.88pt,2.88pt"/>
            <w10:wrap anchory="page"/>
          </v:roundrect>
        </w:pict>
      </w:r>
      <w:r w:rsidR="0073379A">
        <w:rPr>
          <w:rFonts w:ascii="Arial" w:hAnsi="Arial" w:cs="Arial"/>
          <w:b w:val="0"/>
          <w:color w:val="000080"/>
          <w:sz w:val="18"/>
          <w:szCs w:val="18"/>
        </w:rPr>
        <w:t xml:space="preserve">  </w:t>
      </w:r>
      <w:bookmarkStart w:id="0" w:name="OLE_LINK9"/>
      <w:bookmarkStart w:id="1" w:name="OLE_LINK10"/>
    </w:p>
    <w:p w:rsidR="003B09F1" w:rsidRPr="00F8065A" w:rsidRDefault="003B09F1" w:rsidP="003B09F1">
      <w:pPr>
        <w:pStyle w:val="2"/>
        <w:spacing w:line="240" w:lineRule="auto"/>
        <w:ind w:right="181"/>
        <w:jc w:val="both"/>
        <w:rPr>
          <w:bCs/>
          <w:color w:val="000080"/>
          <w:sz w:val="17"/>
          <w:szCs w:val="17"/>
          <w:lang w:val="en-US"/>
        </w:rPr>
      </w:pPr>
    </w:p>
    <w:p w:rsidR="004512E8" w:rsidRDefault="004512E8" w:rsidP="004512E8">
      <w:pPr>
        <w:pStyle w:val="2"/>
        <w:spacing w:line="240" w:lineRule="auto"/>
        <w:ind w:right="181"/>
        <w:jc w:val="both"/>
        <w:rPr>
          <w:bCs/>
          <w:color w:val="000080"/>
          <w:sz w:val="17"/>
          <w:szCs w:val="17"/>
        </w:rPr>
      </w:pPr>
    </w:p>
    <w:p w:rsidR="00667B68" w:rsidRDefault="00667B68" w:rsidP="004512E8">
      <w:pPr>
        <w:pStyle w:val="2"/>
        <w:spacing w:line="240" w:lineRule="auto"/>
        <w:ind w:right="181"/>
        <w:jc w:val="both"/>
        <w:rPr>
          <w:bCs/>
          <w:color w:val="000080"/>
          <w:sz w:val="17"/>
          <w:szCs w:val="17"/>
          <w:lang w:val="en-US"/>
        </w:rPr>
      </w:pPr>
    </w:p>
    <w:p w:rsidR="006E06BB" w:rsidRDefault="006E06BB" w:rsidP="004512E8">
      <w:pPr>
        <w:pStyle w:val="2"/>
        <w:spacing w:line="240" w:lineRule="auto"/>
        <w:ind w:right="181"/>
        <w:jc w:val="both"/>
        <w:rPr>
          <w:bCs/>
          <w:color w:val="000080"/>
          <w:sz w:val="17"/>
          <w:szCs w:val="17"/>
          <w:lang w:val="en-US"/>
        </w:rPr>
      </w:pPr>
    </w:p>
    <w:p w:rsidR="006E06BB" w:rsidRPr="006E06BB" w:rsidRDefault="006E06BB" w:rsidP="004512E8">
      <w:pPr>
        <w:pStyle w:val="2"/>
        <w:spacing w:line="240" w:lineRule="auto"/>
        <w:ind w:right="181"/>
        <w:jc w:val="both"/>
        <w:rPr>
          <w:bCs/>
          <w:color w:val="000080"/>
          <w:sz w:val="17"/>
          <w:szCs w:val="17"/>
          <w:lang w:val="en-US"/>
        </w:rPr>
      </w:pPr>
    </w:p>
    <w:p w:rsidR="00643B2F" w:rsidRDefault="00643B2F" w:rsidP="00643B2F">
      <w:pPr>
        <w:pStyle w:val="2"/>
        <w:ind w:right="181"/>
        <w:jc w:val="both"/>
        <w:rPr>
          <w:bCs/>
          <w:color w:val="000080"/>
          <w:sz w:val="20"/>
          <w:szCs w:val="17"/>
        </w:rPr>
      </w:pPr>
    </w:p>
    <w:p w:rsidR="00FC26F4" w:rsidRPr="006E06BB" w:rsidRDefault="00B714A2" w:rsidP="00383DB3">
      <w:pPr>
        <w:pStyle w:val="2"/>
        <w:numPr>
          <w:ilvl w:val="0"/>
          <w:numId w:val="1"/>
        </w:numPr>
        <w:tabs>
          <w:tab w:val="clear" w:pos="720"/>
        </w:tabs>
        <w:ind w:left="0" w:right="609" w:firstLine="0"/>
        <w:jc w:val="both"/>
        <w:rPr>
          <w:bCs/>
          <w:color w:val="000080"/>
          <w:sz w:val="20"/>
          <w:szCs w:val="17"/>
        </w:rPr>
      </w:pPr>
      <w:r w:rsidRPr="006E06BB">
        <w:rPr>
          <w:bCs/>
          <w:color w:val="000080"/>
          <w:sz w:val="20"/>
          <w:szCs w:val="17"/>
        </w:rPr>
        <w:t>Καθαρά Κέρδη €</w:t>
      </w:r>
      <w:r w:rsidR="004D79C4" w:rsidRPr="006E06BB">
        <w:rPr>
          <w:bCs/>
          <w:color w:val="000080"/>
          <w:sz w:val="20"/>
          <w:szCs w:val="17"/>
        </w:rPr>
        <w:t>2</w:t>
      </w:r>
      <w:r w:rsidR="004D79C4">
        <w:rPr>
          <w:bCs/>
          <w:color w:val="000080"/>
          <w:sz w:val="20"/>
          <w:szCs w:val="17"/>
        </w:rPr>
        <w:t>30</w:t>
      </w:r>
      <w:r w:rsidR="004D79C4" w:rsidRPr="006E06BB">
        <w:rPr>
          <w:bCs/>
          <w:color w:val="000080"/>
          <w:sz w:val="20"/>
          <w:szCs w:val="17"/>
        </w:rPr>
        <w:t>εκ. το 2016</w:t>
      </w:r>
      <w:r w:rsidR="004D79C4" w:rsidRPr="006E06BB">
        <w:rPr>
          <w:b w:val="0"/>
          <w:bCs/>
          <w:color w:val="000080"/>
          <w:sz w:val="20"/>
          <w:szCs w:val="17"/>
        </w:rPr>
        <w:t xml:space="preserve"> </w:t>
      </w:r>
      <w:r w:rsidR="004D79C4" w:rsidRPr="004D79C4">
        <w:rPr>
          <w:bCs/>
          <w:color w:val="000080"/>
          <w:sz w:val="20"/>
          <w:szCs w:val="17"/>
        </w:rPr>
        <w:t>έναντι ζημιών €1,2δισ. το 2015</w:t>
      </w:r>
    </w:p>
    <w:p w:rsidR="00FC26F4" w:rsidRPr="006E06BB" w:rsidRDefault="00FC26F4" w:rsidP="00383DB3">
      <w:pPr>
        <w:pStyle w:val="a8"/>
        <w:spacing w:line="360" w:lineRule="auto"/>
        <w:ind w:right="609"/>
        <w:rPr>
          <w:bCs/>
          <w:color w:val="000080"/>
          <w:szCs w:val="17"/>
        </w:rPr>
      </w:pPr>
    </w:p>
    <w:p w:rsidR="00CB5F26" w:rsidRPr="006E06BB" w:rsidRDefault="00CB5F26" w:rsidP="00CB5F26">
      <w:pPr>
        <w:pStyle w:val="2"/>
        <w:numPr>
          <w:ilvl w:val="0"/>
          <w:numId w:val="1"/>
        </w:numPr>
        <w:tabs>
          <w:tab w:val="clear" w:pos="720"/>
        </w:tabs>
        <w:ind w:left="709" w:right="609" w:hanging="709"/>
        <w:jc w:val="both"/>
        <w:rPr>
          <w:bCs/>
          <w:color w:val="000080"/>
          <w:sz w:val="20"/>
          <w:szCs w:val="17"/>
        </w:rPr>
      </w:pPr>
      <w:r w:rsidRPr="006E06BB">
        <w:rPr>
          <w:bCs/>
          <w:color w:val="000080"/>
          <w:sz w:val="20"/>
          <w:szCs w:val="17"/>
        </w:rPr>
        <w:t xml:space="preserve">Αύξηση οργανικών κερδών προ προβλέψεων κατά </w:t>
      </w:r>
      <w:r w:rsidR="004D79C4" w:rsidRPr="006E06BB">
        <w:rPr>
          <w:bCs/>
          <w:color w:val="000080"/>
          <w:sz w:val="20"/>
          <w:szCs w:val="17"/>
        </w:rPr>
        <w:t>2</w:t>
      </w:r>
      <w:r w:rsidR="004D79C4">
        <w:rPr>
          <w:bCs/>
          <w:color w:val="000080"/>
          <w:sz w:val="20"/>
          <w:szCs w:val="17"/>
        </w:rPr>
        <w:t>6,8</w:t>
      </w:r>
      <w:r w:rsidR="004D79C4" w:rsidRPr="006E06BB">
        <w:rPr>
          <w:bCs/>
          <w:color w:val="000080"/>
          <w:sz w:val="20"/>
          <w:szCs w:val="17"/>
        </w:rPr>
        <w:t>%</w:t>
      </w:r>
      <w:r w:rsidR="004D79C4" w:rsidRPr="006E06BB">
        <w:rPr>
          <w:bCs/>
          <w:color w:val="000080"/>
          <w:sz w:val="20"/>
          <w:szCs w:val="17"/>
          <w:vertAlign w:val="superscript"/>
        </w:rPr>
        <w:t>1</w:t>
      </w:r>
      <w:r w:rsidR="004D79C4" w:rsidRPr="006E06BB">
        <w:rPr>
          <w:bCs/>
          <w:color w:val="000080"/>
          <w:sz w:val="20"/>
          <w:szCs w:val="17"/>
        </w:rPr>
        <w:t xml:space="preserve"> το 2016 και κατά </w:t>
      </w:r>
      <w:r>
        <w:rPr>
          <w:bCs/>
          <w:color w:val="000080"/>
          <w:sz w:val="20"/>
          <w:szCs w:val="17"/>
        </w:rPr>
        <w:t>5,0</w:t>
      </w:r>
      <w:r w:rsidRPr="006E06BB">
        <w:rPr>
          <w:bCs/>
          <w:color w:val="000080"/>
          <w:sz w:val="20"/>
          <w:szCs w:val="17"/>
        </w:rPr>
        <w:t xml:space="preserve">% το </w:t>
      </w:r>
      <w:r>
        <w:rPr>
          <w:bCs/>
          <w:color w:val="000080"/>
          <w:sz w:val="20"/>
          <w:szCs w:val="17"/>
        </w:rPr>
        <w:t>Δ</w:t>
      </w:r>
      <w:r w:rsidRPr="006E06BB">
        <w:rPr>
          <w:bCs/>
          <w:color w:val="000080"/>
          <w:sz w:val="20"/>
          <w:szCs w:val="17"/>
        </w:rPr>
        <w:t>΄ τρίμηνο</w:t>
      </w:r>
      <w:r w:rsidR="004D79C4">
        <w:rPr>
          <w:bCs/>
          <w:color w:val="000080"/>
          <w:sz w:val="20"/>
          <w:szCs w:val="17"/>
        </w:rPr>
        <w:t xml:space="preserve"> του έτους</w:t>
      </w:r>
      <w:r w:rsidRPr="006E06BB">
        <w:rPr>
          <w:bCs/>
          <w:color w:val="000080"/>
          <w:sz w:val="20"/>
          <w:szCs w:val="17"/>
        </w:rPr>
        <w:t xml:space="preserve"> </w:t>
      </w:r>
    </w:p>
    <w:p w:rsidR="00CB5F26" w:rsidRPr="00CB5F26" w:rsidRDefault="00CB5F26" w:rsidP="00CB5F26">
      <w:pPr>
        <w:pStyle w:val="2"/>
        <w:ind w:left="709" w:right="609"/>
        <w:jc w:val="both"/>
        <w:rPr>
          <w:bCs/>
          <w:color w:val="000080"/>
          <w:sz w:val="20"/>
          <w:szCs w:val="17"/>
        </w:rPr>
      </w:pPr>
    </w:p>
    <w:p w:rsidR="001B0F07" w:rsidRPr="006E06BB" w:rsidRDefault="00226077" w:rsidP="00383DB3">
      <w:pPr>
        <w:pStyle w:val="2"/>
        <w:numPr>
          <w:ilvl w:val="0"/>
          <w:numId w:val="1"/>
        </w:numPr>
        <w:tabs>
          <w:tab w:val="clear" w:pos="720"/>
        </w:tabs>
        <w:ind w:left="709" w:right="609" w:hanging="709"/>
        <w:jc w:val="both"/>
        <w:rPr>
          <w:bCs/>
          <w:color w:val="000080"/>
          <w:sz w:val="20"/>
          <w:szCs w:val="17"/>
        </w:rPr>
      </w:pPr>
      <w:r>
        <w:rPr>
          <w:bCs/>
          <w:color w:val="000080"/>
          <w:sz w:val="20"/>
          <w:szCs w:val="17"/>
        </w:rPr>
        <w:t>Κ</w:t>
      </w:r>
      <w:r w:rsidR="001B0F07" w:rsidRPr="006E06BB">
        <w:rPr>
          <w:bCs/>
          <w:color w:val="000080"/>
          <w:sz w:val="20"/>
          <w:szCs w:val="17"/>
        </w:rPr>
        <w:t>αθαρ</w:t>
      </w:r>
      <w:r>
        <w:rPr>
          <w:bCs/>
          <w:color w:val="000080"/>
          <w:sz w:val="20"/>
          <w:szCs w:val="17"/>
        </w:rPr>
        <w:t>ά</w:t>
      </w:r>
      <w:r w:rsidR="001B0F07" w:rsidRPr="006E06BB">
        <w:rPr>
          <w:bCs/>
          <w:color w:val="000080"/>
          <w:sz w:val="20"/>
          <w:szCs w:val="17"/>
        </w:rPr>
        <w:t xml:space="preserve"> </w:t>
      </w:r>
      <w:r>
        <w:rPr>
          <w:bCs/>
          <w:color w:val="000080"/>
          <w:sz w:val="20"/>
          <w:szCs w:val="17"/>
        </w:rPr>
        <w:t>έσοδα</w:t>
      </w:r>
      <w:r w:rsidR="001B0F07" w:rsidRPr="006E06BB">
        <w:rPr>
          <w:bCs/>
          <w:color w:val="000080"/>
          <w:sz w:val="20"/>
          <w:szCs w:val="17"/>
        </w:rPr>
        <w:t xml:space="preserve"> από τόκους</w:t>
      </w:r>
      <w:r>
        <w:rPr>
          <w:bCs/>
          <w:color w:val="000080"/>
          <w:sz w:val="20"/>
          <w:szCs w:val="17"/>
        </w:rPr>
        <w:t xml:space="preserve"> </w:t>
      </w:r>
      <w:r w:rsidR="004D79C4">
        <w:rPr>
          <w:bCs/>
          <w:color w:val="000080"/>
          <w:sz w:val="20"/>
          <w:szCs w:val="17"/>
        </w:rPr>
        <w:t xml:space="preserve">αυξημένα κατά </w:t>
      </w:r>
      <w:r>
        <w:rPr>
          <w:bCs/>
          <w:color w:val="000080"/>
          <w:sz w:val="20"/>
          <w:szCs w:val="17"/>
        </w:rPr>
        <w:t xml:space="preserve">5,8% </w:t>
      </w:r>
      <w:r w:rsidR="004D79C4">
        <w:rPr>
          <w:bCs/>
          <w:color w:val="000080"/>
          <w:sz w:val="20"/>
          <w:szCs w:val="17"/>
        </w:rPr>
        <w:t>το 2016</w:t>
      </w:r>
    </w:p>
    <w:p w:rsidR="001B0F07" w:rsidRPr="006E06BB" w:rsidRDefault="001B0F07" w:rsidP="00383DB3">
      <w:pPr>
        <w:pStyle w:val="a8"/>
        <w:spacing w:line="360" w:lineRule="auto"/>
        <w:ind w:right="609"/>
        <w:rPr>
          <w:bCs/>
          <w:color w:val="000080"/>
          <w:szCs w:val="17"/>
        </w:rPr>
      </w:pPr>
    </w:p>
    <w:p w:rsidR="002C33F8" w:rsidRPr="006E06BB" w:rsidRDefault="00A851FA" w:rsidP="00383DB3">
      <w:pPr>
        <w:pStyle w:val="2"/>
        <w:numPr>
          <w:ilvl w:val="0"/>
          <w:numId w:val="1"/>
        </w:numPr>
        <w:tabs>
          <w:tab w:val="clear" w:pos="720"/>
        </w:tabs>
        <w:ind w:left="0" w:right="609" w:firstLine="0"/>
        <w:jc w:val="both"/>
        <w:rPr>
          <w:bCs/>
          <w:color w:val="000080"/>
          <w:sz w:val="20"/>
          <w:szCs w:val="17"/>
        </w:rPr>
      </w:pPr>
      <w:r w:rsidRPr="006E06BB">
        <w:rPr>
          <w:bCs/>
          <w:color w:val="000080"/>
          <w:sz w:val="20"/>
          <w:szCs w:val="17"/>
        </w:rPr>
        <w:t xml:space="preserve">Αύξηση </w:t>
      </w:r>
      <w:r w:rsidR="002C33F8" w:rsidRPr="006E06BB">
        <w:rPr>
          <w:bCs/>
          <w:color w:val="000080"/>
          <w:sz w:val="20"/>
          <w:szCs w:val="17"/>
        </w:rPr>
        <w:t xml:space="preserve">εσόδων από προμήθειες </w:t>
      </w:r>
      <w:r w:rsidR="004D79C4" w:rsidRPr="006E06BB">
        <w:rPr>
          <w:bCs/>
          <w:color w:val="000080"/>
          <w:sz w:val="20"/>
          <w:szCs w:val="17"/>
        </w:rPr>
        <w:t>κατά</w:t>
      </w:r>
      <w:r w:rsidR="004D79C4">
        <w:rPr>
          <w:bCs/>
          <w:color w:val="000080"/>
          <w:sz w:val="20"/>
          <w:szCs w:val="17"/>
        </w:rPr>
        <w:t xml:space="preserve"> </w:t>
      </w:r>
      <w:r w:rsidR="00643B2F">
        <w:rPr>
          <w:bCs/>
          <w:color w:val="000080"/>
          <w:sz w:val="20"/>
          <w:szCs w:val="17"/>
        </w:rPr>
        <w:t>22,2% το 2016</w:t>
      </w:r>
      <w:r w:rsidR="002C33F8" w:rsidRPr="006E06BB">
        <w:rPr>
          <w:bCs/>
          <w:color w:val="000080"/>
          <w:sz w:val="20"/>
          <w:szCs w:val="17"/>
        </w:rPr>
        <w:t xml:space="preserve"> </w:t>
      </w:r>
      <w:r w:rsidR="004D79C4">
        <w:rPr>
          <w:bCs/>
          <w:color w:val="000080"/>
          <w:sz w:val="20"/>
          <w:szCs w:val="17"/>
        </w:rPr>
        <w:t>και</w:t>
      </w:r>
      <w:r w:rsidR="004D79C4" w:rsidRPr="006E06BB">
        <w:rPr>
          <w:bCs/>
          <w:color w:val="000080"/>
          <w:sz w:val="20"/>
          <w:szCs w:val="17"/>
        </w:rPr>
        <w:t xml:space="preserve"> 7</w:t>
      </w:r>
      <w:r w:rsidR="004D79C4">
        <w:rPr>
          <w:bCs/>
          <w:color w:val="000080"/>
          <w:sz w:val="20"/>
          <w:szCs w:val="17"/>
        </w:rPr>
        <w:t>,6</w:t>
      </w:r>
      <w:r w:rsidR="004D79C4" w:rsidRPr="006E06BB">
        <w:rPr>
          <w:bCs/>
          <w:color w:val="000080"/>
          <w:sz w:val="20"/>
          <w:szCs w:val="17"/>
        </w:rPr>
        <w:t xml:space="preserve">% </w:t>
      </w:r>
      <w:r w:rsidR="004D79C4">
        <w:rPr>
          <w:bCs/>
          <w:color w:val="000080"/>
          <w:sz w:val="20"/>
          <w:szCs w:val="17"/>
        </w:rPr>
        <w:t>το Δ΄ τρίμηνο</w:t>
      </w:r>
    </w:p>
    <w:p w:rsidR="002C33F8" w:rsidRPr="006E06BB" w:rsidRDefault="002C33F8" w:rsidP="00383DB3">
      <w:pPr>
        <w:pStyle w:val="a8"/>
        <w:spacing w:line="360" w:lineRule="auto"/>
        <w:ind w:right="609"/>
        <w:rPr>
          <w:bCs/>
          <w:color w:val="000080"/>
          <w:szCs w:val="17"/>
        </w:rPr>
      </w:pPr>
    </w:p>
    <w:p w:rsidR="002C33F8" w:rsidRPr="006E06BB" w:rsidRDefault="002C33F8" w:rsidP="00383DB3">
      <w:pPr>
        <w:pStyle w:val="2"/>
        <w:numPr>
          <w:ilvl w:val="0"/>
          <w:numId w:val="1"/>
        </w:numPr>
        <w:tabs>
          <w:tab w:val="clear" w:pos="720"/>
        </w:tabs>
        <w:ind w:left="0" w:right="609" w:firstLine="0"/>
        <w:jc w:val="both"/>
        <w:rPr>
          <w:bCs/>
          <w:color w:val="000080"/>
          <w:sz w:val="20"/>
          <w:szCs w:val="17"/>
        </w:rPr>
      </w:pPr>
      <w:r w:rsidRPr="006E06BB">
        <w:rPr>
          <w:bCs/>
          <w:color w:val="000080"/>
          <w:sz w:val="20"/>
          <w:szCs w:val="17"/>
        </w:rPr>
        <w:t xml:space="preserve">Μείωση λειτουργικών δαπανών </w:t>
      </w:r>
      <w:r w:rsidR="000E240A" w:rsidRPr="006E06BB">
        <w:rPr>
          <w:bCs/>
          <w:color w:val="000080"/>
          <w:sz w:val="20"/>
          <w:szCs w:val="17"/>
        </w:rPr>
        <w:t xml:space="preserve">στην Ελλάδα </w:t>
      </w:r>
      <w:r w:rsidR="00B81568" w:rsidRPr="006E06BB">
        <w:rPr>
          <w:bCs/>
          <w:color w:val="000080"/>
          <w:sz w:val="20"/>
          <w:szCs w:val="17"/>
        </w:rPr>
        <w:t xml:space="preserve">κατά </w:t>
      </w:r>
      <w:r w:rsidR="00226077">
        <w:rPr>
          <w:bCs/>
          <w:color w:val="000080"/>
          <w:sz w:val="20"/>
          <w:szCs w:val="17"/>
        </w:rPr>
        <w:t>5,5</w:t>
      </w:r>
      <w:r w:rsidR="00BE0A58" w:rsidRPr="006E06BB">
        <w:rPr>
          <w:bCs/>
          <w:color w:val="000080"/>
          <w:sz w:val="20"/>
          <w:szCs w:val="17"/>
        </w:rPr>
        <w:t>%</w:t>
      </w:r>
      <w:r w:rsidR="000D4C18" w:rsidRPr="006E06BB">
        <w:rPr>
          <w:rStyle w:val="a7"/>
          <w:bCs/>
          <w:color w:val="000080"/>
          <w:sz w:val="20"/>
          <w:szCs w:val="17"/>
        </w:rPr>
        <w:footnoteReference w:id="2"/>
      </w:r>
      <w:r w:rsidR="000D4C18" w:rsidRPr="006E06BB">
        <w:rPr>
          <w:bCs/>
          <w:color w:val="000080"/>
          <w:sz w:val="20"/>
          <w:szCs w:val="17"/>
        </w:rPr>
        <w:t xml:space="preserve"> </w:t>
      </w:r>
      <w:r w:rsidR="00A2005B" w:rsidRPr="006E06BB">
        <w:rPr>
          <w:bCs/>
          <w:color w:val="000080"/>
          <w:sz w:val="20"/>
          <w:szCs w:val="17"/>
        </w:rPr>
        <w:t xml:space="preserve">σε </w:t>
      </w:r>
      <w:r w:rsidR="00553998" w:rsidRPr="006E06BB">
        <w:rPr>
          <w:bCs/>
          <w:color w:val="000080"/>
          <w:sz w:val="20"/>
          <w:szCs w:val="17"/>
        </w:rPr>
        <w:t xml:space="preserve">ετήσια βάση </w:t>
      </w:r>
    </w:p>
    <w:p w:rsidR="009E7057" w:rsidRPr="006E06BB" w:rsidRDefault="009E7057" w:rsidP="00383DB3">
      <w:pPr>
        <w:pStyle w:val="2"/>
        <w:ind w:right="609"/>
        <w:jc w:val="both"/>
        <w:rPr>
          <w:bCs/>
          <w:color w:val="000080"/>
          <w:sz w:val="20"/>
          <w:szCs w:val="17"/>
        </w:rPr>
      </w:pPr>
    </w:p>
    <w:p w:rsidR="00271D97" w:rsidRDefault="00535C53" w:rsidP="00535C53">
      <w:pPr>
        <w:pStyle w:val="2"/>
        <w:numPr>
          <w:ilvl w:val="0"/>
          <w:numId w:val="1"/>
        </w:numPr>
        <w:tabs>
          <w:tab w:val="clear" w:pos="720"/>
        </w:tabs>
        <w:ind w:left="709" w:right="609" w:hanging="709"/>
        <w:jc w:val="both"/>
        <w:rPr>
          <w:bCs/>
          <w:color w:val="000080"/>
          <w:sz w:val="20"/>
          <w:szCs w:val="17"/>
        </w:rPr>
      </w:pPr>
      <w:r>
        <w:rPr>
          <w:bCs/>
          <w:color w:val="000080"/>
          <w:sz w:val="20"/>
          <w:szCs w:val="17"/>
        </w:rPr>
        <w:t>Νέα μ</w:t>
      </w:r>
      <w:r w:rsidR="003C0FF1">
        <w:rPr>
          <w:bCs/>
          <w:color w:val="000080"/>
          <w:sz w:val="20"/>
          <w:szCs w:val="17"/>
        </w:rPr>
        <w:t>η</w:t>
      </w:r>
      <w:r w:rsidR="00271D97" w:rsidRPr="006E06BB">
        <w:rPr>
          <w:bCs/>
          <w:color w:val="000080"/>
          <w:sz w:val="20"/>
          <w:szCs w:val="17"/>
        </w:rPr>
        <w:t xml:space="preserve"> εξυπηρετούμενα ανοίγματα (</w:t>
      </w:r>
      <w:r w:rsidR="00271D97" w:rsidRPr="006E06BB">
        <w:rPr>
          <w:bCs/>
          <w:color w:val="000080"/>
          <w:sz w:val="20"/>
          <w:szCs w:val="17"/>
          <w:lang w:val="en-US"/>
        </w:rPr>
        <w:t>NPEs</w:t>
      </w:r>
      <w:r w:rsidR="00271D97" w:rsidRPr="006E06BB">
        <w:rPr>
          <w:bCs/>
          <w:color w:val="000080"/>
          <w:sz w:val="20"/>
          <w:szCs w:val="17"/>
        </w:rPr>
        <w:t>)</w:t>
      </w:r>
      <w:r w:rsidR="003C0FF1">
        <w:rPr>
          <w:bCs/>
          <w:color w:val="000080"/>
          <w:sz w:val="20"/>
          <w:szCs w:val="17"/>
        </w:rPr>
        <w:t xml:space="preserve"> σε αρνητικό έδαφος</w:t>
      </w:r>
      <w:r w:rsidR="00271D97" w:rsidRPr="006E06BB">
        <w:rPr>
          <w:bCs/>
          <w:color w:val="000080"/>
          <w:sz w:val="20"/>
          <w:szCs w:val="17"/>
        </w:rPr>
        <w:t xml:space="preserve"> </w:t>
      </w:r>
      <w:r w:rsidR="00B9295B">
        <w:rPr>
          <w:bCs/>
          <w:color w:val="000080"/>
          <w:sz w:val="20"/>
          <w:szCs w:val="17"/>
        </w:rPr>
        <w:t>για 1</w:t>
      </w:r>
      <w:r w:rsidR="00B9295B" w:rsidRPr="00B9295B">
        <w:rPr>
          <w:bCs/>
          <w:color w:val="000080"/>
          <w:sz w:val="20"/>
          <w:szCs w:val="17"/>
          <w:vertAlign w:val="superscript"/>
        </w:rPr>
        <w:t>η</w:t>
      </w:r>
      <w:r w:rsidR="00B9295B">
        <w:rPr>
          <w:bCs/>
          <w:color w:val="000080"/>
          <w:sz w:val="20"/>
          <w:szCs w:val="17"/>
        </w:rPr>
        <w:t xml:space="preserve"> φορά </w:t>
      </w:r>
      <w:r w:rsidR="00226077">
        <w:rPr>
          <w:bCs/>
          <w:color w:val="000080"/>
          <w:sz w:val="20"/>
          <w:szCs w:val="17"/>
        </w:rPr>
        <w:t>το Δ΄ τρίμηνο 2016</w:t>
      </w:r>
      <w:r w:rsidR="00271D97" w:rsidRPr="006E06BB">
        <w:rPr>
          <w:bCs/>
          <w:color w:val="000080"/>
          <w:sz w:val="20"/>
          <w:szCs w:val="17"/>
        </w:rPr>
        <w:t xml:space="preserve">  </w:t>
      </w:r>
      <w:r>
        <w:rPr>
          <w:bCs/>
          <w:color w:val="000080"/>
          <w:sz w:val="20"/>
          <w:szCs w:val="17"/>
        </w:rPr>
        <w:t>(-€108εκ.)</w:t>
      </w:r>
    </w:p>
    <w:p w:rsidR="004D79C4" w:rsidRDefault="004D79C4" w:rsidP="004D79C4">
      <w:pPr>
        <w:pStyle w:val="a8"/>
        <w:rPr>
          <w:bCs/>
          <w:color w:val="000080"/>
          <w:szCs w:val="17"/>
        </w:rPr>
      </w:pPr>
    </w:p>
    <w:p w:rsidR="004D79C4" w:rsidRPr="006E06BB" w:rsidRDefault="004D79C4" w:rsidP="00535C53">
      <w:pPr>
        <w:pStyle w:val="2"/>
        <w:numPr>
          <w:ilvl w:val="0"/>
          <w:numId w:val="1"/>
        </w:numPr>
        <w:tabs>
          <w:tab w:val="clear" w:pos="720"/>
        </w:tabs>
        <w:ind w:left="709" w:right="609" w:hanging="709"/>
        <w:jc w:val="both"/>
        <w:rPr>
          <w:bCs/>
          <w:color w:val="000080"/>
          <w:sz w:val="20"/>
          <w:szCs w:val="17"/>
        </w:rPr>
      </w:pPr>
      <w:r>
        <w:rPr>
          <w:bCs/>
          <w:color w:val="000080"/>
          <w:sz w:val="20"/>
          <w:szCs w:val="17"/>
        </w:rPr>
        <w:t xml:space="preserve">Μείωση δείκτη </w:t>
      </w:r>
      <w:r>
        <w:rPr>
          <w:bCs/>
          <w:color w:val="000080"/>
          <w:sz w:val="20"/>
          <w:szCs w:val="17"/>
          <w:lang w:val="en-US"/>
        </w:rPr>
        <w:t>NPEs</w:t>
      </w:r>
      <w:r w:rsidRPr="004D79C4">
        <w:rPr>
          <w:bCs/>
          <w:color w:val="000080"/>
          <w:sz w:val="20"/>
          <w:szCs w:val="17"/>
        </w:rPr>
        <w:t xml:space="preserve"> </w:t>
      </w:r>
      <w:r>
        <w:rPr>
          <w:bCs/>
          <w:color w:val="000080"/>
          <w:sz w:val="20"/>
          <w:szCs w:val="17"/>
        </w:rPr>
        <w:t>κατά 40 μονάδες βάσης το Δ΄ τρίμηνο 2016</w:t>
      </w:r>
    </w:p>
    <w:p w:rsidR="00271D97" w:rsidRPr="006E06BB" w:rsidRDefault="00271D97" w:rsidP="00383DB3">
      <w:pPr>
        <w:pStyle w:val="a8"/>
        <w:spacing w:line="360" w:lineRule="auto"/>
        <w:ind w:right="609"/>
        <w:rPr>
          <w:bCs/>
          <w:color w:val="000080"/>
          <w:szCs w:val="17"/>
        </w:rPr>
      </w:pPr>
    </w:p>
    <w:p w:rsidR="00B5553B" w:rsidRPr="006E06BB" w:rsidRDefault="00F033AD" w:rsidP="00383DB3">
      <w:pPr>
        <w:pStyle w:val="2"/>
        <w:numPr>
          <w:ilvl w:val="0"/>
          <w:numId w:val="1"/>
        </w:numPr>
        <w:tabs>
          <w:tab w:val="clear" w:pos="720"/>
        </w:tabs>
        <w:ind w:left="0" w:right="609" w:firstLine="0"/>
        <w:jc w:val="both"/>
        <w:rPr>
          <w:bCs/>
          <w:color w:val="000080"/>
          <w:sz w:val="20"/>
          <w:szCs w:val="17"/>
        </w:rPr>
      </w:pPr>
      <w:r w:rsidRPr="006E06BB">
        <w:rPr>
          <w:bCs/>
          <w:color w:val="000080"/>
          <w:sz w:val="20"/>
          <w:szCs w:val="17"/>
        </w:rPr>
        <w:t>Κ</w:t>
      </w:r>
      <w:r w:rsidR="00221124" w:rsidRPr="006E06BB">
        <w:rPr>
          <w:bCs/>
          <w:color w:val="000080"/>
          <w:sz w:val="20"/>
          <w:szCs w:val="17"/>
        </w:rPr>
        <w:t xml:space="preserve">όστος πιστωτικού κινδύνου </w:t>
      </w:r>
      <w:r w:rsidR="00271D97" w:rsidRPr="006E06BB">
        <w:rPr>
          <w:bCs/>
          <w:color w:val="000080"/>
          <w:sz w:val="20"/>
          <w:szCs w:val="17"/>
        </w:rPr>
        <w:t>1,9</w:t>
      </w:r>
      <w:r w:rsidR="004D79C4">
        <w:rPr>
          <w:bCs/>
          <w:color w:val="000080"/>
          <w:sz w:val="20"/>
          <w:szCs w:val="17"/>
        </w:rPr>
        <w:t>6</w:t>
      </w:r>
      <w:r w:rsidR="00221124" w:rsidRPr="006E06BB">
        <w:rPr>
          <w:bCs/>
          <w:color w:val="000080"/>
          <w:sz w:val="20"/>
          <w:szCs w:val="17"/>
        </w:rPr>
        <w:t>%</w:t>
      </w:r>
      <w:r w:rsidRPr="006E06BB">
        <w:rPr>
          <w:bCs/>
          <w:color w:val="000080"/>
          <w:sz w:val="20"/>
          <w:szCs w:val="17"/>
        </w:rPr>
        <w:t xml:space="preserve"> το </w:t>
      </w:r>
      <w:r w:rsidR="006605D8" w:rsidRPr="006E06BB">
        <w:rPr>
          <w:bCs/>
          <w:color w:val="000080"/>
          <w:sz w:val="20"/>
          <w:szCs w:val="17"/>
        </w:rPr>
        <w:t>2016</w:t>
      </w:r>
      <w:r w:rsidR="00643B2F">
        <w:rPr>
          <w:bCs/>
          <w:color w:val="000080"/>
          <w:sz w:val="20"/>
          <w:szCs w:val="17"/>
        </w:rPr>
        <w:t xml:space="preserve"> </w:t>
      </w:r>
    </w:p>
    <w:p w:rsidR="00B5553B" w:rsidRPr="006E06BB" w:rsidRDefault="00B5553B" w:rsidP="00383DB3">
      <w:pPr>
        <w:pStyle w:val="2"/>
        <w:ind w:right="609"/>
        <w:jc w:val="both"/>
        <w:rPr>
          <w:bCs/>
          <w:color w:val="000080"/>
          <w:sz w:val="20"/>
          <w:szCs w:val="17"/>
        </w:rPr>
      </w:pPr>
    </w:p>
    <w:p w:rsidR="00602E06" w:rsidRPr="006E06BB" w:rsidRDefault="00F033AD" w:rsidP="00383DB3">
      <w:pPr>
        <w:pStyle w:val="2"/>
        <w:numPr>
          <w:ilvl w:val="0"/>
          <w:numId w:val="1"/>
        </w:numPr>
        <w:tabs>
          <w:tab w:val="clear" w:pos="720"/>
        </w:tabs>
        <w:ind w:left="0" w:right="609" w:firstLine="0"/>
        <w:jc w:val="both"/>
        <w:rPr>
          <w:bCs/>
          <w:color w:val="000080"/>
          <w:sz w:val="20"/>
          <w:szCs w:val="17"/>
        </w:rPr>
      </w:pPr>
      <w:r w:rsidRPr="006E06BB">
        <w:rPr>
          <w:bCs/>
          <w:color w:val="000080"/>
          <w:sz w:val="20"/>
          <w:szCs w:val="17"/>
        </w:rPr>
        <w:t xml:space="preserve">Αύξηση </w:t>
      </w:r>
      <w:r w:rsidR="005D7884" w:rsidRPr="006E06BB">
        <w:rPr>
          <w:bCs/>
          <w:color w:val="000080"/>
          <w:sz w:val="20"/>
          <w:szCs w:val="17"/>
        </w:rPr>
        <w:t xml:space="preserve">των </w:t>
      </w:r>
      <w:r w:rsidR="00E03D7B" w:rsidRPr="006E06BB">
        <w:rPr>
          <w:bCs/>
          <w:color w:val="000080"/>
          <w:sz w:val="20"/>
          <w:szCs w:val="17"/>
        </w:rPr>
        <w:t xml:space="preserve">καταθέσεων </w:t>
      </w:r>
      <w:r w:rsidR="002F0FE6" w:rsidRPr="006E06BB">
        <w:rPr>
          <w:bCs/>
          <w:color w:val="000080"/>
          <w:sz w:val="20"/>
          <w:szCs w:val="17"/>
        </w:rPr>
        <w:t xml:space="preserve">κατά </w:t>
      </w:r>
      <w:r w:rsidR="004D79C4" w:rsidRPr="006E06BB">
        <w:rPr>
          <w:bCs/>
          <w:color w:val="000080"/>
          <w:sz w:val="20"/>
          <w:szCs w:val="17"/>
        </w:rPr>
        <w:t>€</w:t>
      </w:r>
      <w:r w:rsidR="004D79C4">
        <w:rPr>
          <w:bCs/>
          <w:color w:val="000080"/>
          <w:sz w:val="20"/>
          <w:szCs w:val="17"/>
        </w:rPr>
        <w:t>2,6δισ. το 2016</w:t>
      </w:r>
      <w:r w:rsidR="004D79C4" w:rsidRPr="006E06BB">
        <w:rPr>
          <w:bCs/>
          <w:color w:val="000080"/>
          <w:sz w:val="20"/>
          <w:szCs w:val="17"/>
        </w:rPr>
        <w:t xml:space="preserve"> και </w:t>
      </w:r>
      <w:r w:rsidR="004D79C4">
        <w:rPr>
          <w:bCs/>
          <w:color w:val="000080"/>
          <w:sz w:val="20"/>
          <w:szCs w:val="17"/>
        </w:rPr>
        <w:t xml:space="preserve">κατά </w:t>
      </w:r>
      <w:r w:rsidR="002F0FE6" w:rsidRPr="006E06BB">
        <w:rPr>
          <w:bCs/>
          <w:color w:val="000080"/>
          <w:sz w:val="20"/>
          <w:szCs w:val="17"/>
        </w:rPr>
        <w:t>€</w:t>
      </w:r>
      <w:r w:rsidR="00643B2F">
        <w:rPr>
          <w:bCs/>
          <w:color w:val="000080"/>
          <w:sz w:val="20"/>
          <w:szCs w:val="17"/>
        </w:rPr>
        <w:t>664</w:t>
      </w:r>
      <w:r w:rsidRPr="006E06BB">
        <w:rPr>
          <w:bCs/>
          <w:color w:val="000080"/>
          <w:sz w:val="20"/>
          <w:szCs w:val="17"/>
        </w:rPr>
        <w:t xml:space="preserve">εκ. </w:t>
      </w:r>
      <w:r w:rsidR="0079023F" w:rsidRPr="006E06BB">
        <w:rPr>
          <w:bCs/>
          <w:color w:val="000080"/>
          <w:sz w:val="20"/>
          <w:szCs w:val="17"/>
        </w:rPr>
        <w:t xml:space="preserve">το </w:t>
      </w:r>
      <w:r w:rsidR="00643B2F">
        <w:rPr>
          <w:bCs/>
          <w:color w:val="000080"/>
          <w:sz w:val="20"/>
          <w:szCs w:val="17"/>
        </w:rPr>
        <w:t>Δ</w:t>
      </w:r>
      <w:r w:rsidR="0079023F" w:rsidRPr="006E06BB">
        <w:rPr>
          <w:bCs/>
          <w:color w:val="000080"/>
          <w:sz w:val="20"/>
          <w:szCs w:val="17"/>
        </w:rPr>
        <w:t>΄</w:t>
      </w:r>
      <w:r w:rsidR="00B06422" w:rsidRPr="006E06BB">
        <w:rPr>
          <w:bCs/>
          <w:color w:val="000080"/>
          <w:sz w:val="20"/>
          <w:szCs w:val="17"/>
        </w:rPr>
        <w:t xml:space="preserve"> </w:t>
      </w:r>
      <w:r w:rsidR="0079023F" w:rsidRPr="006E06BB">
        <w:rPr>
          <w:bCs/>
          <w:color w:val="000080"/>
          <w:sz w:val="20"/>
          <w:szCs w:val="17"/>
        </w:rPr>
        <w:t>τρίμηνο</w:t>
      </w:r>
      <w:r w:rsidR="0054680E" w:rsidRPr="006E06BB">
        <w:rPr>
          <w:bCs/>
          <w:color w:val="000080"/>
          <w:sz w:val="20"/>
          <w:szCs w:val="17"/>
        </w:rPr>
        <w:t xml:space="preserve"> </w:t>
      </w:r>
    </w:p>
    <w:p w:rsidR="00602E06" w:rsidRPr="006E06BB" w:rsidRDefault="00602E06" w:rsidP="00383DB3">
      <w:pPr>
        <w:pStyle w:val="a8"/>
        <w:spacing w:line="360" w:lineRule="auto"/>
        <w:ind w:right="609"/>
        <w:rPr>
          <w:bCs/>
          <w:color w:val="000080"/>
          <w:szCs w:val="17"/>
        </w:rPr>
      </w:pPr>
    </w:p>
    <w:p w:rsidR="00583915" w:rsidRDefault="0054680E" w:rsidP="00383DB3">
      <w:pPr>
        <w:pStyle w:val="2"/>
        <w:numPr>
          <w:ilvl w:val="0"/>
          <w:numId w:val="1"/>
        </w:numPr>
        <w:tabs>
          <w:tab w:val="clear" w:pos="720"/>
        </w:tabs>
        <w:ind w:left="709" w:right="609" w:hanging="709"/>
        <w:jc w:val="both"/>
        <w:rPr>
          <w:bCs/>
          <w:color w:val="000080"/>
          <w:sz w:val="20"/>
          <w:szCs w:val="17"/>
        </w:rPr>
      </w:pPr>
      <w:r w:rsidRPr="004D79C4">
        <w:rPr>
          <w:bCs/>
          <w:color w:val="000080"/>
          <w:sz w:val="20"/>
          <w:szCs w:val="17"/>
        </w:rPr>
        <w:t>Μ</w:t>
      </w:r>
      <w:r w:rsidR="00C60D6D" w:rsidRPr="004D79C4">
        <w:rPr>
          <w:bCs/>
          <w:color w:val="000080"/>
          <w:sz w:val="20"/>
          <w:szCs w:val="17"/>
        </w:rPr>
        <w:t>είωση</w:t>
      </w:r>
      <w:r w:rsidR="005D7884" w:rsidRPr="004D79C4">
        <w:rPr>
          <w:bCs/>
          <w:color w:val="000080"/>
          <w:sz w:val="20"/>
          <w:szCs w:val="17"/>
        </w:rPr>
        <w:t xml:space="preserve"> της</w:t>
      </w:r>
      <w:r w:rsidR="00C60D6D" w:rsidRPr="004D79C4">
        <w:rPr>
          <w:bCs/>
          <w:color w:val="000080"/>
          <w:sz w:val="20"/>
          <w:szCs w:val="17"/>
        </w:rPr>
        <w:t xml:space="preserve"> χρηματοδότησης από το</w:t>
      </w:r>
      <w:r w:rsidR="00BF0AC1">
        <w:rPr>
          <w:bCs/>
          <w:color w:val="000080"/>
          <w:sz w:val="20"/>
          <w:szCs w:val="17"/>
        </w:rPr>
        <w:t xml:space="preserve">ν </w:t>
      </w:r>
      <w:r w:rsidR="00BF0AC1">
        <w:rPr>
          <w:bCs/>
          <w:color w:val="000080"/>
          <w:sz w:val="20"/>
          <w:szCs w:val="17"/>
          <w:lang w:val="en-US"/>
        </w:rPr>
        <w:t>ELA</w:t>
      </w:r>
      <w:r w:rsidR="00BF0AC1" w:rsidRPr="00BF0AC1">
        <w:rPr>
          <w:bCs/>
          <w:color w:val="000080"/>
          <w:sz w:val="20"/>
          <w:szCs w:val="17"/>
        </w:rPr>
        <w:t xml:space="preserve"> </w:t>
      </w:r>
      <w:r w:rsidR="00583915" w:rsidRPr="004D79C4">
        <w:rPr>
          <w:bCs/>
          <w:color w:val="000080"/>
          <w:sz w:val="20"/>
          <w:szCs w:val="17"/>
        </w:rPr>
        <w:t>κατά €</w:t>
      </w:r>
      <w:r w:rsidR="004E5DE4" w:rsidRPr="00106670">
        <w:rPr>
          <w:bCs/>
          <w:color w:val="000080"/>
          <w:sz w:val="20"/>
          <w:szCs w:val="17"/>
        </w:rPr>
        <w:t>8,1</w:t>
      </w:r>
      <w:r w:rsidR="00583915" w:rsidRPr="004D79C4">
        <w:rPr>
          <w:bCs/>
          <w:color w:val="000080"/>
          <w:sz w:val="20"/>
          <w:szCs w:val="17"/>
        </w:rPr>
        <w:t xml:space="preserve">δισ. </w:t>
      </w:r>
      <w:r w:rsidR="004D79C4">
        <w:rPr>
          <w:bCs/>
          <w:color w:val="000080"/>
          <w:sz w:val="20"/>
          <w:szCs w:val="17"/>
        </w:rPr>
        <w:t xml:space="preserve">το 2016 </w:t>
      </w:r>
    </w:p>
    <w:p w:rsidR="004D79C4" w:rsidRDefault="004D79C4" w:rsidP="004D79C4">
      <w:pPr>
        <w:pStyle w:val="a8"/>
        <w:rPr>
          <w:bCs/>
          <w:color w:val="000080"/>
          <w:szCs w:val="17"/>
        </w:rPr>
      </w:pPr>
    </w:p>
    <w:p w:rsidR="004D79C4" w:rsidRDefault="004D79C4" w:rsidP="004D79C4">
      <w:pPr>
        <w:pStyle w:val="a8"/>
        <w:rPr>
          <w:bCs/>
          <w:color w:val="000080"/>
          <w:szCs w:val="17"/>
        </w:rPr>
      </w:pPr>
    </w:p>
    <w:p w:rsidR="001C3460" w:rsidRPr="006E06BB" w:rsidRDefault="007204FE" w:rsidP="00383DB3">
      <w:pPr>
        <w:pStyle w:val="2"/>
        <w:numPr>
          <w:ilvl w:val="0"/>
          <w:numId w:val="1"/>
        </w:numPr>
        <w:tabs>
          <w:tab w:val="clear" w:pos="720"/>
        </w:tabs>
        <w:ind w:left="709" w:right="609" w:hanging="709"/>
        <w:jc w:val="both"/>
        <w:rPr>
          <w:bCs/>
          <w:color w:val="000080"/>
          <w:sz w:val="20"/>
          <w:szCs w:val="17"/>
        </w:rPr>
      </w:pPr>
      <w:r>
        <w:rPr>
          <w:bCs/>
          <w:color w:val="000080"/>
          <w:sz w:val="20"/>
          <w:szCs w:val="17"/>
        </w:rPr>
        <w:t>Ενίσχυση κ</w:t>
      </w:r>
      <w:r w:rsidR="00012491" w:rsidRPr="006E06BB">
        <w:rPr>
          <w:bCs/>
          <w:color w:val="000080"/>
          <w:sz w:val="20"/>
          <w:szCs w:val="17"/>
        </w:rPr>
        <w:t>εφ</w:t>
      </w:r>
      <w:r>
        <w:rPr>
          <w:bCs/>
          <w:color w:val="000080"/>
          <w:sz w:val="20"/>
          <w:szCs w:val="17"/>
        </w:rPr>
        <w:t xml:space="preserve">αλαίων </w:t>
      </w:r>
      <w:r w:rsidR="000E240A" w:rsidRPr="006E06BB">
        <w:rPr>
          <w:bCs/>
          <w:color w:val="000080"/>
          <w:sz w:val="20"/>
          <w:szCs w:val="17"/>
        </w:rPr>
        <w:t>κοι</w:t>
      </w:r>
      <w:r w:rsidR="00532E6A" w:rsidRPr="006E06BB">
        <w:rPr>
          <w:bCs/>
          <w:color w:val="000080"/>
          <w:sz w:val="20"/>
          <w:szCs w:val="17"/>
        </w:rPr>
        <w:t xml:space="preserve">νών μετοχών </w:t>
      </w:r>
      <w:r w:rsidR="00643B2F">
        <w:rPr>
          <w:bCs/>
          <w:color w:val="000080"/>
          <w:sz w:val="20"/>
          <w:szCs w:val="17"/>
        </w:rPr>
        <w:t xml:space="preserve">κατά </w:t>
      </w:r>
      <w:r>
        <w:rPr>
          <w:bCs/>
          <w:color w:val="000080"/>
          <w:sz w:val="20"/>
          <w:szCs w:val="17"/>
        </w:rPr>
        <w:t>7</w:t>
      </w:r>
      <w:r w:rsidR="00731138" w:rsidRPr="00731138">
        <w:rPr>
          <w:bCs/>
          <w:color w:val="000080"/>
          <w:sz w:val="20"/>
          <w:szCs w:val="17"/>
        </w:rPr>
        <w:t>0</w:t>
      </w:r>
      <w:r w:rsidR="00643B2F">
        <w:rPr>
          <w:bCs/>
          <w:color w:val="000080"/>
          <w:sz w:val="20"/>
          <w:szCs w:val="17"/>
        </w:rPr>
        <w:t xml:space="preserve"> μονάδες βάσης έναντι του 2015</w:t>
      </w:r>
      <w:r w:rsidR="003E2E4D" w:rsidRPr="006E06BB">
        <w:rPr>
          <w:bCs/>
          <w:color w:val="000080"/>
          <w:sz w:val="20"/>
          <w:szCs w:val="17"/>
        </w:rPr>
        <w:t xml:space="preserve"> </w:t>
      </w:r>
      <w:r w:rsidR="00BF746C" w:rsidRPr="006E06BB">
        <w:rPr>
          <w:bCs/>
          <w:color w:val="000080"/>
          <w:sz w:val="20"/>
          <w:szCs w:val="17"/>
        </w:rPr>
        <w:t xml:space="preserve"> </w:t>
      </w:r>
    </w:p>
    <w:p w:rsidR="00DA1AAD" w:rsidRPr="006E06BB" w:rsidRDefault="00DA1AAD" w:rsidP="00383DB3">
      <w:pPr>
        <w:pStyle w:val="2"/>
        <w:ind w:right="609"/>
        <w:jc w:val="both"/>
        <w:rPr>
          <w:bCs/>
          <w:color w:val="000080"/>
          <w:sz w:val="20"/>
          <w:szCs w:val="17"/>
        </w:rPr>
      </w:pPr>
    </w:p>
    <w:p w:rsidR="00DA1AAD" w:rsidRPr="006E06BB" w:rsidRDefault="000F77A1" w:rsidP="00383DB3">
      <w:pPr>
        <w:pStyle w:val="2"/>
        <w:numPr>
          <w:ilvl w:val="0"/>
          <w:numId w:val="1"/>
        </w:numPr>
        <w:tabs>
          <w:tab w:val="clear" w:pos="720"/>
        </w:tabs>
        <w:ind w:left="709" w:right="609" w:hanging="709"/>
        <w:jc w:val="both"/>
        <w:rPr>
          <w:bCs/>
          <w:color w:val="000080"/>
          <w:sz w:val="20"/>
          <w:szCs w:val="17"/>
        </w:rPr>
      </w:pPr>
      <w:r w:rsidRPr="006E06BB">
        <w:rPr>
          <w:bCs/>
          <w:color w:val="000080"/>
          <w:sz w:val="20"/>
          <w:szCs w:val="17"/>
        </w:rPr>
        <w:t xml:space="preserve">Καθαρά κέρδη </w:t>
      </w:r>
      <w:r w:rsidR="00DA1AAD" w:rsidRPr="006E06BB">
        <w:rPr>
          <w:bCs/>
          <w:color w:val="000080"/>
          <w:sz w:val="20"/>
          <w:szCs w:val="17"/>
        </w:rPr>
        <w:t>των διεθνών δραστηριοτήτων</w:t>
      </w:r>
      <w:r w:rsidR="00BF0AC1">
        <w:rPr>
          <w:rStyle w:val="a7"/>
          <w:bCs/>
          <w:color w:val="000080"/>
          <w:sz w:val="20"/>
          <w:szCs w:val="17"/>
        </w:rPr>
        <w:footnoteReference w:id="3"/>
      </w:r>
      <w:r w:rsidRPr="00017377">
        <w:rPr>
          <w:bCs/>
          <w:color w:val="000080"/>
          <w:sz w:val="20"/>
          <w:szCs w:val="17"/>
        </w:rPr>
        <w:t xml:space="preserve"> </w:t>
      </w:r>
      <w:r>
        <w:rPr>
          <w:bCs/>
          <w:color w:val="000080"/>
          <w:sz w:val="20"/>
          <w:szCs w:val="17"/>
        </w:rPr>
        <w:t>στα</w:t>
      </w:r>
      <w:r w:rsidR="00DA1AAD" w:rsidRPr="006E06BB">
        <w:rPr>
          <w:bCs/>
          <w:color w:val="000080"/>
          <w:sz w:val="20"/>
          <w:szCs w:val="17"/>
        </w:rPr>
        <w:t xml:space="preserve"> </w:t>
      </w:r>
      <w:r w:rsidR="004D79C4">
        <w:rPr>
          <w:bCs/>
          <w:color w:val="000080"/>
          <w:sz w:val="20"/>
          <w:szCs w:val="17"/>
        </w:rPr>
        <w:t>€123εκ. το 2016, έναντι €67εκ. το 2015</w:t>
      </w:r>
      <w:r w:rsidR="009F2FB2">
        <w:rPr>
          <w:bCs/>
          <w:color w:val="000080"/>
          <w:sz w:val="20"/>
          <w:szCs w:val="17"/>
        </w:rPr>
        <w:t xml:space="preserve"> </w:t>
      </w:r>
    </w:p>
    <w:p w:rsidR="00300761" w:rsidRPr="004512E8" w:rsidRDefault="00300761" w:rsidP="00EC43CC">
      <w:pPr>
        <w:pStyle w:val="2"/>
        <w:spacing w:line="200" w:lineRule="exact"/>
        <w:ind w:right="181"/>
        <w:jc w:val="both"/>
        <w:rPr>
          <w:bCs/>
          <w:color w:val="000080"/>
          <w:sz w:val="17"/>
          <w:szCs w:val="17"/>
        </w:rPr>
      </w:pPr>
    </w:p>
    <w:p w:rsidR="00ED56FE" w:rsidRDefault="0056087F" w:rsidP="009E7057">
      <w:pPr>
        <w:ind w:left="-567"/>
        <w:jc w:val="both"/>
        <w:rPr>
          <w:rFonts w:ascii="Arial" w:hAnsi="Arial" w:cs="Arial"/>
          <w:color w:val="000080"/>
          <w:sz w:val="17"/>
          <w:szCs w:val="17"/>
        </w:rPr>
      </w:pPr>
      <w:r w:rsidRPr="004512E8">
        <w:rPr>
          <w:rFonts w:ascii="Arial" w:hAnsi="Arial" w:cs="Arial"/>
          <w:color w:val="000080"/>
          <w:sz w:val="17"/>
          <w:szCs w:val="17"/>
        </w:rPr>
        <w:t xml:space="preserve"> </w:t>
      </w:r>
    </w:p>
    <w:p w:rsidR="004512E8" w:rsidRDefault="00ED56FE" w:rsidP="009E7057">
      <w:pPr>
        <w:ind w:left="-567"/>
        <w:jc w:val="both"/>
        <w:rPr>
          <w:rFonts w:ascii="Arial" w:hAnsi="Arial" w:cs="Arial"/>
          <w:color w:val="000080"/>
          <w:sz w:val="17"/>
          <w:szCs w:val="17"/>
        </w:rPr>
      </w:pPr>
      <w:r>
        <w:rPr>
          <w:rFonts w:ascii="Arial" w:hAnsi="Arial" w:cs="Arial"/>
          <w:color w:val="000080"/>
          <w:sz w:val="17"/>
          <w:szCs w:val="17"/>
        </w:rPr>
        <w:br w:type="page"/>
      </w:r>
    </w:p>
    <w:p w:rsidR="00291BFC" w:rsidRPr="00291BFC" w:rsidRDefault="000437D7" w:rsidP="00291BFC">
      <w:pPr>
        <w:ind w:left="-142" w:right="181"/>
        <w:jc w:val="both"/>
        <w:rPr>
          <w:rFonts w:ascii="Arial" w:hAnsi="Arial" w:cs="Arial"/>
          <w:color w:val="000080"/>
          <w:sz w:val="17"/>
          <w:szCs w:val="17"/>
        </w:rPr>
      </w:pPr>
      <w:r w:rsidRPr="000437D7">
        <w:rPr>
          <w:rFonts w:ascii="Arial" w:hAnsi="Arial" w:cs="Arial"/>
          <w:noProof/>
          <w:color w:val="000080"/>
          <w:sz w:val="17"/>
          <w:szCs w:val="17"/>
        </w:rPr>
        <w:lastRenderedPageBreak/>
        <w:pict>
          <v:roundrect id="_x0000_s1447" style="position:absolute;left:0;text-align:left;margin-left:-32.1pt;margin-top:75.9pt;width:499.85pt;height:707.2pt;z-index:-251645440;visibility:visible;mso-wrap-edited:f;mso-wrap-distance-left:2.88pt;mso-wrap-distance-top:2.88pt;mso-wrap-distance-right:2.88pt;mso-wrap-distance-bottom:2.88pt;mso-position-vertical-relative:page" arcsize="2658f" fillcolor="#dfe4e9" stroked="f" strokecolor="#e5f0f5" insetpen="t" o:cliptowrap="t">
            <v:shadow color="#ccc"/>
            <o:lock v:ext="edit" shapetype="t"/>
            <v:textbox inset="2.88pt,2.88pt,2.88pt,2.88pt"/>
            <w10:wrap anchory="page"/>
          </v:roundrect>
        </w:pict>
      </w:r>
      <w:r w:rsidR="00ED26C8" w:rsidRPr="000437D7">
        <w:rPr>
          <w:rFonts w:ascii="Arial" w:hAnsi="Arial" w:cs="Arial"/>
          <w:color w:val="000080"/>
          <w:sz w:val="17"/>
          <w:szCs w:val="17"/>
        </w:rPr>
        <w:t>«</w:t>
      </w:r>
      <w:r w:rsidR="00291BFC" w:rsidRPr="00291BFC">
        <w:t xml:space="preserve"> </w:t>
      </w:r>
      <w:r w:rsidR="00291BFC" w:rsidRPr="00291BFC">
        <w:rPr>
          <w:rFonts w:ascii="Arial" w:hAnsi="Arial" w:cs="Arial"/>
          <w:color w:val="000080"/>
          <w:sz w:val="17"/>
          <w:szCs w:val="17"/>
        </w:rPr>
        <w:t xml:space="preserve">Το 2016 ήταν μια χρονιά σταδιακής αποκατάστασης της ομαλότητας στην ελληνική οικονομία. Μέσα σε ένα περιβάλλον με προκλήσεις αλλά βελτιούμενες συνθήκες, το ελληνικό τραπεζικό σύστημα απέδειξε πως έχει την δυνατότητα να σημειώνει θετικές επιδόσεις όταν ο αντίκτυπος εξωγενών παραγόντων παραμένει διαχειρίσιμος και οι αβεβαιότητες περιορισμένες. </w:t>
      </w:r>
    </w:p>
    <w:p w:rsidR="00291BFC" w:rsidRPr="00291BFC" w:rsidRDefault="00291BFC" w:rsidP="00291BFC">
      <w:pPr>
        <w:ind w:left="-142" w:right="181"/>
        <w:jc w:val="both"/>
        <w:rPr>
          <w:rFonts w:ascii="Arial" w:hAnsi="Arial" w:cs="Arial"/>
          <w:color w:val="000080"/>
          <w:sz w:val="17"/>
          <w:szCs w:val="17"/>
        </w:rPr>
      </w:pPr>
    </w:p>
    <w:p w:rsidR="00291BFC" w:rsidRPr="00291BFC" w:rsidRDefault="00291BFC" w:rsidP="00291BFC">
      <w:pPr>
        <w:ind w:left="-142" w:right="181"/>
        <w:jc w:val="both"/>
        <w:rPr>
          <w:rFonts w:ascii="Arial" w:hAnsi="Arial" w:cs="Arial"/>
          <w:color w:val="000080"/>
          <w:sz w:val="17"/>
          <w:szCs w:val="17"/>
        </w:rPr>
      </w:pPr>
      <w:r w:rsidRPr="00291BFC">
        <w:rPr>
          <w:rFonts w:ascii="Arial" w:hAnsi="Arial" w:cs="Arial"/>
          <w:color w:val="000080"/>
          <w:sz w:val="17"/>
          <w:szCs w:val="17"/>
        </w:rPr>
        <w:t>Οι εξελίξεις στα τέλη του δ΄ τριμήνου και στην αρχή του 2017 τροφοδότησαν τις αβεβαιότητες και δεν ήταν υποβοηθητικές της μεγάλης προσπάθειας για οριστική έξοδο από την κρίση.  Η υποτροπή της αβεβαιότητας ανέστειλε τις θετικές τάσεις του 2016, τόσο στο πεδίο των καταθέσεων όσο και στο πεδίο των μη εξυπηρετούμενων δανείων.  Παρά τον εξ αντικειμένου δύσκολο χαρακτήρα των διαπραγματεύσεων με τους δανειστές της χώρας, η παράταση της εκκρεμότητας δυσχεραίνει περαιτέρω την τελική έκβασή τους και προκαλεί παρενέργειες στην οικονομική δραστηριότητα.  Η σύναψη συμφωνίας θα επιτρέψει την έναρξη μιας κλιμακωτής ενίσχυσης της εμπιστοσύνης και της αξιοπιστίας της χώρας έναντι των διεθνών αγορών αλλά και των πολιτών, που αποτελεί και προϋπόθεση για την επιστροφή της χώρας σε ισχυρή αναπτυξιακή τροχιά και για την προσέλκυση των απαιτούμενων επενδυτικών κεφαλαίων.</w:t>
      </w:r>
    </w:p>
    <w:p w:rsidR="00291BFC" w:rsidRDefault="00291BFC" w:rsidP="00291BFC">
      <w:pPr>
        <w:ind w:left="-142" w:right="181"/>
        <w:jc w:val="both"/>
        <w:rPr>
          <w:rFonts w:ascii="Arial" w:hAnsi="Arial" w:cs="Arial"/>
          <w:color w:val="000080"/>
          <w:sz w:val="17"/>
          <w:szCs w:val="17"/>
          <w:lang w:val="en-US"/>
        </w:rPr>
      </w:pPr>
    </w:p>
    <w:p w:rsidR="00291BFC" w:rsidRPr="00291BFC" w:rsidRDefault="00291BFC" w:rsidP="00291BFC">
      <w:pPr>
        <w:ind w:left="-142" w:right="181"/>
        <w:jc w:val="both"/>
        <w:rPr>
          <w:rFonts w:ascii="Arial" w:hAnsi="Arial" w:cs="Arial"/>
          <w:color w:val="000080"/>
          <w:sz w:val="17"/>
          <w:szCs w:val="17"/>
        </w:rPr>
      </w:pPr>
      <w:r w:rsidRPr="00291BFC">
        <w:rPr>
          <w:rFonts w:ascii="Arial" w:hAnsi="Arial" w:cs="Arial"/>
          <w:color w:val="000080"/>
          <w:sz w:val="17"/>
          <w:szCs w:val="17"/>
        </w:rPr>
        <w:t>Όπως πρόσφατα πιστοποίησαν οι ευρωπαϊκές εποπτικές αρχές, οι ελληνικές τράπεζες διαθέτουν επάρκεια κεφαλαίων και ένα σημαντικό απόθεμα προβλέψεων, που τους επιτρέπουν να προχωρήσουν στην ενεργή διαχείριση του αποθέματος των  μη εξυπηρετούμενων δανείων, το οποίο συσσωρεύθηκε στη διάρκεια της μακρόχρονης κρίσης.  Με τις παραπάνω προϋποθέσεις και κυρίως με τη βελτίωση των συνθηκών, οι ελληνικές τράπεζες μπορούν να χρηματοδοτήσουν τις ελληνικές επιχειρήσεις και να στηρίξουν την επάνοδο της οικονομίας σε θετικούς ρυθμούς ανάπτυξης.</w:t>
      </w:r>
    </w:p>
    <w:p w:rsidR="00291BFC" w:rsidRDefault="00291BFC" w:rsidP="00291BFC">
      <w:pPr>
        <w:ind w:left="-142" w:right="181"/>
        <w:jc w:val="both"/>
        <w:rPr>
          <w:rFonts w:ascii="Arial" w:hAnsi="Arial" w:cs="Arial"/>
          <w:color w:val="000080"/>
          <w:sz w:val="17"/>
          <w:szCs w:val="17"/>
          <w:lang w:val="en-US"/>
        </w:rPr>
      </w:pPr>
    </w:p>
    <w:p w:rsidR="00EB5DCA" w:rsidRPr="000437D7" w:rsidRDefault="00291BFC" w:rsidP="00291BFC">
      <w:pPr>
        <w:ind w:left="-142" w:right="181"/>
        <w:jc w:val="both"/>
        <w:rPr>
          <w:rFonts w:ascii="Arial" w:hAnsi="Arial" w:cs="Arial"/>
          <w:color w:val="000080"/>
          <w:sz w:val="17"/>
          <w:szCs w:val="17"/>
        </w:rPr>
      </w:pPr>
      <w:r w:rsidRPr="00291BFC">
        <w:rPr>
          <w:rFonts w:ascii="Arial" w:hAnsi="Arial" w:cs="Arial"/>
          <w:color w:val="000080"/>
          <w:sz w:val="17"/>
          <w:szCs w:val="17"/>
        </w:rPr>
        <w:t>Η επιστροφή στην ισχυρή και διατηρήσιμη αναπτυξιακή τροχιά αποτελεί τη βασική πολιτική και οικονομική επιλογή για την αντιμετώπιση των μεγαλύτερων προβλημάτων της χώρας, της ανεργίας, της φτώχειας, του υψηλού δημοσίου χρέους, του σημαντικού ύψους των μη εξυπηρετούμενων δανείων, της κοινωνίας των περιορισμένων ευκαιριών και προοπτικών, του στάσιμου επενδυτικού και οικονομικού κλίματος. Σε ένα τέτοιο πλαίσιο, η Eurobank, με συμπαγή διοίκηση, με ισχυρούς και σταθερούς μετόχους, με υψηλής ποιότητας ανθρώπινο δυναμικό, με ένα επιχειρησιακό μοντέλο προσαρμοσμένο στις νέες συνθήκες, βασισμένη στις αρχές της διαφάνειας, της αποτελεσματικότητας και της ανταπόκρισης στις ανάγκες των πελατών της και της κοινωνίας, έχει όλες τις δυνατότητες να βρεθεί στην πρωτοπορία αυτής της προσπάθειας.</w:t>
      </w:r>
      <w:r w:rsidR="00F301C1" w:rsidRPr="000437D7">
        <w:rPr>
          <w:rFonts w:ascii="Arial" w:hAnsi="Arial" w:cs="Arial"/>
          <w:color w:val="000080"/>
          <w:sz w:val="17"/>
          <w:szCs w:val="17"/>
        </w:rPr>
        <w:t>»</w:t>
      </w:r>
    </w:p>
    <w:p w:rsidR="006E06BB" w:rsidRPr="000437D7" w:rsidRDefault="009B769E" w:rsidP="00291BFC">
      <w:pPr>
        <w:spacing w:after="200"/>
        <w:ind w:left="-142"/>
        <w:jc w:val="both"/>
        <w:rPr>
          <w:rFonts w:ascii="Arial" w:hAnsi="Arial" w:cs="Arial"/>
          <w:color w:val="000080"/>
          <w:sz w:val="17"/>
          <w:szCs w:val="17"/>
        </w:rPr>
      </w:pPr>
      <w:r w:rsidRPr="000437D7">
        <w:rPr>
          <w:rFonts w:ascii="Arial" w:hAnsi="Arial" w:cs="Arial"/>
          <w:color w:val="000080"/>
          <w:sz w:val="17"/>
          <w:szCs w:val="17"/>
        </w:rPr>
        <w:t xml:space="preserve">   </w:t>
      </w:r>
      <w:r w:rsidR="00D10467" w:rsidRPr="000437D7">
        <w:rPr>
          <w:rFonts w:ascii="Arial" w:hAnsi="Arial" w:cs="Arial"/>
          <w:color w:val="000080"/>
          <w:sz w:val="17"/>
          <w:szCs w:val="17"/>
        </w:rPr>
        <w:tab/>
      </w:r>
      <w:r w:rsidR="00D10467" w:rsidRPr="000437D7">
        <w:rPr>
          <w:rFonts w:ascii="Arial" w:hAnsi="Arial" w:cs="Arial"/>
          <w:color w:val="000080"/>
          <w:sz w:val="17"/>
          <w:szCs w:val="17"/>
        </w:rPr>
        <w:tab/>
      </w:r>
      <w:r w:rsidR="00D10467" w:rsidRPr="000437D7">
        <w:rPr>
          <w:rFonts w:ascii="Arial" w:hAnsi="Arial" w:cs="Arial"/>
          <w:color w:val="000080"/>
          <w:sz w:val="17"/>
          <w:szCs w:val="17"/>
        </w:rPr>
        <w:tab/>
      </w:r>
      <w:r w:rsidR="00D10467" w:rsidRPr="000437D7">
        <w:rPr>
          <w:rFonts w:ascii="Arial" w:hAnsi="Arial" w:cs="Arial"/>
          <w:color w:val="000080"/>
          <w:sz w:val="17"/>
          <w:szCs w:val="17"/>
        </w:rPr>
        <w:tab/>
      </w:r>
      <w:r w:rsidR="00D10467" w:rsidRPr="000437D7">
        <w:rPr>
          <w:rFonts w:ascii="Arial" w:hAnsi="Arial" w:cs="Arial"/>
          <w:color w:val="000080"/>
          <w:sz w:val="17"/>
          <w:szCs w:val="17"/>
        </w:rPr>
        <w:tab/>
      </w:r>
      <w:r w:rsidR="00D10467" w:rsidRPr="000437D7">
        <w:rPr>
          <w:rFonts w:ascii="Arial" w:hAnsi="Arial" w:cs="Arial"/>
          <w:color w:val="000080"/>
          <w:sz w:val="17"/>
          <w:szCs w:val="17"/>
        </w:rPr>
        <w:tab/>
      </w:r>
      <w:r w:rsidR="00D10467" w:rsidRPr="000437D7">
        <w:rPr>
          <w:rFonts w:ascii="Arial" w:hAnsi="Arial" w:cs="Arial"/>
          <w:color w:val="000080"/>
          <w:sz w:val="17"/>
          <w:szCs w:val="17"/>
        </w:rPr>
        <w:tab/>
      </w:r>
      <w:r w:rsidR="00D10467" w:rsidRPr="000437D7">
        <w:rPr>
          <w:rFonts w:ascii="Arial" w:hAnsi="Arial" w:cs="Arial"/>
          <w:color w:val="000080"/>
          <w:sz w:val="17"/>
          <w:szCs w:val="17"/>
        </w:rPr>
        <w:tab/>
      </w:r>
      <w:r w:rsidR="000437D7">
        <w:rPr>
          <w:rFonts w:ascii="Arial" w:hAnsi="Arial" w:cs="Arial"/>
          <w:color w:val="000080"/>
          <w:sz w:val="17"/>
          <w:szCs w:val="17"/>
        </w:rPr>
        <w:tab/>
        <w:t xml:space="preserve">   </w:t>
      </w:r>
      <w:r w:rsidR="00041BD1" w:rsidRPr="000437D7">
        <w:rPr>
          <w:rFonts w:ascii="Arial" w:hAnsi="Arial" w:cs="Arial"/>
          <w:i/>
          <w:color w:val="000080"/>
          <w:sz w:val="17"/>
          <w:szCs w:val="17"/>
        </w:rPr>
        <w:t>Νικόλαος Καραμούζης, Πρόεδρος Δ.Σ.</w:t>
      </w:r>
      <w:r w:rsidR="00ED26C8" w:rsidRPr="000437D7">
        <w:rPr>
          <w:rFonts w:ascii="Arial" w:hAnsi="Arial" w:cs="Arial"/>
          <w:color w:val="000080"/>
          <w:sz w:val="17"/>
          <w:szCs w:val="17"/>
        </w:rPr>
        <w:t xml:space="preserve">  </w:t>
      </w:r>
    </w:p>
    <w:p w:rsidR="00D10467" w:rsidRPr="000437D7" w:rsidRDefault="00ED26C8" w:rsidP="00291BFC">
      <w:pPr>
        <w:spacing w:after="200"/>
        <w:ind w:left="-142"/>
        <w:jc w:val="both"/>
        <w:rPr>
          <w:rFonts w:ascii="Arial" w:hAnsi="Arial" w:cs="Arial"/>
          <w:color w:val="000080"/>
          <w:sz w:val="17"/>
          <w:szCs w:val="17"/>
        </w:rPr>
      </w:pPr>
      <w:r w:rsidRPr="000437D7">
        <w:rPr>
          <w:rFonts w:ascii="Arial" w:hAnsi="Arial" w:cs="Arial"/>
          <w:color w:val="000080"/>
          <w:sz w:val="17"/>
          <w:szCs w:val="17"/>
        </w:rPr>
        <w:t xml:space="preserve">                                                                                                        </w:t>
      </w:r>
    </w:p>
    <w:p w:rsidR="00291BFC" w:rsidRPr="00291BFC" w:rsidRDefault="005B7CDE" w:rsidP="00291BFC">
      <w:pPr>
        <w:ind w:left="-142" w:right="184"/>
        <w:jc w:val="both"/>
        <w:rPr>
          <w:rFonts w:ascii="Arial" w:hAnsi="Arial" w:cs="Arial"/>
          <w:color w:val="000080"/>
          <w:sz w:val="17"/>
          <w:szCs w:val="17"/>
        </w:rPr>
      </w:pPr>
      <w:r w:rsidRPr="000437D7">
        <w:rPr>
          <w:rFonts w:ascii="Arial" w:hAnsi="Arial" w:cs="Arial"/>
          <w:color w:val="000080"/>
          <w:sz w:val="17"/>
          <w:szCs w:val="17"/>
        </w:rPr>
        <w:t>«</w:t>
      </w:r>
      <w:r w:rsidR="00291BFC" w:rsidRPr="00291BFC">
        <w:rPr>
          <w:rFonts w:ascii="Arial" w:hAnsi="Arial" w:cs="Arial"/>
          <w:color w:val="000080"/>
          <w:sz w:val="17"/>
          <w:szCs w:val="17"/>
        </w:rPr>
        <w:t>Το 2016 υπήρξε για τη Eurobank το πρώτο έτος κερδοφορίας και εσωτερικής αύξησης κεφαλαίων από την έναρξη της κρίσης στην Ελλάδα, με καθαρά κέρδη €</w:t>
      </w:r>
      <w:r w:rsidR="00291BFC">
        <w:rPr>
          <w:rFonts w:ascii="Arial" w:hAnsi="Arial" w:cs="Arial"/>
          <w:color w:val="000080"/>
          <w:sz w:val="17"/>
          <w:szCs w:val="17"/>
        </w:rPr>
        <w:t>230</w:t>
      </w:r>
      <w:r w:rsidR="00291BFC" w:rsidRPr="00291BFC">
        <w:rPr>
          <w:rFonts w:ascii="Arial" w:hAnsi="Arial" w:cs="Arial"/>
          <w:color w:val="000080"/>
          <w:sz w:val="17"/>
          <w:szCs w:val="17"/>
        </w:rPr>
        <w:t>εκ. Είχαμε θέσει την επιστροφή στην κερδοφορία ως απόλυτη προτεραιότητα και</w:t>
      </w:r>
      <w:r w:rsidR="00291BFC">
        <w:rPr>
          <w:rFonts w:ascii="Arial" w:hAnsi="Arial" w:cs="Arial"/>
          <w:color w:val="000080"/>
          <w:sz w:val="17"/>
          <w:szCs w:val="17"/>
        </w:rPr>
        <w:t xml:space="preserve"> είμαστε ιδιαίτερα ικανοποιημένοι</w:t>
      </w:r>
      <w:r w:rsidR="00291BFC" w:rsidRPr="00291BFC">
        <w:rPr>
          <w:rFonts w:ascii="Arial" w:hAnsi="Arial" w:cs="Arial"/>
          <w:color w:val="000080"/>
          <w:sz w:val="17"/>
          <w:szCs w:val="17"/>
        </w:rPr>
        <w:t xml:space="preserve"> για την επίτευξη όλων των στρατηγικών μας στόχων για την προηγούμενη χρονιά. </w:t>
      </w:r>
    </w:p>
    <w:p w:rsidR="00291BFC" w:rsidRPr="00291BFC" w:rsidRDefault="00291BFC" w:rsidP="00291BFC">
      <w:pPr>
        <w:ind w:left="-142" w:right="184"/>
        <w:jc w:val="both"/>
        <w:rPr>
          <w:rFonts w:ascii="Arial" w:hAnsi="Arial" w:cs="Arial"/>
          <w:color w:val="000080"/>
          <w:sz w:val="17"/>
          <w:szCs w:val="17"/>
        </w:rPr>
      </w:pPr>
    </w:p>
    <w:p w:rsidR="000F2F7B" w:rsidRDefault="00291BFC" w:rsidP="00291BFC">
      <w:pPr>
        <w:ind w:left="-142" w:right="184"/>
        <w:jc w:val="both"/>
        <w:rPr>
          <w:rFonts w:ascii="Arial" w:hAnsi="Arial" w:cs="Arial"/>
          <w:color w:val="000080"/>
          <w:sz w:val="17"/>
          <w:szCs w:val="17"/>
        </w:rPr>
      </w:pPr>
      <w:r w:rsidRPr="00291BFC">
        <w:rPr>
          <w:rFonts w:ascii="Arial" w:hAnsi="Arial" w:cs="Arial"/>
          <w:color w:val="000080"/>
          <w:sz w:val="17"/>
          <w:szCs w:val="17"/>
        </w:rPr>
        <w:t>Η αύξηση των εσόδων προ προβλέψεων άνω του 25%, η ενίσχυση των κατ</w:t>
      </w:r>
      <w:r>
        <w:rPr>
          <w:rFonts w:ascii="Arial" w:hAnsi="Arial" w:cs="Arial"/>
          <w:color w:val="000080"/>
          <w:sz w:val="17"/>
          <w:szCs w:val="17"/>
        </w:rPr>
        <w:t>αθέσεων κατά πλέον των €2,5</w:t>
      </w:r>
      <w:r w:rsidRPr="00291BFC">
        <w:rPr>
          <w:rFonts w:ascii="Arial" w:hAnsi="Arial" w:cs="Arial"/>
          <w:color w:val="000080"/>
          <w:sz w:val="17"/>
          <w:szCs w:val="17"/>
        </w:rPr>
        <w:t xml:space="preserve">δισ. και η μείωση της ρευστότητας που </w:t>
      </w:r>
      <w:r>
        <w:rPr>
          <w:rFonts w:ascii="Arial" w:hAnsi="Arial" w:cs="Arial"/>
          <w:color w:val="000080"/>
          <w:sz w:val="17"/>
          <w:szCs w:val="17"/>
        </w:rPr>
        <w:t>αντλούμε μέσω του ELA κατά €8,1</w:t>
      </w:r>
      <w:r w:rsidRPr="00291BFC">
        <w:rPr>
          <w:rFonts w:ascii="Arial" w:hAnsi="Arial" w:cs="Arial"/>
          <w:color w:val="000080"/>
          <w:sz w:val="17"/>
          <w:szCs w:val="17"/>
        </w:rPr>
        <w:t xml:space="preserve">δισ. σε ετήσια βάση αποδεικνύουν ότι η Eurobank διαθέτει ισχυρή επιχειρηματική δραστηριότητα, αποτελεσματικό μοντέλο λειτουργίας και μια σταθερή πελατειακή βάση. Η Τράπεζα έχει επομένως τις προϋποθέσεις για ικανοποιητικές επιδόσεις όταν η συγκυρία δεν είναι απολύτως απαγορευτική. Το τέταρτο τρίμηνο του 2016 καταγράφηκε για πρώτη φορά αρνητικός ρυθμός δημιουργίας νέων μη εξυπηρετούμενων ανοιγμάτων (ΝΡΕ). Επιπλέον, σε εφαρμογή του σχεδιασμού μας για μείωση του αποθέματος ΝΡΕ, μεταβιβάστηκε ένα εταιρικό δάνειο ύψους €150 εκ. Συνολικά, η βελτίωση της ποιότητας του ενεργητικού επιταχύνθηκε κατά το δεύτερο εξάμηνο της χρονιάς. </w:t>
      </w:r>
    </w:p>
    <w:p w:rsidR="000F2F7B" w:rsidRDefault="000F2F7B" w:rsidP="00291BFC">
      <w:pPr>
        <w:ind w:left="-142" w:right="184"/>
        <w:jc w:val="both"/>
        <w:rPr>
          <w:rFonts w:ascii="Arial" w:hAnsi="Arial" w:cs="Arial"/>
          <w:color w:val="000080"/>
          <w:sz w:val="17"/>
          <w:szCs w:val="17"/>
        </w:rPr>
      </w:pPr>
    </w:p>
    <w:p w:rsidR="00291BFC" w:rsidRPr="00291BFC" w:rsidRDefault="00291BFC" w:rsidP="00291BFC">
      <w:pPr>
        <w:ind w:left="-142" w:right="184"/>
        <w:jc w:val="both"/>
        <w:rPr>
          <w:rFonts w:ascii="Arial" w:hAnsi="Arial" w:cs="Arial"/>
          <w:color w:val="000080"/>
          <w:sz w:val="17"/>
          <w:szCs w:val="17"/>
        </w:rPr>
      </w:pPr>
      <w:r w:rsidRPr="00291BFC">
        <w:rPr>
          <w:rFonts w:ascii="Arial" w:hAnsi="Arial" w:cs="Arial"/>
          <w:color w:val="000080"/>
          <w:sz w:val="17"/>
          <w:szCs w:val="17"/>
        </w:rPr>
        <w:t>Η συνεισφορά των διεθνών δραστηριοτήτων στον ισολογισμό  μας παρέμεινε θετική. Αναμένουμε συνέχιση της θετικής αυτής τάσης, καθώς οι οικονομίες των χωρών της περιοχής εκτιμάται ότι θα παραμείνουν μεσοπρόθεσμα σε τροχιά ανάπτυξης.</w:t>
      </w:r>
    </w:p>
    <w:p w:rsidR="00291BFC" w:rsidRDefault="00291BFC" w:rsidP="00291BFC">
      <w:pPr>
        <w:ind w:left="-142" w:right="184"/>
        <w:jc w:val="both"/>
        <w:rPr>
          <w:rFonts w:ascii="Arial" w:hAnsi="Arial" w:cs="Arial"/>
          <w:color w:val="000080"/>
          <w:sz w:val="17"/>
          <w:szCs w:val="17"/>
          <w:lang w:val="en-US"/>
        </w:rPr>
      </w:pPr>
    </w:p>
    <w:p w:rsidR="000437D7" w:rsidRDefault="00291BFC" w:rsidP="00291BFC">
      <w:pPr>
        <w:ind w:left="-142" w:right="184"/>
        <w:jc w:val="both"/>
        <w:rPr>
          <w:rFonts w:ascii="Arial" w:hAnsi="Arial" w:cs="Arial"/>
          <w:color w:val="000080"/>
          <w:sz w:val="17"/>
          <w:szCs w:val="17"/>
        </w:rPr>
      </w:pPr>
      <w:r w:rsidRPr="00291BFC">
        <w:rPr>
          <w:rFonts w:ascii="Arial" w:hAnsi="Arial" w:cs="Arial"/>
          <w:color w:val="000080"/>
          <w:sz w:val="17"/>
          <w:szCs w:val="17"/>
        </w:rPr>
        <w:t xml:space="preserve">Οι βασικοί μας στόχοι για το 2017 είναι να παραμείνουμε κερδοφόροι, παρά την επιδείνωση του οικονομικού κλίματος στην Ελλάδα και την υποτροπή της αβεβαιότητας, που επηρεάζει την οικονομική δραστηριότητα, καθώς και να ενισχύσουμε περαιτέρω την κεφαλαιακή μας βάση με την οργανική δημιουργία νέων κεφαλαίων. Προπάντων, εστιάζουμε στην πρόκληση της μείωσης του αποθέματος μη εξυπηρετούμενων ανοιγμάτων στα συμφωνηθέντα με τις εποπτικές </w:t>
      </w:r>
      <w:r>
        <w:rPr>
          <w:rFonts w:ascii="Arial" w:hAnsi="Arial" w:cs="Arial"/>
          <w:color w:val="000080"/>
          <w:sz w:val="17"/>
          <w:szCs w:val="17"/>
        </w:rPr>
        <w:t xml:space="preserve">αρχές </w:t>
      </w:r>
      <w:r w:rsidRPr="00291BFC">
        <w:rPr>
          <w:rFonts w:ascii="Arial" w:hAnsi="Arial" w:cs="Arial"/>
          <w:color w:val="000080"/>
          <w:sz w:val="17"/>
          <w:szCs w:val="17"/>
        </w:rPr>
        <w:t>επίπεδα. Αφιερώνουμε πόρους, χρόνο και καταβάλλουμε κάθε δυνατή προσπάθεια για το σκοπό αυτό και είμαστε πεπεισμένοι ότι τα αποτελέσματα θα είναι πλήρως ευθυγραμμισμένα με τους στόχους. Είναι προφανές ότι η ταχεία ολοκλήρωση της δεύτερης αξιολόγησης όχι μόνον θα διασφαλίσει την επίτευξη των στόχων αλλά και θα απελευθερώσει το σημαντικό αναπτυξιακό δυναμικό που διαθέτει η ελληνική οικονομία.</w:t>
      </w:r>
      <w:r w:rsidR="004512E8" w:rsidRPr="000437D7">
        <w:rPr>
          <w:rFonts w:ascii="Arial" w:hAnsi="Arial" w:cs="Arial"/>
          <w:color w:val="000080"/>
          <w:sz w:val="17"/>
          <w:szCs w:val="17"/>
        </w:rPr>
        <w:t>»</w:t>
      </w:r>
    </w:p>
    <w:p w:rsidR="00845831" w:rsidRDefault="001B0A99" w:rsidP="000437D7">
      <w:pPr>
        <w:spacing w:line="360" w:lineRule="auto"/>
        <w:ind w:left="-142"/>
        <w:jc w:val="both"/>
        <w:rPr>
          <w:rFonts w:ascii="Arial" w:hAnsi="Arial" w:cs="Arial"/>
          <w:i/>
          <w:color w:val="000080"/>
          <w:sz w:val="18"/>
          <w:szCs w:val="18"/>
        </w:rPr>
      </w:pPr>
      <w:r w:rsidRPr="00643B2F">
        <w:rPr>
          <w:rFonts w:ascii="Arial" w:hAnsi="Arial" w:cs="Arial"/>
          <w:i/>
          <w:noProof/>
          <w:color w:val="000080"/>
          <w:sz w:val="18"/>
          <w:szCs w:val="18"/>
        </w:rPr>
        <w:pict>
          <v:roundrect id="_x0000_s1440" style="position:absolute;left:0;text-align:left;margin-left:-17.6pt;margin-top:76.9pt;width:491.1pt;height:707.2pt;z-index:-251652608;visibility:visible;mso-wrap-edited:f;mso-wrap-distance-left:2.88pt;mso-wrap-distance-top:2.88pt;mso-wrap-distance-right:2.88pt;mso-wrap-distance-bottom:2.88pt;mso-position-vertical-relative:page" arcsize="2658f" fillcolor="#dfe4e9" stroked="f" strokecolor="#e5f0f5" insetpen="t" o:cliptowrap="t">
            <v:shadow color="#ccc"/>
            <o:lock v:ext="edit" shapetype="t"/>
            <v:textbox inset="2.88pt,2.88pt,2.88pt,2.88pt"/>
            <w10:wrap anchory="page"/>
          </v:roundrect>
        </w:pict>
      </w:r>
      <w:r w:rsidR="00643B2F">
        <w:rPr>
          <w:rFonts w:ascii="Arial" w:hAnsi="Arial" w:cs="Arial"/>
          <w:i/>
          <w:color w:val="000080"/>
          <w:sz w:val="18"/>
          <w:szCs w:val="18"/>
        </w:rPr>
        <w:t xml:space="preserve"> </w:t>
      </w:r>
      <w:r w:rsidR="000437D7">
        <w:rPr>
          <w:rFonts w:ascii="Arial" w:hAnsi="Arial" w:cs="Arial"/>
          <w:i/>
          <w:color w:val="000080"/>
          <w:sz w:val="18"/>
          <w:szCs w:val="18"/>
        </w:rPr>
        <w:tab/>
      </w:r>
      <w:r w:rsidR="000437D7">
        <w:rPr>
          <w:rFonts w:ascii="Arial" w:hAnsi="Arial" w:cs="Arial"/>
          <w:i/>
          <w:color w:val="000080"/>
          <w:sz w:val="18"/>
          <w:szCs w:val="18"/>
        </w:rPr>
        <w:tab/>
      </w:r>
      <w:r w:rsidR="000437D7">
        <w:rPr>
          <w:rFonts w:ascii="Arial" w:hAnsi="Arial" w:cs="Arial"/>
          <w:i/>
          <w:color w:val="000080"/>
          <w:sz w:val="18"/>
          <w:szCs w:val="18"/>
        </w:rPr>
        <w:tab/>
      </w:r>
      <w:r w:rsidR="000437D7">
        <w:rPr>
          <w:rFonts w:ascii="Arial" w:hAnsi="Arial" w:cs="Arial"/>
          <w:i/>
          <w:color w:val="000080"/>
          <w:sz w:val="18"/>
          <w:szCs w:val="18"/>
        </w:rPr>
        <w:tab/>
      </w:r>
      <w:r w:rsidR="000437D7">
        <w:rPr>
          <w:rFonts w:ascii="Arial" w:hAnsi="Arial" w:cs="Arial"/>
          <w:i/>
          <w:color w:val="000080"/>
          <w:sz w:val="18"/>
          <w:szCs w:val="18"/>
        </w:rPr>
        <w:tab/>
      </w:r>
      <w:r w:rsidR="000437D7">
        <w:rPr>
          <w:rFonts w:ascii="Arial" w:hAnsi="Arial" w:cs="Arial"/>
          <w:i/>
          <w:color w:val="000080"/>
          <w:sz w:val="18"/>
          <w:szCs w:val="18"/>
        </w:rPr>
        <w:tab/>
      </w:r>
      <w:r w:rsidR="000437D7">
        <w:rPr>
          <w:rFonts w:ascii="Arial" w:hAnsi="Arial" w:cs="Arial"/>
          <w:i/>
          <w:color w:val="000080"/>
          <w:sz w:val="18"/>
          <w:szCs w:val="18"/>
        </w:rPr>
        <w:tab/>
      </w:r>
      <w:r w:rsidR="000437D7">
        <w:rPr>
          <w:rFonts w:ascii="Arial" w:hAnsi="Arial" w:cs="Arial"/>
          <w:i/>
          <w:color w:val="000080"/>
          <w:sz w:val="18"/>
          <w:szCs w:val="18"/>
        </w:rPr>
        <w:tab/>
      </w:r>
      <w:r w:rsidR="000437D7">
        <w:rPr>
          <w:rFonts w:ascii="Arial" w:hAnsi="Arial" w:cs="Arial"/>
          <w:i/>
          <w:color w:val="000080"/>
          <w:sz w:val="18"/>
          <w:szCs w:val="18"/>
        </w:rPr>
        <w:tab/>
      </w:r>
    </w:p>
    <w:p w:rsidR="006578C7" w:rsidRDefault="00291BFC" w:rsidP="00291BFC">
      <w:pPr>
        <w:spacing w:line="360" w:lineRule="auto"/>
        <w:jc w:val="both"/>
        <w:rPr>
          <w:rFonts w:ascii="Arial" w:hAnsi="Arial" w:cs="Arial"/>
          <w:i/>
          <w:color w:val="000080"/>
          <w:sz w:val="17"/>
          <w:szCs w:val="17"/>
        </w:rPr>
      </w:pPr>
      <w:r>
        <w:rPr>
          <w:rFonts w:ascii="Arial" w:hAnsi="Arial" w:cs="Arial"/>
          <w:i/>
          <w:color w:val="000080"/>
          <w:sz w:val="17"/>
          <w:szCs w:val="17"/>
        </w:rPr>
        <w:t xml:space="preserve">                                                                                                                    </w:t>
      </w:r>
      <w:r w:rsidR="005B7CDE" w:rsidRPr="000437D7">
        <w:rPr>
          <w:rFonts w:ascii="Arial" w:hAnsi="Arial" w:cs="Arial"/>
          <w:i/>
          <w:color w:val="000080"/>
          <w:sz w:val="17"/>
          <w:szCs w:val="17"/>
        </w:rPr>
        <w:t>Φωκίων Καραβίας, Διευθύνων Σύμβουλος</w:t>
      </w:r>
    </w:p>
    <w:p w:rsidR="00291BFC" w:rsidRPr="00291BFC" w:rsidRDefault="00291BFC" w:rsidP="00845831">
      <w:pPr>
        <w:spacing w:line="360" w:lineRule="auto"/>
        <w:ind w:left="4898" w:firstLine="862"/>
        <w:jc w:val="both"/>
        <w:rPr>
          <w:rFonts w:ascii="Arial" w:hAnsi="Arial" w:cs="Arial"/>
          <w:i/>
          <w:color w:val="000080"/>
          <w:sz w:val="17"/>
          <w:szCs w:val="17"/>
        </w:rPr>
      </w:pPr>
    </w:p>
    <w:p w:rsidR="00291BFC" w:rsidRPr="00291BFC" w:rsidRDefault="00291BFC" w:rsidP="00845831">
      <w:pPr>
        <w:spacing w:line="360" w:lineRule="auto"/>
        <w:ind w:left="4898" w:firstLine="862"/>
        <w:jc w:val="both"/>
        <w:rPr>
          <w:rFonts w:ascii="Arial" w:hAnsi="Arial" w:cs="Arial"/>
          <w:i/>
          <w:color w:val="000080"/>
          <w:sz w:val="17"/>
          <w:szCs w:val="17"/>
        </w:rPr>
      </w:pPr>
    </w:p>
    <w:p w:rsidR="000F2F7B" w:rsidRDefault="000F2F7B" w:rsidP="00A47D45">
      <w:pPr>
        <w:tabs>
          <w:tab w:val="left" w:pos="2694"/>
          <w:tab w:val="left" w:pos="2977"/>
          <w:tab w:val="left" w:pos="8280"/>
        </w:tabs>
        <w:spacing w:line="360" w:lineRule="auto"/>
        <w:ind w:left="2552" w:right="-688"/>
        <w:jc w:val="both"/>
        <w:rPr>
          <w:rFonts w:ascii="Arial" w:hAnsi="Arial" w:cs="Arial"/>
          <w:color w:val="000080"/>
          <w:sz w:val="18"/>
          <w:szCs w:val="18"/>
        </w:rPr>
      </w:pPr>
      <w:bookmarkStart w:id="2" w:name="_GoBack"/>
      <w:bookmarkEnd w:id="2"/>
    </w:p>
    <w:p w:rsidR="00A47D45" w:rsidRPr="009C048B" w:rsidRDefault="008C3112" w:rsidP="00A47D45">
      <w:pPr>
        <w:tabs>
          <w:tab w:val="left" w:pos="2694"/>
          <w:tab w:val="left" w:pos="2977"/>
          <w:tab w:val="left" w:pos="8280"/>
        </w:tabs>
        <w:spacing w:line="360" w:lineRule="auto"/>
        <w:ind w:left="2552" w:right="-688"/>
        <w:jc w:val="both"/>
        <w:rPr>
          <w:rFonts w:ascii="Arial" w:hAnsi="Arial" w:cs="Arial"/>
          <w:color w:val="000080"/>
          <w:sz w:val="18"/>
          <w:szCs w:val="18"/>
        </w:rPr>
      </w:pPr>
      <w:r>
        <w:rPr>
          <w:rFonts w:ascii="Arial" w:hAnsi="Arial" w:cs="Arial"/>
          <w:noProof/>
          <w:color w:val="000080"/>
          <w:sz w:val="18"/>
          <w:szCs w:val="18"/>
        </w:rPr>
        <w:lastRenderedPageBreak/>
        <w:pict>
          <v:shapetype id="_x0000_t202" coordsize="21600,21600" o:spt="202" path="m,l,21600r21600,l21600,xe">
            <v:stroke joinstyle="miter"/>
            <v:path gradientshapeok="t" o:connecttype="rect"/>
          </v:shapetype>
          <v:shape id="Text Box 2" o:spid="_x0000_s1254" type="#_x0000_t202" style="position:absolute;left:0;text-align:left;margin-left:137.85pt;margin-top:-5.55pt;width:305.9pt;height:19.8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color="#365f91">
            <v:textbox style="mso-next-textbox:#Text Box 2">
              <w:txbxContent>
                <w:p w:rsidR="00050234" w:rsidRPr="001B5488" w:rsidRDefault="00050234" w:rsidP="00F37CF5">
                  <w:pPr>
                    <w:tabs>
                      <w:tab w:val="left" w:pos="8280"/>
                    </w:tabs>
                    <w:spacing w:line="360" w:lineRule="auto"/>
                    <w:ind w:right="43"/>
                    <w:jc w:val="center"/>
                    <w:rPr>
                      <w:rFonts w:ascii="Arial" w:hAnsi="Arial" w:cs="Arial"/>
                      <w:b/>
                      <w:color w:val="000080"/>
                      <w:szCs w:val="18"/>
                    </w:rPr>
                  </w:pPr>
                  <w:r w:rsidRPr="001B5488">
                    <w:rPr>
                      <w:rFonts w:ascii="Arial" w:hAnsi="Arial" w:cs="Arial"/>
                      <w:b/>
                      <w:color w:val="000080"/>
                      <w:szCs w:val="18"/>
                    </w:rPr>
                    <w:t>Ανάλυση Αποτελεσμάτων</w:t>
                  </w:r>
                  <w:r>
                    <w:rPr>
                      <w:rFonts w:ascii="Arial" w:hAnsi="Arial" w:cs="Arial"/>
                      <w:b/>
                      <w:color w:val="000080"/>
                      <w:szCs w:val="18"/>
                    </w:rPr>
                    <w:t xml:space="preserve"> </w:t>
                  </w:r>
                  <w:r w:rsidR="00516E15">
                    <w:rPr>
                      <w:rFonts w:ascii="Arial" w:hAnsi="Arial" w:cs="Arial"/>
                      <w:b/>
                      <w:color w:val="000080"/>
                      <w:szCs w:val="18"/>
                    </w:rPr>
                    <w:t xml:space="preserve">Έτους </w:t>
                  </w:r>
                  <w:r w:rsidR="00E86EAE">
                    <w:rPr>
                      <w:rFonts w:ascii="Arial" w:hAnsi="Arial" w:cs="Arial"/>
                      <w:b/>
                      <w:color w:val="000080"/>
                      <w:szCs w:val="18"/>
                    </w:rPr>
                    <w:t>2016</w:t>
                  </w:r>
                </w:p>
                <w:p w:rsidR="00050234" w:rsidRPr="00F37CF5" w:rsidRDefault="00050234" w:rsidP="00F37CF5">
                  <w:pPr>
                    <w:jc w:val="center"/>
                    <w:rPr>
                      <w:lang w:val="en-US"/>
                    </w:rPr>
                  </w:pPr>
                </w:p>
              </w:txbxContent>
            </v:textbox>
          </v:shape>
        </w:pict>
      </w:r>
    </w:p>
    <w:p w:rsidR="00671B48" w:rsidRDefault="00671B48" w:rsidP="00671B48">
      <w:pPr>
        <w:spacing w:line="360" w:lineRule="auto"/>
        <w:ind w:left="2835" w:right="43"/>
        <w:jc w:val="both"/>
        <w:rPr>
          <w:rFonts w:ascii="Arial" w:hAnsi="Arial" w:cs="Arial"/>
          <w:color w:val="000080"/>
          <w:sz w:val="18"/>
          <w:szCs w:val="18"/>
        </w:rPr>
      </w:pPr>
    </w:p>
    <w:p w:rsidR="0046428C" w:rsidRDefault="00FE3BBA" w:rsidP="00091612">
      <w:pPr>
        <w:spacing w:line="360" w:lineRule="auto"/>
        <w:ind w:left="2835" w:right="43"/>
        <w:jc w:val="both"/>
        <w:rPr>
          <w:rFonts w:ascii="Arial" w:hAnsi="Arial" w:cs="Arial"/>
          <w:color w:val="000080"/>
          <w:sz w:val="18"/>
          <w:szCs w:val="18"/>
        </w:rPr>
      </w:pPr>
      <w:r>
        <w:rPr>
          <w:rFonts w:ascii="Arial" w:hAnsi="Arial" w:cs="Arial"/>
          <w:noProof/>
          <w:color w:val="000080"/>
          <w:sz w:val="18"/>
          <w:szCs w:val="18"/>
          <w:lang w:val="en-US" w:eastAsia="en-US"/>
        </w:rPr>
        <w:drawing>
          <wp:anchor distT="0" distB="0" distL="114300" distR="114300" simplePos="0" relativeHeight="251651584" behindDoc="0" locked="0" layoutInCell="1" allowOverlap="1">
            <wp:simplePos x="0" y="0"/>
            <wp:positionH relativeFrom="column">
              <wp:posOffset>-417195</wp:posOffset>
            </wp:positionH>
            <wp:positionV relativeFrom="paragraph">
              <wp:posOffset>232410</wp:posOffset>
            </wp:positionV>
            <wp:extent cx="1781175" cy="2045335"/>
            <wp:effectExtent l="0" t="0" r="0" b="0"/>
            <wp:wrapNone/>
            <wp:docPr id="389" name="Αντικείμενο 38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F12DB">
        <w:rPr>
          <w:rFonts w:ascii="Arial" w:hAnsi="Arial" w:cs="Arial"/>
          <w:noProof/>
          <w:color w:val="000080"/>
          <w:sz w:val="18"/>
          <w:szCs w:val="18"/>
        </w:rPr>
        <w:pict>
          <v:shape id="_x0000_s1412" type="#_x0000_t202" style="position:absolute;left:0;text-align:left;margin-left:-47pt;margin-top:11.15pt;width:162pt;height:29.8pt;z-index:251650560;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412;mso-column-margin:5.7pt" inset="2.85pt,2.85pt,2.85pt,2.85pt">
              <w:txbxContent>
                <w:p w:rsidR="00D22E61" w:rsidRPr="002965F3" w:rsidRDefault="00D22E61" w:rsidP="00D22E61">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Οργανικά Έσοδα</w:t>
                  </w:r>
                </w:p>
                <w:p w:rsidR="00D22E61" w:rsidRPr="009C5EE6" w:rsidRDefault="00D22E61" w:rsidP="00D22E61">
                  <w:pPr>
                    <w:pStyle w:val="msoaccenttext5"/>
                    <w:widowControl w:val="0"/>
                    <w:jc w:val="center"/>
                    <w:rPr>
                      <w:rFonts w:ascii="Arial" w:hAnsi="Arial" w:cs="Arial"/>
                      <w:b/>
                      <w:bCs/>
                      <w:color w:val="000066"/>
                      <w:sz w:val="14"/>
                      <w:szCs w:val="14"/>
                    </w:rPr>
                  </w:pPr>
                  <w:r w:rsidRPr="009C5EE6">
                    <w:rPr>
                      <w:rFonts w:ascii="Arial" w:hAnsi="Arial" w:cs="Arial"/>
                      <w:b/>
                      <w:bCs/>
                      <w:color w:val="000066"/>
                      <w:sz w:val="14"/>
                      <w:szCs w:val="14"/>
                    </w:rPr>
                    <w:t>(€εκ.)</w:t>
                  </w:r>
                </w:p>
              </w:txbxContent>
            </v:textbox>
          </v:shape>
        </w:pict>
      </w:r>
      <w:r w:rsidR="00CF12DB">
        <w:rPr>
          <w:rFonts w:ascii="Arial" w:hAnsi="Arial" w:cs="Arial"/>
          <w:noProof/>
          <w:color w:val="000080"/>
          <w:sz w:val="18"/>
          <w:szCs w:val="18"/>
        </w:rPr>
        <w:pict>
          <v:roundrect id="_x0000_s1414" style="position:absolute;left:0;text-align:left;margin-left:-54pt;margin-top:5.3pt;width:174pt;height:163.7pt;z-index:-251663872;visibility:visible;mso-wrap-distance-left:2.88pt;mso-wrap-distance-top:2.88pt;mso-wrap-distance-right:2.88pt;mso-wrap-distance-bottom:2.88pt;mso-position-horizontal-relative:text;mso-position-vertical-relative:text" arcsize="5607f" fillcolor="#dfe4e9" stroked="f" strokecolor="#006" insetpen="t" o:cliptowrap="t">
            <v:shadow color="#ccc"/>
            <o:lock v:ext="edit" shapetype="t"/>
            <v:textbox inset="2.88pt,2.88pt,2.88pt,2.88pt"/>
          </v:roundrect>
        </w:pict>
      </w:r>
      <w:r w:rsidR="00271D97">
        <w:rPr>
          <w:rFonts w:ascii="Arial" w:hAnsi="Arial" w:cs="Arial"/>
          <w:color w:val="000080"/>
          <w:sz w:val="18"/>
          <w:szCs w:val="18"/>
        </w:rPr>
        <w:t>Τ</w:t>
      </w:r>
      <w:r w:rsidR="004C30ED">
        <w:rPr>
          <w:rFonts w:ascii="Arial" w:hAnsi="Arial" w:cs="Arial"/>
          <w:color w:val="000080"/>
          <w:sz w:val="18"/>
          <w:szCs w:val="18"/>
          <w:lang w:val="en-US"/>
        </w:rPr>
        <w:t>o</w:t>
      </w:r>
      <w:r w:rsidR="004C30ED" w:rsidRPr="004C30ED">
        <w:rPr>
          <w:rFonts w:ascii="Arial" w:hAnsi="Arial" w:cs="Arial"/>
          <w:color w:val="000080"/>
          <w:sz w:val="18"/>
          <w:szCs w:val="18"/>
        </w:rPr>
        <w:t xml:space="preserve"> 2016 </w:t>
      </w:r>
      <w:r w:rsidR="004C30ED">
        <w:rPr>
          <w:rFonts w:ascii="Arial" w:hAnsi="Arial" w:cs="Arial"/>
          <w:color w:val="000080"/>
          <w:sz w:val="18"/>
          <w:szCs w:val="18"/>
        </w:rPr>
        <w:t xml:space="preserve">η </w:t>
      </w:r>
      <w:r w:rsidR="004C30ED">
        <w:rPr>
          <w:rFonts w:ascii="Arial" w:hAnsi="Arial" w:cs="Arial"/>
          <w:color w:val="000080"/>
          <w:sz w:val="18"/>
          <w:szCs w:val="18"/>
          <w:lang w:val="en-US"/>
        </w:rPr>
        <w:t>Eurobank</w:t>
      </w:r>
      <w:r w:rsidR="004C30ED">
        <w:rPr>
          <w:rFonts w:ascii="Arial" w:hAnsi="Arial" w:cs="Arial"/>
          <w:color w:val="000080"/>
          <w:sz w:val="18"/>
          <w:szCs w:val="18"/>
        </w:rPr>
        <w:t xml:space="preserve"> </w:t>
      </w:r>
      <w:r w:rsidR="005271B4">
        <w:rPr>
          <w:rFonts w:ascii="Arial" w:hAnsi="Arial" w:cs="Arial"/>
          <w:color w:val="000080"/>
          <w:sz w:val="18"/>
          <w:szCs w:val="18"/>
        </w:rPr>
        <w:t xml:space="preserve">επέστρεψε στην κερδοφορία, καταγράφοντας </w:t>
      </w:r>
      <w:r w:rsidR="004C30ED">
        <w:rPr>
          <w:rFonts w:ascii="Arial" w:hAnsi="Arial" w:cs="Arial"/>
          <w:color w:val="000080"/>
          <w:sz w:val="18"/>
          <w:szCs w:val="18"/>
        </w:rPr>
        <w:t>σημαντικές λειτουργικές επιδόσεις</w:t>
      </w:r>
      <w:r w:rsidR="005271B4">
        <w:rPr>
          <w:rFonts w:ascii="Arial" w:hAnsi="Arial" w:cs="Arial"/>
          <w:color w:val="000080"/>
          <w:sz w:val="18"/>
          <w:szCs w:val="18"/>
        </w:rPr>
        <w:t>. Τ</w:t>
      </w:r>
      <w:r w:rsidR="00271D97">
        <w:rPr>
          <w:rFonts w:ascii="Arial" w:hAnsi="Arial" w:cs="Arial"/>
          <w:color w:val="000080"/>
          <w:sz w:val="18"/>
          <w:szCs w:val="18"/>
        </w:rPr>
        <w:t xml:space="preserve">α καθαρά κέρδη </w:t>
      </w:r>
      <w:r w:rsidR="005271B4">
        <w:rPr>
          <w:rFonts w:ascii="Arial" w:hAnsi="Arial" w:cs="Arial"/>
          <w:color w:val="000080"/>
          <w:sz w:val="18"/>
          <w:szCs w:val="18"/>
        </w:rPr>
        <w:t xml:space="preserve">διαμορφώθηκαν </w:t>
      </w:r>
      <w:r w:rsidR="004C30ED">
        <w:rPr>
          <w:rFonts w:ascii="Arial" w:hAnsi="Arial" w:cs="Arial"/>
          <w:color w:val="000080"/>
          <w:sz w:val="18"/>
          <w:szCs w:val="18"/>
        </w:rPr>
        <w:t>σε €230εκ.</w:t>
      </w:r>
      <w:r w:rsidR="004D79C4">
        <w:rPr>
          <w:rFonts w:ascii="Arial" w:hAnsi="Arial" w:cs="Arial"/>
          <w:color w:val="000080"/>
          <w:sz w:val="18"/>
          <w:szCs w:val="18"/>
        </w:rPr>
        <w:t xml:space="preserve">, έναντι ζημιών €1,2δισ. το 2015, με τα κέρδη του </w:t>
      </w:r>
      <w:r w:rsidR="005271B4">
        <w:rPr>
          <w:rFonts w:ascii="Arial" w:hAnsi="Arial" w:cs="Arial"/>
          <w:color w:val="000080"/>
          <w:sz w:val="18"/>
          <w:szCs w:val="18"/>
        </w:rPr>
        <w:t xml:space="preserve"> </w:t>
      </w:r>
      <w:r w:rsidR="004D79C4">
        <w:rPr>
          <w:rFonts w:ascii="Arial" w:hAnsi="Arial" w:cs="Arial"/>
          <w:color w:val="000080"/>
          <w:sz w:val="18"/>
          <w:szCs w:val="18"/>
        </w:rPr>
        <w:t xml:space="preserve">Δ΄ τριμήνου 2016 να διαμορφώνονται </w:t>
      </w:r>
      <w:r w:rsidR="005271B4">
        <w:rPr>
          <w:rFonts w:ascii="Arial" w:hAnsi="Arial" w:cs="Arial"/>
          <w:color w:val="000080"/>
          <w:sz w:val="18"/>
          <w:szCs w:val="18"/>
        </w:rPr>
        <w:t>σε €38εκ.</w:t>
      </w:r>
      <w:r w:rsidR="00492DEF">
        <w:rPr>
          <w:rFonts w:ascii="Arial" w:hAnsi="Arial" w:cs="Arial"/>
          <w:color w:val="000080"/>
          <w:sz w:val="18"/>
          <w:szCs w:val="18"/>
        </w:rPr>
        <w:t xml:space="preserve"> </w:t>
      </w:r>
      <w:r w:rsidR="00716702">
        <w:rPr>
          <w:rFonts w:ascii="Arial" w:hAnsi="Arial" w:cs="Arial"/>
          <w:color w:val="000080"/>
          <w:sz w:val="18"/>
          <w:szCs w:val="18"/>
        </w:rPr>
        <w:t xml:space="preserve"> </w:t>
      </w:r>
    </w:p>
    <w:p w:rsidR="0046428C" w:rsidRDefault="0046428C" w:rsidP="00091612">
      <w:pPr>
        <w:spacing w:line="360" w:lineRule="auto"/>
        <w:ind w:left="2835" w:right="43"/>
        <w:jc w:val="both"/>
        <w:rPr>
          <w:rFonts w:ascii="Arial" w:hAnsi="Arial" w:cs="Arial"/>
          <w:color w:val="000080"/>
          <w:sz w:val="18"/>
          <w:szCs w:val="18"/>
        </w:rPr>
      </w:pPr>
    </w:p>
    <w:p w:rsidR="000E23B6" w:rsidRDefault="00B827C9" w:rsidP="000E23B6">
      <w:pPr>
        <w:spacing w:line="360" w:lineRule="auto"/>
        <w:ind w:left="2835" w:right="43"/>
        <w:jc w:val="both"/>
        <w:rPr>
          <w:rFonts w:ascii="Arial" w:hAnsi="Arial" w:cs="Arial"/>
          <w:color w:val="000080"/>
          <w:sz w:val="18"/>
          <w:szCs w:val="18"/>
        </w:rPr>
      </w:pPr>
      <w:r>
        <w:rPr>
          <w:rFonts w:ascii="Arial" w:hAnsi="Arial" w:cs="Arial"/>
          <w:color w:val="000080"/>
          <w:sz w:val="18"/>
          <w:szCs w:val="18"/>
        </w:rPr>
        <w:t>Πιο αναλυτικά, τ</w:t>
      </w:r>
      <w:r w:rsidR="000E23B6" w:rsidRPr="00BE492C">
        <w:rPr>
          <w:rFonts w:ascii="Arial" w:hAnsi="Arial" w:cs="Arial"/>
          <w:color w:val="000080"/>
          <w:sz w:val="18"/>
          <w:szCs w:val="18"/>
        </w:rPr>
        <w:t xml:space="preserve">α </w:t>
      </w:r>
      <w:r w:rsidR="000E23B6" w:rsidRPr="00BE492C">
        <w:rPr>
          <w:rFonts w:ascii="Arial" w:hAnsi="Arial" w:cs="Arial"/>
          <w:b/>
          <w:color w:val="000080"/>
          <w:sz w:val="18"/>
          <w:szCs w:val="18"/>
        </w:rPr>
        <w:t xml:space="preserve">καθαρά έσοδα από τόκους </w:t>
      </w:r>
      <w:r w:rsidR="00DD7292">
        <w:rPr>
          <w:rFonts w:ascii="Arial" w:hAnsi="Arial" w:cs="Arial"/>
          <w:color w:val="000080"/>
          <w:sz w:val="18"/>
          <w:szCs w:val="18"/>
        </w:rPr>
        <w:t xml:space="preserve">αυξήθηκαν κατά 5,8% σε ετήσια βάση σε €1.548εκ., λόγω της </w:t>
      </w:r>
      <w:r w:rsidR="00DD7292" w:rsidRPr="00BE492C">
        <w:rPr>
          <w:rFonts w:ascii="Arial" w:hAnsi="Arial" w:cs="Arial"/>
          <w:color w:val="000080"/>
          <w:sz w:val="18"/>
          <w:szCs w:val="18"/>
        </w:rPr>
        <w:t>μείωση</w:t>
      </w:r>
      <w:r w:rsidR="00DD7292">
        <w:rPr>
          <w:rFonts w:ascii="Arial" w:hAnsi="Arial" w:cs="Arial"/>
          <w:color w:val="000080"/>
          <w:sz w:val="18"/>
          <w:szCs w:val="18"/>
        </w:rPr>
        <w:t>ς</w:t>
      </w:r>
      <w:r w:rsidR="00DD7292" w:rsidRPr="00BE492C">
        <w:rPr>
          <w:rFonts w:ascii="Arial" w:hAnsi="Arial" w:cs="Arial"/>
          <w:color w:val="000080"/>
          <w:sz w:val="18"/>
          <w:szCs w:val="18"/>
        </w:rPr>
        <w:t xml:space="preserve"> του κόστους </w:t>
      </w:r>
      <w:r w:rsidR="00DD7292">
        <w:rPr>
          <w:rFonts w:ascii="Arial" w:hAnsi="Arial" w:cs="Arial"/>
          <w:color w:val="000080"/>
          <w:sz w:val="18"/>
          <w:szCs w:val="18"/>
        </w:rPr>
        <w:t xml:space="preserve">χρηματοδότησης από το ευρωσύστημα, ενώ </w:t>
      </w:r>
      <w:r w:rsidR="00F14F2B">
        <w:rPr>
          <w:rFonts w:ascii="Arial" w:hAnsi="Arial" w:cs="Arial"/>
          <w:color w:val="000080"/>
          <w:sz w:val="18"/>
          <w:szCs w:val="18"/>
        </w:rPr>
        <w:t>παρέμειναν αμετάβλητα το Δ΄ τρίμηνο στα €389εκ.</w:t>
      </w:r>
      <w:r w:rsidR="000E23B6">
        <w:rPr>
          <w:rFonts w:ascii="Arial" w:hAnsi="Arial" w:cs="Arial"/>
          <w:color w:val="000080"/>
          <w:sz w:val="18"/>
          <w:szCs w:val="18"/>
        </w:rPr>
        <w:t xml:space="preserve"> </w:t>
      </w:r>
      <w:r w:rsidR="00F14F2B">
        <w:rPr>
          <w:rFonts w:ascii="Arial" w:hAnsi="Arial" w:cs="Arial"/>
          <w:color w:val="000080"/>
          <w:sz w:val="18"/>
          <w:szCs w:val="18"/>
        </w:rPr>
        <w:t>Τ</w:t>
      </w:r>
      <w:r w:rsidR="000E23B6">
        <w:rPr>
          <w:rFonts w:ascii="Arial" w:hAnsi="Arial" w:cs="Arial"/>
          <w:color w:val="000080"/>
          <w:sz w:val="18"/>
          <w:szCs w:val="18"/>
        </w:rPr>
        <w:t xml:space="preserve">ο καθαρό περιθώριο επιτοκίου </w:t>
      </w:r>
      <w:r w:rsidR="00F826C3">
        <w:rPr>
          <w:rFonts w:ascii="Arial" w:hAnsi="Arial" w:cs="Arial"/>
          <w:color w:val="000080"/>
          <w:sz w:val="18"/>
          <w:szCs w:val="18"/>
        </w:rPr>
        <w:t>βελτιώθηκε</w:t>
      </w:r>
      <w:r w:rsidR="006229F7">
        <w:rPr>
          <w:rFonts w:ascii="Arial" w:hAnsi="Arial" w:cs="Arial"/>
          <w:color w:val="000080"/>
          <w:sz w:val="18"/>
          <w:szCs w:val="18"/>
        </w:rPr>
        <w:t xml:space="preserve"> </w:t>
      </w:r>
      <w:r w:rsidR="00D35277">
        <w:rPr>
          <w:rFonts w:ascii="Arial" w:hAnsi="Arial" w:cs="Arial"/>
          <w:color w:val="000080"/>
          <w:sz w:val="18"/>
          <w:szCs w:val="18"/>
        </w:rPr>
        <w:t xml:space="preserve">κατά </w:t>
      </w:r>
      <w:r w:rsidR="00DD7292">
        <w:rPr>
          <w:rFonts w:ascii="Arial" w:hAnsi="Arial" w:cs="Arial"/>
          <w:color w:val="000080"/>
          <w:sz w:val="18"/>
          <w:szCs w:val="18"/>
        </w:rPr>
        <w:t>23 μονάδες βάσης το 2016 σε 2,25%.</w:t>
      </w:r>
      <w:r w:rsidR="00D35277">
        <w:rPr>
          <w:rFonts w:ascii="Arial" w:hAnsi="Arial" w:cs="Arial"/>
          <w:color w:val="000080"/>
          <w:sz w:val="18"/>
          <w:szCs w:val="18"/>
        </w:rPr>
        <w:t xml:space="preserve"> </w:t>
      </w:r>
    </w:p>
    <w:p w:rsidR="00F826C3" w:rsidRDefault="00F826C3" w:rsidP="00F826C3">
      <w:pPr>
        <w:spacing w:line="360" w:lineRule="auto"/>
        <w:ind w:left="2835" w:right="43"/>
        <w:jc w:val="both"/>
        <w:rPr>
          <w:rFonts w:ascii="Arial" w:hAnsi="Arial" w:cs="Arial"/>
          <w:b/>
          <w:color w:val="000080"/>
          <w:sz w:val="18"/>
          <w:szCs w:val="18"/>
        </w:rPr>
      </w:pPr>
    </w:p>
    <w:p w:rsidR="00F826C3" w:rsidRDefault="00FE3BBA" w:rsidP="00F826C3">
      <w:pPr>
        <w:spacing w:line="360" w:lineRule="auto"/>
        <w:ind w:left="2835" w:right="43"/>
        <w:jc w:val="both"/>
        <w:rPr>
          <w:rFonts w:ascii="Arial" w:hAnsi="Arial" w:cs="Arial"/>
          <w:color w:val="000080"/>
          <w:sz w:val="18"/>
          <w:szCs w:val="18"/>
        </w:rPr>
      </w:pPr>
      <w:r>
        <w:rPr>
          <w:rFonts w:ascii="Arial" w:hAnsi="Arial" w:cs="Arial"/>
          <w:noProof/>
          <w:color w:val="000080"/>
          <w:sz w:val="18"/>
          <w:szCs w:val="18"/>
          <w:lang w:val="en-US" w:eastAsia="en-US"/>
        </w:rPr>
        <w:drawing>
          <wp:anchor distT="0" distB="0" distL="114300" distR="114300" simplePos="0" relativeHeight="251658752" behindDoc="0" locked="0" layoutInCell="1" allowOverlap="1">
            <wp:simplePos x="0" y="0"/>
            <wp:positionH relativeFrom="column">
              <wp:posOffset>-366395</wp:posOffset>
            </wp:positionH>
            <wp:positionV relativeFrom="paragraph">
              <wp:posOffset>495935</wp:posOffset>
            </wp:positionV>
            <wp:extent cx="1781175" cy="2045335"/>
            <wp:effectExtent l="0" t="0" r="0" b="0"/>
            <wp:wrapNone/>
            <wp:docPr id="400" name="Αντικείμενο 4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CF12DB">
        <w:rPr>
          <w:rFonts w:ascii="Arial" w:hAnsi="Arial" w:cs="Arial"/>
          <w:noProof/>
          <w:color w:val="000080"/>
          <w:sz w:val="18"/>
          <w:szCs w:val="18"/>
        </w:rPr>
        <w:pict>
          <v:shape id="_x0000_s1418" type="#_x0000_t202" style="position:absolute;left:0;text-align:left;margin-left:-39.5pt;margin-top:28.8pt;width:162pt;height:29.8pt;z-index:251656704;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418;mso-column-margin:5.7pt" inset="2.85pt,2.85pt,2.85pt,2.85pt">
              <w:txbxContent>
                <w:p w:rsidR="00D22E61" w:rsidRPr="00CA16CB" w:rsidRDefault="00D22E61" w:rsidP="00D22E61">
                  <w:pPr>
                    <w:pStyle w:val="msoaccenttext5"/>
                    <w:widowControl w:val="0"/>
                    <w:jc w:val="center"/>
                    <w:rPr>
                      <w:rFonts w:ascii="Arial" w:hAnsi="Arial" w:cs="Arial"/>
                      <w:b/>
                      <w:bCs/>
                      <w:color w:val="000066"/>
                      <w:sz w:val="12"/>
                      <w:szCs w:val="14"/>
                    </w:rPr>
                  </w:pPr>
                  <w:r>
                    <w:rPr>
                      <w:rFonts w:ascii="Arial" w:hAnsi="Arial" w:cs="Arial"/>
                      <w:b/>
                      <w:bCs/>
                      <w:color w:val="000066"/>
                      <w:sz w:val="14"/>
                      <w:szCs w:val="14"/>
                    </w:rPr>
                    <w:t>Λειτουργικά Έξοδα</w:t>
                  </w:r>
                  <w:r w:rsidR="00CA16CB" w:rsidRPr="00CA16CB">
                    <w:rPr>
                      <w:rFonts w:ascii="Arial" w:hAnsi="Arial" w:cs="Arial"/>
                      <w:b/>
                      <w:bCs/>
                      <w:color w:val="000066"/>
                      <w:sz w:val="14"/>
                      <w:szCs w:val="14"/>
                    </w:rPr>
                    <w:t xml:space="preserve"> </w:t>
                  </w:r>
                </w:p>
                <w:p w:rsidR="00D22E61" w:rsidRPr="00414539" w:rsidRDefault="005673D4" w:rsidP="00D22E61">
                  <w:pPr>
                    <w:pStyle w:val="msoaccenttext5"/>
                    <w:widowControl w:val="0"/>
                    <w:jc w:val="center"/>
                    <w:rPr>
                      <w:rFonts w:ascii="Arial" w:hAnsi="Arial" w:cs="Arial"/>
                      <w:b/>
                      <w:bCs/>
                      <w:color w:val="000066"/>
                      <w:sz w:val="12"/>
                    </w:rPr>
                  </w:pPr>
                  <w:r>
                    <w:rPr>
                      <w:rFonts w:ascii="Arial" w:hAnsi="Arial" w:cs="Arial"/>
                      <w:b/>
                      <w:bCs/>
                      <w:color w:val="000066"/>
                      <w:sz w:val="12"/>
                    </w:rPr>
                    <w:t>(</w:t>
                  </w:r>
                  <w:r w:rsidR="00CA16CB" w:rsidRPr="00414539">
                    <w:rPr>
                      <w:rFonts w:ascii="Arial" w:hAnsi="Arial" w:cs="Arial"/>
                      <w:b/>
                      <w:bCs/>
                      <w:color w:val="000066"/>
                      <w:sz w:val="12"/>
                    </w:rPr>
                    <w:t>σε συγκρίσιμη βάση</w:t>
                  </w:r>
                  <w:r>
                    <w:rPr>
                      <w:rFonts w:ascii="Arial" w:hAnsi="Arial" w:cs="Arial"/>
                      <w:b/>
                      <w:bCs/>
                      <w:color w:val="000066"/>
                      <w:sz w:val="12"/>
                      <w:lang w:val="en-US"/>
                    </w:rPr>
                    <w:t>, €</w:t>
                  </w:r>
                  <w:r>
                    <w:rPr>
                      <w:rFonts w:ascii="Arial" w:hAnsi="Arial" w:cs="Arial"/>
                      <w:b/>
                      <w:bCs/>
                      <w:color w:val="000066"/>
                      <w:sz w:val="12"/>
                    </w:rPr>
                    <w:t>εκ</w:t>
                  </w:r>
                  <w:r w:rsidR="00D22E61" w:rsidRPr="00414539">
                    <w:rPr>
                      <w:rFonts w:ascii="Arial" w:hAnsi="Arial" w:cs="Arial"/>
                      <w:b/>
                      <w:bCs/>
                      <w:color w:val="000066"/>
                      <w:sz w:val="12"/>
                    </w:rPr>
                    <w:t>)</w:t>
                  </w:r>
                </w:p>
              </w:txbxContent>
            </v:textbox>
          </v:shape>
        </w:pict>
      </w:r>
      <w:r w:rsidR="00CF12DB">
        <w:rPr>
          <w:rFonts w:ascii="Arial" w:hAnsi="Arial" w:cs="Arial"/>
          <w:noProof/>
          <w:color w:val="000080"/>
          <w:sz w:val="18"/>
          <w:szCs w:val="18"/>
        </w:rPr>
        <w:pict>
          <v:roundrect id="_x0000_s1420" style="position:absolute;left:0;text-align:left;margin-left:-54pt;margin-top:25.8pt;width:174pt;height:163.7pt;z-index:-251658752;visibility:visible;mso-wrap-distance-left:2.88pt;mso-wrap-distance-top:2.88pt;mso-wrap-distance-right:2.88pt;mso-wrap-distance-bottom:2.88pt;mso-position-horizontal-relative:text;mso-position-vertical-relative:text" arcsize="5607f" fillcolor="#dfe4e9" stroked="f" strokecolor="#006" insetpen="t" o:cliptowrap="t">
            <v:shadow color="#ccc"/>
            <o:lock v:ext="edit" shapetype="t"/>
            <v:textbox inset="2.88pt,2.88pt,2.88pt,2.88pt"/>
          </v:roundrect>
        </w:pict>
      </w:r>
      <w:r w:rsidR="00F826C3" w:rsidRPr="00BC1A17">
        <w:rPr>
          <w:rFonts w:ascii="Arial" w:hAnsi="Arial" w:cs="Arial"/>
          <w:b/>
          <w:color w:val="000080"/>
          <w:sz w:val="18"/>
          <w:szCs w:val="18"/>
        </w:rPr>
        <w:t xml:space="preserve">Τα καθαρά έσοδα από αμοιβές και προμήθειες </w:t>
      </w:r>
      <w:r w:rsidR="00F826C3">
        <w:rPr>
          <w:rFonts w:ascii="Arial" w:hAnsi="Arial" w:cs="Arial"/>
          <w:color w:val="000080"/>
          <w:sz w:val="18"/>
          <w:szCs w:val="18"/>
        </w:rPr>
        <w:t xml:space="preserve">ενισχύθηκαν κατά </w:t>
      </w:r>
      <w:r w:rsidR="00DD7292">
        <w:rPr>
          <w:rFonts w:ascii="Arial" w:hAnsi="Arial" w:cs="Arial"/>
          <w:color w:val="000080"/>
          <w:sz w:val="18"/>
          <w:szCs w:val="18"/>
        </w:rPr>
        <w:t xml:space="preserve">22,2% και </w:t>
      </w:r>
      <w:r w:rsidR="00BB4E2C">
        <w:rPr>
          <w:rFonts w:ascii="Arial" w:hAnsi="Arial" w:cs="Arial"/>
          <w:color w:val="000080"/>
          <w:sz w:val="18"/>
          <w:szCs w:val="18"/>
        </w:rPr>
        <w:t>7</w:t>
      </w:r>
      <w:r w:rsidR="00037836">
        <w:rPr>
          <w:rFonts w:ascii="Arial" w:hAnsi="Arial" w:cs="Arial"/>
          <w:color w:val="000080"/>
          <w:sz w:val="18"/>
          <w:szCs w:val="18"/>
        </w:rPr>
        <w:t>,6</w:t>
      </w:r>
      <w:r w:rsidR="00F826C3">
        <w:rPr>
          <w:rFonts w:ascii="Arial" w:hAnsi="Arial" w:cs="Arial"/>
          <w:color w:val="000080"/>
          <w:sz w:val="18"/>
          <w:szCs w:val="18"/>
        </w:rPr>
        <w:t xml:space="preserve">% </w:t>
      </w:r>
      <w:r w:rsidR="00DD7292">
        <w:rPr>
          <w:rFonts w:ascii="Arial" w:hAnsi="Arial" w:cs="Arial"/>
          <w:color w:val="000080"/>
          <w:sz w:val="18"/>
          <w:szCs w:val="18"/>
        </w:rPr>
        <w:t xml:space="preserve">σε ετήσια και </w:t>
      </w:r>
      <w:r w:rsidR="00B827C9">
        <w:rPr>
          <w:rFonts w:ascii="Arial" w:hAnsi="Arial" w:cs="Arial"/>
          <w:color w:val="000080"/>
          <w:sz w:val="18"/>
          <w:szCs w:val="18"/>
        </w:rPr>
        <w:t>τριμηνιαία</w:t>
      </w:r>
      <w:r w:rsidR="00037836">
        <w:rPr>
          <w:rFonts w:ascii="Arial" w:hAnsi="Arial" w:cs="Arial"/>
          <w:color w:val="000080"/>
          <w:sz w:val="18"/>
          <w:szCs w:val="18"/>
        </w:rPr>
        <w:t xml:space="preserve"> </w:t>
      </w:r>
      <w:r w:rsidR="00B827C9">
        <w:rPr>
          <w:rFonts w:ascii="Arial" w:hAnsi="Arial" w:cs="Arial"/>
          <w:color w:val="000080"/>
          <w:sz w:val="18"/>
          <w:szCs w:val="18"/>
        </w:rPr>
        <w:t>βάση</w:t>
      </w:r>
      <w:r w:rsidR="00037836">
        <w:rPr>
          <w:rFonts w:ascii="Arial" w:hAnsi="Arial" w:cs="Arial"/>
          <w:color w:val="000080"/>
          <w:sz w:val="18"/>
          <w:szCs w:val="18"/>
        </w:rPr>
        <w:t xml:space="preserve"> αντίστοιχα</w:t>
      </w:r>
      <w:r w:rsidR="00C27091">
        <w:rPr>
          <w:rFonts w:ascii="Arial" w:hAnsi="Arial" w:cs="Arial"/>
          <w:color w:val="000080"/>
          <w:sz w:val="18"/>
          <w:szCs w:val="18"/>
        </w:rPr>
        <w:t xml:space="preserve">. Η αύξηση αυτή ήταν </w:t>
      </w:r>
      <w:r w:rsidR="00136B69">
        <w:rPr>
          <w:rFonts w:ascii="Arial" w:hAnsi="Arial" w:cs="Arial"/>
          <w:color w:val="000080"/>
          <w:sz w:val="18"/>
          <w:szCs w:val="18"/>
        </w:rPr>
        <w:t>αποτέλεσμα κυρίως της μείωσης των</w:t>
      </w:r>
      <w:r w:rsidR="006229F7">
        <w:rPr>
          <w:rFonts w:ascii="Arial" w:hAnsi="Arial" w:cs="Arial"/>
          <w:color w:val="000080"/>
          <w:sz w:val="18"/>
          <w:szCs w:val="18"/>
        </w:rPr>
        <w:t xml:space="preserve"> δαπανών </w:t>
      </w:r>
      <w:r w:rsidR="00A6611F">
        <w:rPr>
          <w:rFonts w:ascii="Arial" w:hAnsi="Arial" w:cs="Arial"/>
          <w:color w:val="000080"/>
          <w:sz w:val="18"/>
          <w:szCs w:val="18"/>
        </w:rPr>
        <w:t>για τη χρήση των εγγυήσεων του Ε</w:t>
      </w:r>
      <w:r w:rsidR="006229F7">
        <w:rPr>
          <w:rFonts w:ascii="Arial" w:hAnsi="Arial" w:cs="Arial"/>
          <w:color w:val="000080"/>
          <w:sz w:val="18"/>
          <w:szCs w:val="18"/>
        </w:rPr>
        <w:t xml:space="preserve">λληνικού </w:t>
      </w:r>
      <w:r w:rsidR="00A6611F">
        <w:rPr>
          <w:rFonts w:ascii="Arial" w:hAnsi="Arial" w:cs="Arial"/>
          <w:color w:val="000080"/>
          <w:sz w:val="18"/>
          <w:szCs w:val="18"/>
        </w:rPr>
        <w:t>Δ</w:t>
      </w:r>
      <w:r w:rsidR="006229F7">
        <w:rPr>
          <w:rFonts w:ascii="Arial" w:hAnsi="Arial" w:cs="Arial"/>
          <w:color w:val="000080"/>
          <w:sz w:val="18"/>
          <w:szCs w:val="18"/>
        </w:rPr>
        <w:t>ημοσίου (Πυλώνας ΙΙ)</w:t>
      </w:r>
      <w:r w:rsidR="00037836">
        <w:rPr>
          <w:rFonts w:ascii="Arial" w:hAnsi="Arial" w:cs="Arial"/>
          <w:color w:val="000080"/>
          <w:sz w:val="18"/>
          <w:szCs w:val="18"/>
        </w:rPr>
        <w:t xml:space="preserve"> κατά €42εκ</w:t>
      </w:r>
      <w:r w:rsidR="006229F7">
        <w:rPr>
          <w:rFonts w:ascii="Arial" w:hAnsi="Arial" w:cs="Arial"/>
          <w:color w:val="000080"/>
          <w:sz w:val="18"/>
          <w:szCs w:val="18"/>
        </w:rPr>
        <w:t>.</w:t>
      </w:r>
      <w:r w:rsidR="00037836">
        <w:rPr>
          <w:rFonts w:ascii="Arial" w:hAnsi="Arial" w:cs="Arial"/>
          <w:color w:val="000080"/>
          <w:sz w:val="18"/>
          <w:szCs w:val="18"/>
        </w:rPr>
        <w:t xml:space="preserve"> το 2016.</w:t>
      </w:r>
      <w:r w:rsidR="00C27091">
        <w:rPr>
          <w:rFonts w:ascii="Arial" w:hAnsi="Arial" w:cs="Arial"/>
          <w:color w:val="000080"/>
          <w:sz w:val="18"/>
          <w:szCs w:val="18"/>
        </w:rPr>
        <w:t xml:space="preserve"> Τα καθαρά έσοδα από αμοιβές και</w:t>
      </w:r>
      <w:r w:rsidR="00037836">
        <w:rPr>
          <w:rFonts w:ascii="Arial" w:hAnsi="Arial" w:cs="Arial"/>
          <w:color w:val="000080"/>
          <w:sz w:val="18"/>
          <w:szCs w:val="18"/>
        </w:rPr>
        <w:t xml:space="preserve"> προμήθειες αντιστοιχούσαν σε 49</w:t>
      </w:r>
      <w:r w:rsidR="00C27091">
        <w:rPr>
          <w:rFonts w:ascii="Arial" w:hAnsi="Arial" w:cs="Arial"/>
          <w:color w:val="000080"/>
          <w:sz w:val="18"/>
          <w:szCs w:val="18"/>
        </w:rPr>
        <w:t xml:space="preserve"> μονάδες βάσης επί του συνόλου του ενεργητικού στο τέλος του </w:t>
      </w:r>
      <w:r w:rsidR="00037836">
        <w:rPr>
          <w:rFonts w:ascii="Arial" w:hAnsi="Arial" w:cs="Arial"/>
          <w:color w:val="000080"/>
          <w:sz w:val="18"/>
          <w:szCs w:val="18"/>
        </w:rPr>
        <w:t>Δ΄ τριμήνου 2016, έναντι 34</w:t>
      </w:r>
      <w:r w:rsidR="00C27091">
        <w:rPr>
          <w:rFonts w:ascii="Arial" w:hAnsi="Arial" w:cs="Arial"/>
          <w:color w:val="000080"/>
          <w:sz w:val="18"/>
          <w:szCs w:val="18"/>
        </w:rPr>
        <w:t xml:space="preserve"> μονάδων βάσης το αντίστοιχο τρίμηνο </w:t>
      </w:r>
      <w:r w:rsidR="00037836">
        <w:rPr>
          <w:rFonts w:ascii="Arial" w:hAnsi="Arial" w:cs="Arial"/>
          <w:color w:val="000080"/>
          <w:sz w:val="18"/>
          <w:szCs w:val="18"/>
        </w:rPr>
        <w:t>του 2015</w:t>
      </w:r>
      <w:r w:rsidR="00C27091">
        <w:rPr>
          <w:rFonts w:ascii="Arial" w:hAnsi="Arial" w:cs="Arial"/>
          <w:color w:val="000080"/>
          <w:sz w:val="18"/>
          <w:szCs w:val="18"/>
        </w:rPr>
        <w:t>.</w:t>
      </w:r>
    </w:p>
    <w:p w:rsidR="006229F7" w:rsidRDefault="006229F7" w:rsidP="00091612">
      <w:pPr>
        <w:spacing w:line="360" w:lineRule="auto"/>
        <w:ind w:left="2835" w:right="43"/>
        <w:jc w:val="both"/>
        <w:rPr>
          <w:rFonts w:ascii="Arial" w:hAnsi="Arial" w:cs="Arial"/>
          <w:b/>
          <w:color w:val="000080"/>
          <w:sz w:val="18"/>
          <w:szCs w:val="18"/>
        </w:rPr>
      </w:pPr>
    </w:p>
    <w:p w:rsidR="000E23B6" w:rsidRDefault="00136B69" w:rsidP="00091612">
      <w:pPr>
        <w:spacing w:line="360" w:lineRule="auto"/>
        <w:ind w:left="2835" w:right="43"/>
        <w:jc w:val="both"/>
        <w:rPr>
          <w:rFonts w:ascii="Arial" w:hAnsi="Arial" w:cs="Arial"/>
          <w:color w:val="000080"/>
          <w:sz w:val="18"/>
          <w:szCs w:val="18"/>
        </w:rPr>
      </w:pPr>
      <w:r>
        <w:rPr>
          <w:rFonts w:ascii="Arial" w:hAnsi="Arial" w:cs="Arial"/>
          <w:b/>
          <w:color w:val="000080"/>
          <w:sz w:val="18"/>
          <w:szCs w:val="18"/>
        </w:rPr>
        <w:t>Τ</w:t>
      </w:r>
      <w:r w:rsidR="006229F7" w:rsidRPr="00230967">
        <w:rPr>
          <w:rFonts w:ascii="Arial" w:hAnsi="Arial" w:cs="Arial"/>
          <w:b/>
          <w:color w:val="000080"/>
          <w:sz w:val="18"/>
          <w:szCs w:val="18"/>
        </w:rPr>
        <w:t xml:space="preserve">α </w:t>
      </w:r>
      <w:r w:rsidR="006229F7">
        <w:rPr>
          <w:rFonts w:ascii="Arial" w:hAnsi="Arial" w:cs="Arial"/>
          <w:b/>
          <w:color w:val="000080"/>
          <w:sz w:val="18"/>
          <w:szCs w:val="18"/>
        </w:rPr>
        <w:t xml:space="preserve">οργανικά </w:t>
      </w:r>
      <w:r w:rsidR="006229F7" w:rsidRPr="00230967">
        <w:rPr>
          <w:rFonts w:ascii="Arial" w:hAnsi="Arial" w:cs="Arial"/>
          <w:b/>
          <w:color w:val="000080"/>
          <w:sz w:val="18"/>
          <w:szCs w:val="18"/>
        </w:rPr>
        <w:t xml:space="preserve">έσοδα </w:t>
      </w:r>
      <w:r w:rsidR="006229F7">
        <w:rPr>
          <w:rFonts w:ascii="Arial" w:hAnsi="Arial" w:cs="Arial"/>
          <w:color w:val="000080"/>
          <w:sz w:val="18"/>
          <w:szCs w:val="18"/>
        </w:rPr>
        <w:t>αυξήθηκαν</w:t>
      </w:r>
      <w:r w:rsidR="00B827C9">
        <w:rPr>
          <w:rFonts w:ascii="Arial" w:hAnsi="Arial" w:cs="Arial"/>
          <w:color w:val="000080"/>
          <w:sz w:val="18"/>
          <w:szCs w:val="18"/>
        </w:rPr>
        <w:t xml:space="preserve"> </w:t>
      </w:r>
      <w:r w:rsidR="00B74321">
        <w:rPr>
          <w:rFonts w:ascii="Arial" w:hAnsi="Arial" w:cs="Arial"/>
          <w:color w:val="000080"/>
          <w:sz w:val="18"/>
          <w:szCs w:val="18"/>
        </w:rPr>
        <w:t xml:space="preserve">κατά </w:t>
      </w:r>
      <w:r w:rsidR="00DD7292">
        <w:rPr>
          <w:rFonts w:ascii="Arial" w:hAnsi="Arial" w:cs="Arial"/>
          <w:color w:val="000080"/>
          <w:sz w:val="18"/>
          <w:szCs w:val="18"/>
        </w:rPr>
        <w:t xml:space="preserve">8,2% το 2016 και </w:t>
      </w:r>
      <w:r w:rsidR="00B74321">
        <w:rPr>
          <w:rFonts w:ascii="Arial" w:hAnsi="Arial" w:cs="Arial"/>
          <w:color w:val="000080"/>
          <w:sz w:val="18"/>
          <w:szCs w:val="18"/>
        </w:rPr>
        <w:t>1,2</w:t>
      </w:r>
      <w:r w:rsidR="00BB4E2C">
        <w:rPr>
          <w:rFonts w:ascii="Arial" w:hAnsi="Arial" w:cs="Arial"/>
          <w:color w:val="000080"/>
          <w:sz w:val="18"/>
          <w:szCs w:val="18"/>
        </w:rPr>
        <w:t xml:space="preserve">% </w:t>
      </w:r>
      <w:r w:rsidR="00B74321">
        <w:rPr>
          <w:rFonts w:ascii="Arial" w:hAnsi="Arial" w:cs="Arial"/>
          <w:color w:val="000080"/>
          <w:sz w:val="18"/>
          <w:szCs w:val="18"/>
        </w:rPr>
        <w:t xml:space="preserve">το Δ΄ τρίμηνο, γεγονός που αντανακλά τη βελτίωση των λειτουργικών επιδόσεων της </w:t>
      </w:r>
      <w:r w:rsidR="00B74321">
        <w:rPr>
          <w:rFonts w:ascii="Arial" w:hAnsi="Arial" w:cs="Arial"/>
          <w:color w:val="000080"/>
          <w:sz w:val="18"/>
          <w:szCs w:val="18"/>
          <w:lang w:val="en-US"/>
        </w:rPr>
        <w:t>Eurobank</w:t>
      </w:r>
      <w:r w:rsidR="00B74321" w:rsidRPr="00B74321">
        <w:rPr>
          <w:rFonts w:ascii="Arial" w:hAnsi="Arial" w:cs="Arial"/>
          <w:color w:val="000080"/>
          <w:sz w:val="18"/>
          <w:szCs w:val="18"/>
        </w:rPr>
        <w:t xml:space="preserve">. </w:t>
      </w:r>
      <w:r w:rsidR="00B74321" w:rsidRPr="004550E2">
        <w:rPr>
          <w:rFonts w:ascii="Arial" w:hAnsi="Arial" w:cs="Arial"/>
          <w:b/>
          <w:color w:val="000080"/>
          <w:sz w:val="18"/>
          <w:szCs w:val="18"/>
          <w:lang w:val="en-US"/>
        </w:rPr>
        <w:t>T</w:t>
      </w:r>
      <w:r w:rsidR="006229F7" w:rsidRPr="004550E2">
        <w:rPr>
          <w:rFonts w:ascii="Arial" w:hAnsi="Arial" w:cs="Arial"/>
          <w:b/>
          <w:color w:val="000080"/>
          <w:sz w:val="18"/>
          <w:szCs w:val="18"/>
        </w:rPr>
        <w:t>α λοιπά έσοδα</w:t>
      </w:r>
      <w:r w:rsidR="006229F7">
        <w:rPr>
          <w:rFonts w:ascii="Arial" w:hAnsi="Arial" w:cs="Arial"/>
          <w:color w:val="000080"/>
          <w:sz w:val="18"/>
          <w:szCs w:val="18"/>
        </w:rPr>
        <w:t xml:space="preserve"> </w:t>
      </w:r>
      <w:r w:rsidR="00BB4E2C">
        <w:rPr>
          <w:rFonts w:ascii="Arial" w:hAnsi="Arial" w:cs="Arial"/>
          <w:color w:val="000080"/>
          <w:sz w:val="18"/>
          <w:szCs w:val="18"/>
        </w:rPr>
        <w:t xml:space="preserve">διαμορφώθηκαν </w:t>
      </w:r>
      <w:r w:rsidR="006229F7">
        <w:rPr>
          <w:rFonts w:ascii="Arial" w:hAnsi="Arial" w:cs="Arial"/>
          <w:color w:val="000080"/>
          <w:sz w:val="18"/>
          <w:szCs w:val="18"/>
        </w:rPr>
        <w:t xml:space="preserve">σε </w:t>
      </w:r>
      <w:r w:rsidR="00DD7292">
        <w:rPr>
          <w:rFonts w:ascii="Arial" w:hAnsi="Arial" w:cs="Arial"/>
          <w:color w:val="000080"/>
          <w:sz w:val="18"/>
          <w:szCs w:val="18"/>
        </w:rPr>
        <w:t>€217εκ. το 2016 και περιλαμβάνουν €73</w:t>
      </w:r>
      <w:r w:rsidR="00B74321">
        <w:rPr>
          <w:rFonts w:ascii="Arial" w:hAnsi="Arial" w:cs="Arial"/>
          <w:color w:val="000080"/>
          <w:sz w:val="18"/>
          <w:szCs w:val="18"/>
        </w:rPr>
        <w:t xml:space="preserve">εκ. κέρδη από την πώληση ομολόγων </w:t>
      </w:r>
      <w:r w:rsidR="00B74321">
        <w:rPr>
          <w:rFonts w:ascii="Arial" w:hAnsi="Arial" w:cs="Arial"/>
          <w:color w:val="000080"/>
          <w:sz w:val="18"/>
          <w:szCs w:val="18"/>
          <w:lang w:val="en-US"/>
        </w:rPr>
        <w:t>EFSF</w:t>
      </w:r>
      <w:r w:rsidR="00B74321" w:rsidRPr="00B74321">
        <w:rPr>
          <w:rFonts w:ascii="Arial" w:hAnsi="Arial" w:cs="Arial"/>
          <w:color w:val="000080"/>
          <w:sz w:val="18"/>
          <w:szCs w:val="18"/>
        </w:rPr>
        <w:t>.</w:t>
      </w:r>
      <w:r w:rsidR="00874F35" w:rsidRPr="00874F35">
        <w:rPr>
          <w:rFonts w:ascii="Arial" w:hAnsi="Arial" w:cs="Arial"/>
          <w:color w:val="000080"/>
          <w:sz w:val="18"/>
          <w:szCs w:val="18"/>
        </w:rPr>
        <w:t xml:space="preserve"> </w:t>
      </w:r>
      <w:r w:rsidR="00B74321">
        <w:rPr>
          <w:rFonts w:ascii="Arial" w:hAnsi="Arial" w:cs="Arial"/>
          <w:color w:val="000080"/>
          <w:sz w:val="18"/>
          <w:szCs w:val="18"/>
        </w:rPr>
        <w:t>Τ</w:t>
      </w:r>
      <w:r w:rsidR="00C27091">
        <w:rPr>
          <w:rFonts w:ascii="Arial" w:hAnsi="Arial" w:cs="Arial"/>
          <w:color w:val="000080"/>
          <w:sz w:val="18"/>
          <w:szCs w:val="18"/>
        </w:rPr>
        <w:t xml:space="preserve">α </w:t>
      </w:r>
      <w:r w:rsidR="00C27091" w:rsidRPr="00687365">
        <w:rPr>
          <w:rFonts w:ascii="Arial" w:hAnsi="Arial" w:cs="Arial"/>
          <w:b/>
          <w:color w:val="000080"/>
          <w:sz w:val="18"/>
          <w:szCs w:val="18"/>
        </w:rPr>
        <w:t>συνολικά έσοδα</w:t>
      </w:r>
      <w:r w:rsidR="00C27091">
        <w:rPr>
          <w:rFonts w:ascii="Arial" w:hAnsi="Arial" w:cs="Arial"/>
          <w:color w:val="000080"/>
          <w:sz w:val="18"/>
          <w:szCs w:val="18"/>
        </w:rPr>
        <w:t xml:space="preserve"> </w:t>
      </w:r>
      <w:r w:rsidR="00B74321">
        <w:rPr>
          <w:rFonts w:ascii="Arial" w:hAnsi="Arial" w:cs="Arial"/>
          <w:color w:val="000080"/>
          <w:sz w:val="18"/>
          <w:szCs w:val="18"/>
        </w:rPr>
        <w:t xml:space="preserve">ενισχύθηκαν κατά </w:t>
      </w:r>
      <w:r w:rsidR="00DD7292">
        <w:rPr>
          <w:rFonts w:ascii="Arial" w:hAnsi="Arial" w:cs="Arial"/>
          <w:color w:val="000080"/>
          <w:sz w:val="18"/>
          <w:szCs w:val="18"/>
        </w:rPr>
        <w:t xml:space="preserve">17,1% το 2016 σε €2.063εκ. και κατά </w:t>
      </w:r>
      <w:r w:rsidR="00C27091">
        <w:rPr>
          <w:rFonts w:ascii="Arial" w:hAnsi="Arial" w:cs="Arial"/>
          <w:color w:val="000080"/>
          <w:sz w:val="18"/>
          <w:szCs w:val="18"/>
        </w:rPr>
        <w:t>5,</w:t>
      </w:r>
      <w:r w:rsidR="00B74321">
        <w:rPr>
          <w:rFonts w:ascii="Arial" w:hAnsi="Arial" w:cs="Arial"/>
          <w:color w:val="000080"/>
          <w:sz w:val="18"/>
          <w:szCs w:val="18"/>
        </w:rPr>
        <w:t>9</w:t>
      </w:r>
      <w:r w:rsidR="00C27091">
        <w:rPr>
          <w:rFonts w:ascii="Arial" w:hAnsi="Arial" w:cs="Arial"/>
          <w:color w:val="000080"/>
          <w:sz w:val="18"/>
          <w:szCs w:val="18"/>
        </w:rPr>
        <w:t xml:space="preserve">% έναντι του </w:t>
      </w:r>
      <w:r w:rsidR="00B74321">
        <w:rPr>
          <w:rFonts w:ascii="Arial" w:hAnsi="Arial" w:cs="Arial"/>
          <w:color w:val="000080"/>
          <w:sz w:val="18"/>
          <w:szCs w:val="18"/>
        </w:rPr>
        <w:t>Γ</w:t>
      </w:r>
      <w:r w:rsidR="00C27091">
        <w:rPr>
          <w:rFonts w:ascii="Arial" w:hAnsi="Arial" w:cs="Arial"/>
          <w:color w:val="000080"/>
          <w:sz w:val="18"/>
          <w:szCs w:val="18"/>
        </w:rPr>
        <w:t>΄ τριμήνου 2016 σε €</w:t>
      </w:r>
      <w:r w:rsidR="00B74321">
        <w:rPr>
          <w:rFonts w:ascii="Arial" w:hAnsi="Arial" w:cs="Arial"/>
          <w:color w:val="000080"/>
          <w:sz w:val="18"/>
          <w:szCs w:val="18"/>
        </w:rPr>
        <w:t>526</w:t>
      </w:r>
      <w:r w:rsidR="00C27091">
        <w:rPr>
          <w:rFonts w:ascii="Arial" w:hAnsi="Arial" w:cs="Arial"/>
          <w:color w:val="000080"/>
          <w:sz w:val="18"/>
          <w:szCs w:val="18"/>
        </w:rPr>
        <w:t xml:space="preserve">εκ. </w:t>
      </w:r>
    </w:p>
    <w:p w:rsidR="000E23B6" w:rsidRDefault="00CF12DB" w:rsidP="00091612">
      <w:pPr>
        <w:spacing w:line="360" w:lineRule="auto"/>
        <w:ind w:left="2835" w:right="43"/>
        <w:jc w:val="both"/>
        <w:rPr>
          <w:rFonts w:ascii="Arial" w:hAnsi="Arial" w:cs="Arial"/>
          <w:color w:val="000080"/>
          <w:sz w:val="18"/>
          <w:szCs w:val="18"/>
        </w:rPr>
      </w:pPr>
      <w:r>
        <w:rPr>
          <w:rFonts w:ascii="Arial" w:hAnsi="Arial" w:cs="Arial"/>
          <w:b/>
          <w:noProof/>
          <w:color w:val="000080"/>
          <w:sz w:val="18"/>
          <w:szCs w:val="18"/>
        </w:rPr>
        <w:pict>
          <v:roundrect id="_x0000_s1426" style="position:absolute;left:0;text-align:left;margin-left:-53.5pt;margin-top:3pt;width:174pt;height:163.7pt;z-index:-251655680;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r>
        <w:rPr>
          <w:rFonts w:ascii="Arial" w:hAnsi="Arial" w:cs="Arial"/>
          <w:b/>
          <w:noProof/>
          <w:color w:val="000080"/>
          <w:sz w:val="18"/>
          <w:szCs w:val="18"/>
        </w:rPr>
        <w:pict>
          <v:shape id="_x0000_s1425" type="#_x0000_t202" style="position:absolute;left:0;text-align:left;margin-left:-40.9pt;margin-top:5.4pt;width:162pt;height:29.8pt;z-index:251659776;visibility:visible;mso-wrap-edited:f;mso-wrap-distance-left:2.88pt;mso-wrap-distance-top:2.88pt;mso-wrap-distance-right:2.88pt;mso-wrap-distance-bottom:2.88pt" filled="f" stroked="f" strokeweight="0" insetpen="t" o:cliptowrap="t">
            <v:shadow color="#ccc"/>
            <o:lock v:ext="edit" shapetype="t"/>
            <v:textbox style="mso-next-textbox:#_x0000_s1425;mso-column-margin:5.7pt" inset="2.85pt,2.85pt,2.85pt,2.85pt">
              <w:txbxContent>
                <w:p w:rsidR="00F15630" w:rsidRPr="002965F3" w:rsidRDefault="00F15630" w:rsidP="00F15630">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Κέρδη προ Προβλέψεων</w:t>
                  </w:r>
                </w:p>
                <w:p w:rsidR="00F15630" w:rsidRPr="00414539" w:rsidRDefault="005673D4" w:rsidP="00F15630">
                  <w:pPr>
                    <w:pStyle w:val="msoaccenttext5"/>
                    <w:widowControl w:val="0"/>
                    <w:jc w:val="center"/>
                    <w:rPr>
                      <w:rFonts w:ascii="Arial" w:hAnsi="Arial" w:cs="Arial"/>
                      <w:b/>
                      <w:bCs/>
                      <w:color w:val="000066"/>
                      <w:sz w:val="12"/>
                      <w:szCs w:val="14"/>
                    </w:rPr>
                  </w:pPr>
                  <w:r>
                    <w:rPr>
                      <w:rFonts w:ascii="Arial" w:hAnsi="Arial" w:cs="Arial"/>
                      <w:b/>
                      <w:bCs/>
                      <w:color w:val="000066"/>
                      <w:sz w:val="12"/>
                      <w:szCs w:val="14"/>
                    </w:rPr>
                    <w:t>(</w:t>
                  </w:r>
                  <w:r w:rsidR="00414539" w:rsidRPr="00414539">
                    <w:rPr>
                      <w:rFonts w:ascii="Arial" w:hAnsi="Arial" w:cs="Arial"/>
                      <w:b/>
                      <w:bCs/>
                      <w:color w:val="000066"/>
                      <w:sz w:val="12"/>
                      <w:szCs w:val="14"/>
                    </w:rPr>
                    <w:t>σε συγκρίσιμη βάση</w:t>
                  </w:r>
                  <w:r>
                    <w:rPr>
                      <w:rFonts w:ascii="Arial" w:hAnsi="Arial" w:cs="Arial"/>
                      <w:b/>
                      <w:bCs/>
                      <w:color w:val="000066"/>
                      <w:sz w:val="12"/>
                      <w:szCs w:val="14"/>
                    </w:rPr>
                    <w:t>, €εκ.</w:t>
                  </w:r>
                  <w:r w:rsidR="00F15630" w:rsidRPr="00414539">
                    <w:rPr>
                      <w:rFonts w:ascii="Arial" w:hAnsi="Arial" w:cs="Arial"/>
                      <w:b/>
                      <w:bCs/>
                      <w:color w:val="000066"/>
                      <w:sz w:val="12"/>
                      <w:szCs w:val="14"/>
                    </w:rPr>
                    <w:t>)</w:t>
                  </w:r>
                </w:p>
              </w:txbxContent>
            </v:textbox>
          </v:shape>
        </w:pict>
      </w:r>
      <w:r w:rsidR="00FE3BBA">
        <w:rPr>
          <w:rFonts w:ascii="Arial" w:hAnsi="Arial" w:cs="Arial"/>
          <w:b/>
          <w:noProof/>
          <w:color w:val="000080"/>
          <w:sz w:val="18"/>
          <w:szCs w:val="18"/>
          <w:lang w:val="en-US" w:eastAsia="en-US"/>
        </w:rPr>
        <w:drawing>
          <wp:anchor distT="0" distB="0" distL="114300" distR="114300" simplePos="0" relativeHeight="251661824" behindDoc="0" locked="0" layoutInCell="1" allowOverlap="1">
            <wp:simplePos x="0" y="0"/>
            <wp:positionH relativeFrom="column">
              <wp:posOffset>-379095</wp:posOffset>
            </wp:positionH>
            <wp:positionV relativeFrom="paragraph">
              <wp:posOffset>168910</wp:posOffset>
            </wp:positionV>
            <wp:extent cx="1781175" cy="2045335"/>
            <wp:effectExtent l="0" t="0" r="0" b="0"/>
            <wp:wrapNone/>
            <wp:docPr id="403" name="Αντικείμενο 4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74F35" w:rsidRPr="00226A91" w:rsidRDefault="00874F35" w:rsidP="00874F35">
      <w:pPr>
        <w:spacing w:line="360" w:lineRule="auto"/>
        <w:ind w:left="2835" w:right="43"/>
        <w:jc w:val="both"/>
        <w:rPr>
          <w:rFonts w:ascii="Arial" w:hAnsi="Arial" w:cs="Arial"/>
          <w:color w:val="000080"/>
          <w:sz w:val="18"/>
          <w:szCs w:val="18"/>
        </w:rPr>
      </w:pPr>
      <w:r>
        <w:rPr>
          <w:rFonts w:ascii="Arial" w:hAnsi="Arial" w:cs="Arial"/>
          <w:b/>
          <w:color w:val="000080"/>
          <w:sz w:val="18"/>
          <w:szCs w:val="18"/>
        </w:rPr>
        <w:t>Οι Λειτουργικές δαπάνες</w:t>
      </w:r>
      <w:r w:rsidRPr="00676F01">
        <w:rPr>
          <w:rFonts w:ascii="Arial" w:hAnsi="Arial" w:cs="Arial"/>
          <w:color w:val="000080"/>
          <w:sz w:val="18"/>
          <w:szCs w:val="18"/>
        </w:rPr>
        <w:t xml:space="preserve"> </w:t>
      </w:r>
      <w:r>
        <w:rPr>
          <w:rFonts w:ascii="Arial" w:hAnsi="Arial" w:cs="Arial"/>
          <w:color w:val="000080"/>
          <w:sz w:val="18"/>
          <w:szCs w:val="18"/>
        </w:rPr>
        <w:t xml:space="preserve">μειώθηκαν </w:t>
      </w:r>
      <w:r w:rsidR="003D0917">
        <w:rPr>
          <w:rFonts w:ascii="Arial" w:hAnsi="Arial" w:cs="Arial"/>
          <w:color w:val="000080"/>
          <w:sz w:val="18"/>
          <w:szCs w:val="18"/>
        </w:rPr>
        <w:t>κατά 4,0%</w:t>
      </w:r>
      <w:r w:rsidR="00CF12DB">
        <w:rPr>
          <w:rStyle w:val="a7"/>
          <w:rFonts w:ascii="Arial" w:hAnsi="Arial" w:cs="Arial"/>
          <w:color w:val="000080"/>
          <w:sz w:val="18"/>
          <w:szCs w:val="18"/>
        </w:rPr>
        <w:footnoteReference w:id="4"/>
      </w:r>
      <w:r w:rsidR="003D0917">
        <w:rPr>
          <w:rFonts w:ascii="Arial" w:hAnsi="Arial" w:cs="Arial"/>
          <w:color w:val="000080"/>
          <w:sz w:val="18"/>
          <w:szCs w:val="18"/>
        </w:rPr>
        <w:t xml:space="preserve"> σε </w:t>
      </w:r>
      <w:r w:rsidR="003D0917" w:rsidRPr="00496A97">
        <w:rPr>
          <w:rFonts w:ascii="Arial" w:hAnsi="Arial" w:cs="Arial"/>
          <w:color w:val="000080"/>
          <w:sz w:val="18"/>
          <w:szCs w:val="18"/>
        </w:rPr>
        <w:t>€</w:t>
      </w:r>
      <w:r w:rsidR="003D0917">
        <w:rPr>
          <w:rFonts w:ascii="Arial" w:hAnsi="Arial" w:cs="Arial"/>
          <w:color w:val="000080"/>
          <w:sz w:val="18"/>
          <w:szCs w:val="18"/>
        </w:rPr>
        <w:t>992</w:t>
      </w:r>
      <w:r w:rsidR="003D0917" w:rsidRPr="00496A97">
        <w:rPr>
          <w:rFonts w:ascii="Arial" w:hAnsi="Arial" w:cs="Arial"/>
          <w:color w:val="000080"/>
          <w:sz w:val="18"/>
          <w:szCs w:val="18"/>
        </w:rPr>
        <w:t>εκ</w:t>
      </w:r>
      <w:r w:rsidR="003D0917">
        <w:rPr>
          <w:rFonts w:ascii="Arial" w:hAnsi="Arial" w:cs="Arial"/>
          <w:color w:val="000080"/>
          <w:sz w:val="18"/>
          <w:szCs w:val="18"/>
        </w:rPr>
        <w:t>.</w:t>
      </w:r>
      <w:r w:rsidR="003D0917" w:rsidRPr="00E956C4">
        <w:rPr>
          <w:rFonts w:ascii="Arial" w:hAnsi="Arial" w:cs="Arial"/>
          <w:color w:val="000080"/>
          <w:sz w:val="18"/>
          <w:szCs w:val="18"/>
        </w:rPr>
        <w:t xml:space="preserve"> </w:t>
      </w:r>
      <w:r w:rsidR="003D0917">
        <w:rPr>
          <w:rFonts w:ascii="Arial" w:hAnsi="Arial" w:cs="Arial"/>
          <w:color w:val="000080"/>
          <w:sz w:val="18"/>
          <w:szCs w:val="18"/>
        </w:rPr>
        <w:t xml:space="preserve">το 2016 και κατά </w:t>
      </w:r>
      <w:r w:rsidR="00B74321">
        <w:rPr>
          <w:rFonts w:ascii="Arial" w:hAnsi="Arial" w:cs="Arial"/>
          <w:color w:val="000080"/>
          <w:sz w:val="18"/>
          <w:szCs w:val="18"/>
        </w:rPr>
        <w:t xml:space="preserve">2,1% </w:t>
      </w:r>
      <w:r w:rsidR="00E956C4">
        <w:rPr>
          <w:rFonts w:ascii="Arial" w:hAnsi="Arial" w:cs="Arial"/>
          <w:color w:val="000080"/>
          <w:sz w:val="18"/>
          <w:szCs w:val="18"/>
        </w:rPr>
        <w:t>σε €242εκ. το Δ΄ τρίμηνο</w:t>
      </w:r>
      <w:r w:rsidRPr="00496A97">
        <w:rPr>
          <w:rFonts w:ascii="Arial" w:hAnsi="Arial" w:cs="Arial"/>
          <w:color w:val="000080"/>
          <w:sz w:val="18"/>
          <w:szCs w:val="18"/>
        </w:rPr>
        <w:t>.</w:t>
      </w:r>
      <w:r w:rsidR="00B74321">
        <w:rPr>
          <w:rFonts w:ascii="Arial" w:hAnsi="Arial" w:cs="Arial"/>
          <w:color w:val="000080"/>
          <w:sz w:val="18"/>
          <w:szCs w:val="18"/>
        </w:rPr>
        <w:t xml:space="preserve"> </w:t>
      </w:r>
      <w:r w:rsidR="00D55ADD" w:rsidRPr="00D55ADD">
        <w:rPr>
          <w:rFonts w:ascii="Arial" w:hAnsi="Arial" w:cs="Arial"/>
          <w:color w:val="000080"/>
          <w:sz w:val="18"/>
          <w:szCs w:val="18"/>
        </w:rPr>
        <w:t xml:space="preserve"> </w:t>
      </w:r>
      <w:r w:rsidR="00E956C4">
        <w:rPr>
          <w:rFonts w:ascii="Arial" w:hAnsi="Arial" w:cs="Arial"/>
          <w:color w:val="000080"/>
          <w:sz w:val="18"/>
          <w:szCs w:val="18"/>
        </w:rPr>
        <w:t>Σ</w:t>
      </w:r>
      <w:r w:rsidR="00D55ADD">
        <w:rPr>
          <w:rFonts w:ascii="Arial" w:hAnsi="Arial" w:cs="Arial"/>
          <w:color w:val="000080"/>
          <w:sz w:val="18"/>
          <w:szCs w:val="18"/>
        </w:rPr>
        <w:t>την Ελλ</w:t>
      </w:r>
      <w:r w:rsidR="000413CB">
        <w:rPr>
          <w:rFonts w:ascii="Arial" w:hAnsi="Arial" w:cs="Arial"/>
          <w:color w:val="000080"/>
          <w:sz w:val="18"/>
          <w:szCs w:val="18"/>
        </w:rPr>
        <w:t xml:space="preserve">άδα </w:t>
      </w:r>
      <w:r w:rsidR="00E956C4">
        <w:rPr>
          <w:rFonts w:ascii="Arial" w:hAnsi="Arial" w:cs="Arial"/>
          <w:color w:val="000080"/>
          <w:sz w:val="18"/>
          <w:szCs w:val="18"/>
        </w:rPr>
        <w:t xml:space="preserve">οι δαπάνες </w:t>
      </w:r>
      <w:r w:rsidR="00B86CCC">
        <w:rPr>
          <w:rFonts w:ascii="Arial" w:hAnsi="Arial" w:cs="Arial"/>
          <w:color w:val="000080"/>
          <w:sz w:val="18"/>
          <w:szCs w:val="18"/>
        </w:rPr>
        <w:t>υποχώρησαν</w:t>
      </w:r>
      <w:r w:rsidR="00E956C4">
        <w:rPr>
          <w:rFonts w:ascii="Arial" w:hAnsi="Arial" w:cs="Arial"/>
          <w:color w:val="000080"/>
          <w:sz w:val="18"/>
          <w:szCs w:val="18"/>
        </w:rPr>
        <w:t xml:space="preserve"> κατά 5,5</w:t>
      </w:r>
      <w:r w:rsidR="00D55ADD">
        <w:rPr>
          <w:rFonts w:ascii="Arial" w:hAnsi="Arial" w:cs="Arial"/>
          <w:color w:val="000080"/>
          <w:sz w:val="18"/>
          <w:szCs w:val="18"/>
        </w:rPr>
        <w:t>%</w:t>
      </w:r>
      <w:r w:rsidR="00CF12DB" w:rsidRPr="00CF12DB">
        <w:rPr>
          <w:rStyle w:val="a7"/>
          <w:rFonts w:ascii="Arial" w:hAnsi="Arial" w:cs="Arial"/>
          <w:color w:val="000080"/>
          <w:sz w:val="18"/>
          <w:szCs w:val="18"/>
        </w:rPr>
        <w:t>3</w:t>
      </w:r>
      <w:r w:rsidR="00E956C4">
        <w:rPr>
          <w:rFonts w:ascii="Arial" w:hAnsi="Arial" w:cs="Arial"/>
          <w:color w:val="000080"/>
          <w:sz w:val="18"/>
          <w:szCs w:val="18"/>
        </w:rPr>
        <w:t xml:space="preserve"> σε ετήσια βάση, ως αποτέλεσμα της συστηματικής προσπάθειας εξορθολογισμού του κόστους λειτουργίας. </w:t>
      </w:r>
      <w:r w:rsidR="005778E7">
        <w:rPr>
          <w:rFonts w:ascii="Arial" w:hAnsi="Arial" w:cs="Arial"/>
          <w:color w:val="000080"/>
          <w:sz w:val="18"/>
          <w:szCs w:val="18"/>
        </w:rPr>
        <w:t>Ο</w:t>
      </w:r>
      <w:r w:rsidR="00DA38E6">
        <w:rPr>
          <w:rFonts w:ascii="Arial" w:hAnsi="Arial" w:cs="Arial"/>
          <w:color w:val="000080"/>
          <w:sz w:val="18"/>
          <w:szCs w:val="18"/>
        </w:rPr>
        <w:t xml:space="preserve"> </w:t>
      </w:r>
      <w:r w:rsidR="00DA38E6" w:rsidRPr="00DA38E6">
        <w:rPr>
          <w:rFonts w:ascii="Arial" w:hAnsi="Arial" w:cs="Arial"/>
          <w:b/>
          <w:color w:val="000080"/>
          <w:sz w:val="18"/>
          <w:szCs w:val="18"/>
        </w:rPr>
        <w:t>δείκτης κόστο</w:t>
      </w:r>
      <w:r w:rsidR="00E956C4">
        <w:rPr>
          <w:rFonts w:ascii="Arial" w:hAnsi="Arial" w:cs="Arial"/>
          <w:b/>
          <w:color w:val="000080"/>
          <w:sz w:val="18"/>
          <w:szCs w:val="18"/>
        </w:rPr>
        <w:t>υ</w:t>
      </w:r>
      <w:r w:rsidR="00DA38E6" w:rsidRPr="00DA38E6">
        <w:rPr>
          <w:rFonts w:ascii="Arial" w:hAnsi="Arial" w:cs="Arial"/>
          <w:b/>
          <w:color w:val="000080"/>
          <w:sz w:val="18"/>
          <w:szCs w:val="18"/>
        </w:rPr>
        <w:t>ς προς έσοδα</w:t>
      </w:r>
      <w:r w:rsidR="00DA38E6">
        <w:rPr>
          <w:rFonts w:ascii="Arial" w:hAnsi="Arial" w:cs="Arial"/>
          <w:color w:val="000080"/>
          <w:sz w:val="18"/>
          <w:szCs w:val="18"/>
        </w:rPr>
        <w:t xml:space="preserve"> βελτιώθηκε </w:t>
      </w:r>
      <w:r w:rsidR="00E956C4">
        <w:rPr>
          <w:rFonts w:ascii="Arial" w:hAnsi="Arial" w:cs="Arial"/>
          <w:color w:val="000080"/>
          <w:sz w:val="18"/>
          <w:szCs w:val="18"/>
        </w:rPr>
        <w:t xml:space="preserve">κατά </w:t>
      </w:r>
      <w:r w:rsidR="003D0917">
        <w:rPr>
          <w:rFonts w:ascii="Arial" w:hAnsi="Arial" w:cs="Arial"/>
          <w:color w:val="000080"/>
          <w:sz w:val="18"/>
          <w:szCs w:val="18"/>
        </w:rPr>
        <w:t>1</w:t>
      </w:r>
      <w:r w:rsidR="003D0917" w:rsidRPr="002967E6">
        <w:rPr>
          <w:rFonts w:ascii="Arial" w:hAnsi="Arial" w:cs="Arial"/>
          <w:color w:val="000080"/>
          <w:sz w:val="18"/>
          <w:szCs w:val="18"/>
        </w:rPr>
        <w:t>.</w:t>
      </w:r>
      <w:r w:rsidR="003D0917">
        <w:rPr>
          <w:rFonts w:ascii="Arial" w:hAnsi="Arial" w:cs="Arial"/>
          <w:color w:val="000080"/>
          <w:sz w:val="18"/>
          <w:szCs w:val="18"/>
        </w:rPr>
        <w:t>006 μονάδες βάσης</w:t>
      </w:r>
      <w:r w:rsidR="00CF12DB">
        <w:rPr>
          <w:rStyle w:val="a7"/>
          <w:rFonts w:ascii="Arial" w:hAnsi="Arial" w:cs="Arial"/>
          <w:color w:val="000080"/>
          <w:sz w:val="18"/>
          <w:szCs w:val="18"/>
        </w:rPr>
        <w:t>3</w:t>
      </w:r>
      <w:r w:rsidR="003D0917">
        <w:rPr>
          <w:rFonts w:ascii="Arial" w:hAnsi="Arial" w:cs="Arial"/>
          <w:color w:val="000080"/>
          <w:sz w:val="18"/>
          <w:szCs w:val="18"/>
        </w:rPr>
        <w:t xml:space="preserve"> σε ετήσια βάση σε 48,1%</w:t>
      </w:r>
      <w:r w:rsidR="003D0917" w:rsidRPr="003D0917">
        <w:rPr>
          <w:rFonts w:ascii="Arial" w:hAnsi="Arial" w:cs="Arial"/>
          <w:color w:val="000080"/>
          <w:sz w:val="18"/>
          <w:szCs w:val="18"/>
        </w:rPr>
        <w:t xml:space="preserve"> </w:t>
      </w:r>
      <w:r w:rsidR="003D0917">
        <w:rPr>
          <w:rFonts w:ascii="Arial" w:hAnsi="Arial" w:cs="Arial"/>
          <w:color w:val="000080"/>
          <w:sz w:val="18"/>
          <w:szCs w:val="18"/>
        </w:rPr>
        <w:t xml:space="preserve">και κατά </w:t>
      </w:r>
      <w:r w:rsidR="00E956C4">
        <w:rPr>
          <w:rFonts w:ascii="Arial" w:hAnsi="Arial" w:cs="Arial"/>
          <w:color w:val="000080"/>
          <w:sz w:val="18"/>
          <w:szCs w:val="18"/>
        </w:rPr>
        <w:t xml:space="preserve">380 μονάδες βάσης σε τριμηνιαία βάση </w:t>
      </w:r>
      <w:r w:rsidR="00DA38E6">
        <w:rPr>
          <w:rFonts w:ascii="Arial" w:hAnsi="Arial" w:cs="Arial"/>
          <w:color w:val="000080"/>
          <w:sz w:val="18"/>
          <w:szCs w:val="18"/>
        </w:rPr>
        <w:t xml:space="preserve">σε </w:t>
      </w:r>
      <w:r w:rsidR="00E956C4">
        <w:rPr>
          <w:rFonts w:ascii="Arial" w:hAnsi="Arial" w:cs="Arial"/>
          <w:color w:val="000080"/>
          <w:sz w:val="18"/>
          <w:szCs w:val="18"/>
        </w:rPr>
        <w:t>46,0</w:t>
      </w:r>
      <w:r w:rsidR="00DA38E6">
        <w:rPr>
          <w:rFonts w:ascii="Arial" w:hAnsi="Arial" w:cs="Arial"/>
          <w:color w:val="000080"/>
          <w:sz w:val="18"/>
          <w:szCs w:val="18"/>
        </w:rPr>
        <w:t>%</w:t>
      </w:r>
      <w:r w:rsidR="003D0917">
        <w:rPr>
          <w:rFonts w:ascii="Arial" w:hAnsi="Arial" w:cs="Arial"/>
          <w:color w:val="000080"/>
          <w:sz w:val="18"/>
          <w:szCs w:val="18"/>
        </w:rPr>
        <w:t>.</w:t>
      </w:r>
      <w:r w:rsidR="00DA38E6">
        <w:rPr>
          <w:rFonts w:ascii="Arial" w:hAnsi="Arial" w:cs="Arial"/>
          <w:color w:val="000080"/>
          <w:sz w:val="18"/>
          <w:szCs w:val="18"/>
        </w:rPr>
        <w:t xml:space="preserve"> </w:t>
      </w:r>
    </w:p>
    <w:p w:rsidR="00EF4C79" w:rsidRDefault="00EF4C79" w:rsidP="00EF4C79">
      <w:pPr>
        <w:spacing w:line="360" w:lineRule="auto"/>
        <w:ind w:left="2835" w:right="43"/>
        <w:jc w:val="both"/>
        <w:rPr>
          <w:rFonts w:ascii="Arial" w:hAnsi="Arial" w:cs="Arial"/>
          <w:b/>
          <w:color w:val="000080"/>
          <w:sz w:val="18"/>
          <w:szCs w:val="18"/>
        </w:rPr>
      </w:pPr>
    </w:p>
    <w:p w:rsidR="00EF4C79" w:rsidRDefault="00EF4C79" w:rsidP="00EF4C79">
      <w:pPr>
        <w:spacing w:line="360" w:lineRule="auto"/>
        <w:ind w:left="2835" w:right="43"/>
        <w:jc w:val="both"/>
        <w:rPr>
          <w:rFonts w:ascii="Arial" w:hAnsi="Arial" w:cs="Arial"/>
          <w:color w:val="000080"/>
          <w:sz w:val="18"/>
          <w:szCs w:val="18"/>
        </w:rPr>
      </w:pPr>
      <w:r w:rsidRPr="009610E8">
        <w:rPr>
          <w:rFonts w:ascii="Arial" w:hAnsi="Arial" w:cs="Arial"/>
          <w:b/>
          <w:color w:val="000080"/>
          <w:sz w:val="18"/>
          <w:szCs w:val="18"/>
        </w:rPr>
        <w:t>Τα οργανικά κέρδη προ προβλέψεων</w:t>
      </w:r>
      <w:r>
        <w:rPr>
          <w:rFonts w:ascii="Arial" w:hAnsi="Arial" w:cs="Arial"/>
          <w:color w:val="000080"/>
          <w:sz w:val="18"/>
          <w:szCs w:val="18"/>
        </w:rPr>
        <w:t xml:space="preserve"> αυξήθηκαν</w:t>
      </w:r>
      <w:r w:rsidR="00EF664A">
        <w:rPr>
          <w:rFonts w:ascii="Arial" w:hAnsi="Arial" w:cs="Arial"/>
          <w:color w:val="000080"/>
          <w:sz w:val="18"/>
          <w:szCs w:val="18"/>
        </w:rPr>
        <w:t xml:space="preserve"> κατά </w:t>
      </w:r>
      <w:r w:rsidR="00585FB1">
        <w:rPr>
          <w:rFonts w:ascii="Arial" w:hAnsi="Arial" w:cs="Arial"/>
          <w:color w:val="000080"/>
          <w:sz w:val="18"/>
          <w:szCs w:val="18"/>
        </w:rPr>
        <w:t>26,8%</w:t>
      </w:r>
      <w:r w:rsidR="00CF12DB">
        <w:rPr>
          <w:rStyle w:val="a7"/>
          <w:rFonts w:ascii="Arial" w:hAnsi="Arial" w:cs="Arial"/>
          <w:color w:val="000080"/>
          <w:sz w:val="18"/>
          <w:szCs w:val="18"/>
        </w:rPr>
        <w:t>3</w:t>
      </w:r>
      <w:r w:rsidR="00CF12DB">
        <w:rPr>
          <w:rFonts w:ascii="Arial" w:hAnsi="Arial" w:cs="Arial"/>
          <w:color w:val="000080"/>
          <w:sz w:val="18"/>
          <w:szCs w:val="18"/>
        </w:rPr>
        <w:t xml:space="preserve"> </w:t>
      </w:r>
      <w:r w:rsidR="00585FB1">
        <w:rPr>
          <w:rFonts w:ascii="Arial" w:hAnsi="Arial" w:cs="Arial"/>
          <w:color w:val="000080"/>
          <w:sz w:val="18"/>
          <w:szCs w:val="18"/>
        </w:rPr>
        <w:t xml:space="preserve">σε €854εκ. το 2016 και κατά </w:t>
      </w:r>
      <w:r w:rsidR="00B86CCC">
        <w:rPr>
          <w:rFonts w:ascii="Arial" w:hAnsi="Arial" w:cs="Arial"/>
          <w:color w:val="000080"/>
          <w:sz w:val="18"/>
          <w:szCs w:val="18"/>
        </w:rPr>
        <w:t>5,0</w:t>
      </w:r>
      <w:r w:rsidR="00EF664A">
        <w:rPr>
          <w:rFonts w:ascii="Arial" w:hAnsi="Arial" w:cs="Arial"/>
          <w:color w:val="000080"/>
          <w:sz w:val="18"/>
          <w:szCs w:val="18"/>
        </w:rPr>
        <w:t>%</w:t>
      </w:r>
      <w:r w:rsidR="00312A0E">
        <w:rPr>
          <w:rFonts w:ascii="Arial" w:hAnsi="Arial" w:cs="Arial"/>
          <w:color w:val="000080"/>
          <w:sz w:val="18"/>
          <w:szCs w:val="18"/>
        </w:rPr>
        <w:t xml:space="preserve"> σε €229εκ.</w:t>
      </w:r>
      <w:r w:rsidR="00EF664A">
        <w:rPr>
          <w:rStyle w:val="a7"/>
          <w:rFonts w:ascii="Arial" w:hAnsi="Arial" w:cs="Arial"/>
          <w:color w:val="000080"/>
          <w:sz w:val="18"/>
          <w:szCs w:val="18"/>
        </w:rPr>
        <w:t xml:space="preserve"> </w:t>
      </w:r>
      <w:r w:rsidR="000413CB">
        <w:rPr>
          <w:rFonts w:ascii="Arial" w:hAnsi="Arial" w:cs="Arial"/>
          <w:color w:val="000080"/>
          <w:sz w:val="18"/>
          <w:szCs w:val="18"/>
        </w:rPr>
        <w:t xml:space="preserve">το </w:t>
      </w:r>
      <w:r w:rsidR="00B86CCC">
        <w:rPr>
          <w:rFonts w:ascii="Arial" w:hAnsi="Arial" w:cs="Arial"/>
          <w:color w:val="000080"/>
          <w:sz w:val="18"/>
          <w:szCs w:val="18"/>
        </w:rPr>
        <w:t>Δ</w:t>
      </w:r>
      <w:r w:rsidR="00DA1AAD">
        <w:rPr>
          <w:rFonts w:ascii="Arial" w:hAnsi="Arial" w:cs="Arial"/>
          <w:color w:val="000080"/>
          <w:sz w:val="18"/>
          <w:szCs w:val="18"/>
        </w:rPr>
        <w:t>΄ τρίμηνο</w:t>
      </w:r>
      <w:r w:rsidR="002A769E">
        <w:rPr>
          <w:rFonts w:ascii="Arial" w:hAnsi="Arial" w:cs="Arial"/>
          <w:color w:val="000080"/>
          <w:sz w:val="18"/>
          <w:szCs w:val="18"/>
        </w:rPr>
        <w:t xml:space="preserve"> 2016</w:t>
      </w:r>
      <w:r w:rsidR="00585FB1">
        <w:rPr>
          <w:rFonts w:ascii="Arial" w:hAnsi="Arial" w:cs="Arial"/>
          <w:color w:val="000080"/>
          <w:sz w:val="18"/>
          <w:szCs w:val="18"/>
        </w:rPr>
        <w:t xml:space="preserve">. Παράλληλα, </w:t>
      </w:r>
      <w:r w:rsidR="002A769E">
        <w:rPr>
          <w:rFonts w:ascii="Arial" w:hAnsi="Arial" w:cs="Arial"/>
          <w:color w:val="000080"/>
          <w:sz w:val="18"/>
          <w:szCs w:val="18"/>
        </w:rPr>
        <w:t>τ</w:t>
      </w:r>
      <w:r w:rsidR="00EF664A">
        <w:rPr>
          <w:rFonts w:ascii="Arial" w:hAnsi="Arial" w:cs="Arial"/>
          <w:color w:val="000080"/>
          <w:sz w:val="18"/>
          <w:szCs w:val="18"/>
        </w:rPr>
        <w:t xml:space="preserve">α </w:t>
      </w:r>
      <w:r w:rsidRPr="00DE76B4">
        <w:rPr>
          <w:rFonts w:ascii="Arial" w:hAnsi="Arial" w:cs="Arial"/>
          <w:b/>
          <w:color w:val="000080"/>
          <w:sz w:val="18"/>
          <w:szCs w:val="18"/>
        </w:rPr>
        <w:t xml:space="preserve">συνολικά </w:t>
      </w:r>
      <w:r w:rsidRPr="00050234">
        <w:rPr>
          <w:rFonts w:ascii="Arial" w:hAnsi="Arial" w:cs="Arial"/>
          <w:b/>
          <w:color w:val="000080"/>
          <w:sz w:val="18"/>
          <w:szCs w:val="18"/>
        </w:rPr>
        <w:t>κέρδη προ προβλέψεων</w:t>
      </w:r>
      <w:r w:rsidRPr="00676F01">
        <w:rPr>
          <w:rFonts w:ascii="Arial" w:hAnsi="Arial" w:cs="Arial"/>
          <w:color w:val="000080"/>
          <w:sz w:val="18"/>
          <w:szCs w:val="18"/>
        </w:rPr>
        <w:t xml:space="preserve"> </w:t>
      </w:r>
      <w:r w:rsidR="00E535E5">
        <w:rPr>
          <w:rFonts w:ascii="Arial" w:hAnsi="Arial" w:cs="Arial"/>
          <w:color w:val="000080"/>
          <w:sz w:val="18"/>
          <w:szCs w:val="18"/>
        </w:rPr>
        <w:t>ενισχύθηκαν</w:t>
      </w:r>
      <w:r w:rsidR="00752170">
        <w:rPr>
          <w:rFonts w:ascii="Arial" w:hAnsi="Arial" w:cs="Arial"/>
          <w:color w:val="000080"/>
          <w:sz w:val="18"/>
          <w:szCs w:val="18"/>
        </w:rPr>
        <w:t xml:space="preserve"> κατά </w:t>
      </w:r>
      <w:r w:rsidR="00585FB1">
        <w:rPr>
          <w:rFonts w:ascii="Arial" w:hAnsi="Arial" w:cs="Arial"/>
          <w:color w:val="000080"/>
          <w:sz w:val="18"/>
          <w:szCs w:val="18"/>
        </w:rPr>
        <w:t>47,2%</w:t>
      </w:r>
      <w:r w:rsidR="00CF12DB">
        <w:rPr>
          <w:rStyle w:val="a7"/>
          <w:rFonts w:ascii="Arial" w:hAnsi="Arial" w:cs="Arial"/>
          <w:color w:val="000080"/>
          <w:sz w:val="18"/>
          <w:szCs w:val="18"/>
        </w:rPr>
        <w:t>3</w:t>
      </w:r>
      <w:r w:rsidR="00585FB1">
        <w:rPr>
          <w:rFonts w:ascii="Arial" w:hAnsi="Arial" w:cs="Arial"/>
          <w:color w:val="000080"/>
          <w:sz w:val="18"/>
          <w:szCs w:val="18"/>
        </w:rPr>
        <w:t xml:space="preserve"> σε ετήσια βάση σε €1.071εκ. και κατά </w:t>
      </w:r>
      <w:r w:rsidR="00B86CCC">
        <w:rPr>
          <w:rFonts w:ascii="Arial" w:hAnsi="Arial" w:cs="Arial"/>
          <w:color w:val="000080"/>
          <w:sz w:val="18"/>
          <w:szCs w:val="18"/>
        </w:rPr>
        <w:t xml:space="preserve">13,9% </w:t>
      </w:r>
      <w:r w:rsidR="00585FB1">
        <w:rPr>
          <w:rFonts w:ascii="Arial" w:hAnsi="Arial" w:cs="Arial"/>
          <w:color w:val="000080"/>
          <w:sz w:val="18"/>
          <w:szCs w:val="18"/>
        </w:rPr>
        <w:t>το Δ΄ τρίμηνο 2016.</w:t>
      </w:r>
    </w:p>
    <w:p w:rsidR="00DD1BA8" w:rsidRDefault="00DD1BA8" w:rsidP="00EF4C79">
      <w:pPr>
        <w:spacing w:line="360" w:lineRule="auto"/>
        <w:ind w:left="2835" w:right="43"/>
        <w:jc w:val="both"/>
        <w:rPr>
          <w:rFonts w:ascii="Arial" w:hAnsi="Arial" w:cs="Arial"/>
          <w:noProof/>
          <w:color w:val="000080"/>
          <w:sz w:val="18"/>
          <w:szCs w:val="18"/>
        </w:rPr>
      </w:pPr>
    </w:p>
    <w:p w:rsidR="00EF4C79" w:rsidRPr="004724FD" w:rsidRDefault="00FE3BBA" w:rsidP="004724FD">
      <w:pPr>
        <w:spacing w:line="360" w:lineRule="auto"/>
        <w:ind w:left="2835" w:right="43"/>
        <w:jc w:val="both"/>
        <w:rPr>
          <w:rFonts w:ascii="Arial" w:hAnsi="Arial" w:cs="Arial"/>
          <w:color w:val="000080"/>
          <w:sz w:val="18"/>
          <w:szCs w:val="18"/>
        </w:rPr>
      </w:pPr>
      <w:r>
        <w:rPr>
          <w:rFonts w:ascii="Arial" w:hAnsi="Arial" w:cs="Arial"/>
          <w:noProof/>
          <w:color w:val="000080"/>
          <w:sz w:val="18"/>
          <w:szCs w:val="18"/>
          <w:lang w:val="en-US" w:eastAsia="en-US"/>
        </w:rPr>
        <w:lastRenderedPageBreak/>
        <w:drawing>
          <wp:anchor distT="0" distB="0" distL="114300" distR="114300" simplePos="0" relativeHeight="251666944" behindDoc="0" locked="0" layoutInCell="1" allowOverlap="1">
            <wp:simplePos x="0" y="0"/>
            <wp:positionH relativeFrom="column">
              <wp:posOffset>-306705</wp:posOffset>
            </wp:positionH>
            <wp:positionV relativeFrom="paragraph">
              <wp:posOffset>2100580</wp:posOffset>
            </wp:positionV>
            <wp:extent cx="1781175" cy="2045335"/>
            <wp:effectExtent l="0" t="0" r="0" b="0"/>
            <wp:wrapNone/>
            <wp:docPr id="419" name="Αντικείμενο 4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8F4C02">
        <w:rPr>
          <w:rFonts w:ascii="Arial" w:hAnsi="Arial" w:cs="Arial"/>
          <w:noProof/>
          <w:color w:val="000080"/>
          <w:sz w:val="18"/>
          <w:szCs w:val="18"/>
        </w:rPr>
        <w:pict>
          <v:shape id="_x0000_s1441" type="#_x0000_t202" style="position:absolute;left:0;text-align:left;margin-left:-34pt;margin-top:159.25pt;width:162pt;height:41.45pt;z-index:251664896;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441;mso-column-margin:5.7pt" inset="2.85pt,2.85pt,2.85pt,2.85pt">
              <w:txbxContent>
                <w:p w:rsidR="001F2EA0" w:rsidRPr="001F2EA0" w:rsidRDefault="001F2EA0" w:rsidP="001F2EA0">
                  <w:pPr>
                    <w:pStyle w:val="msoaccenttext5"/>
                    <w:widowControl w:val="0"/>
                    <w:jc w:val="center"/>
                    <w:rPr>
                      <w:rFonts w:ascii="Arial" w:hAnsi="Arial" w:cs="Arial"/>
                      <w:b/>
                      <w:bCs/>
                      <w:color w:val="000066"/>
                      <w:sz w:val="12"/>
                      <w:szCs w:val="14"/>
                    </w:rPr>
                  </w:pPr>
                  <w:r>
                    <w:rPr>
                      <w:rFonts w:ascii="Arial" w:hAnsi="Arial" w:cs="Arial"/>
                      <w:b/>
                      <w:bCs/>
                      <w:color w:val="000066"/>
                      <w:sz w:val="14"/>
                      <w:szCs w:val="14"/>
                    </w:rPr>
                    <w:t>Καθαρό Αποτέλεσμα Δραστηριοτήτων Εξωτερικού</w:t>
                  </w:r>
                  <w:r w:rsidR="00CF12DB">
                    <w:rPr>
                      <w:rFonts w:ascii="Arial" w:hAnsi="Arial" w:cs="Arial"/>
                      <w:bCs/>
                      <w:color w:val="000066"/>
                      <w:sz w:val="14"/>
                      <w:szCs w:val="14"/>
                      <w:vertAlign w:val="superscript"/>
                    </w:rPr>
                    <w:t>4</w:t>
                  </w:r>
                </w:p>
                <w:p w:rsidR="001F2EA0" w:rsidRPr="00414539" w:rsidRDefault="001F2EA0" w:rsidP="001F2EA0">
                  <w:pPr>
                    <w:pStyle w:val="msoaccenttext5"/>
                    <w:widowControl w:val="0"/>
                    <w:jc w:val="center"/>
                    <w:rPr>
                      <w:rFonts w:ascii="Arial" w:hAnsi="Arial" w:cs="Arial"/>
                      <w:b/>
                      <w:bCs/>
                      <w:color w:val="000066"/>
                      <w:sz w:val="12"/>
                    </w:rPr>
                  </w:pPr>
                  <w:r>
                    <w:rPr>
                      <w:rFonts w:ascii="Arial" w:hAnsi="Arial" w:cs="Arial"/>
                      <w:b/>
                      <w:bCs/>
                      <w:color w:val="000066"/>
                      <w:sz w:val="12"/>
                    </w:rPr>
                    <w:t>(</w:t>
                  </w:r>
                  <w:r>
                    <w:rPr>
                      <w:rFonts w:ascii="Arial" w:hAnsi="Arial" w:cs="Arial"/>
                      <w:b/>
                      <w:bCs/>
                      <w:color w:val="000066"/>
                      <w:sz w:val="12"/>
                      <w:lang w:val="en-US"/>
                    </w:rPr>
                    <w:t>€</w:t>
                  </w:r>
                  <w:r>
                    <w:rPr>
                      <w:rFonts w:ascii="Arial" w:hAnsi="Arial" w:cs="Arial"/>
                      <w:b/>
                      <w:bCs/>
                      <w:color w:val="000066"/>
                      <w:sz w:val="12"/>
                    </w:rPr>
                    <w:t>εκ</w:t>
                  </w:r>
                  <w:r w:rsidRPr="00414539">
                    <w:rPr>
                      <w:rFonts w:ascii="Arial" w:hAnsi="Arial" w:cs="Arial"/>
                      <w:b/>
                      <w:bCs/>
                      <w:color w:val="000066"/>
                      <w:sz w:val="12"/>
                    </w:rPr>
                    <w:t>)</w:t>
                  </w:r>
                </w:p>
              </w:txbxContent>
            </v:textbox>
          </v:shape>
        </w:pict>
      </w:r>
      <w:r w:rsidR="008F4C02">
        <w:rPr>
          <w:rFonts w:ascii="Arial" w:hAnsi="Arial" w:cs="Arial"/>
          <w:noProof/>
          <w:color w:val="000080"/>
          <w:sz w:val="18"/>
          <w:szCs w:val="18"/>
        </w:rPr>
        <w:pict>
          <v:roundrect id="_x0000_s1442" style="position:absolute;left:0;text-align:left;margin-left:-48pt;margin-top:151.75pt;width:174pt;height:163.7pt;z-index:-251650560;visibility:visible;mso-wrap-distance-left:2.88pt;mso-wrap-distance-top:2.88pt;mso-wrap-distance-right:2.88pt;mso-wrap-distance-bottom:2.88pt;mso-position-horizontal-relative:text;mso-position-vertical-relative:text" arcsize="5607f" fillcolor="#dfe4e9" stroked="f" strokecolor="#006" insetpen="t" o:cliptowrap="t">
            <v:shadow color="#ccc"/>
            <o:lock v:ext="edit" shapetype="t"/>
            <v:textbox inset="2.88pt,2.88pt,2.88pt,2.88pt"/>
          </v:roundrect>
        </w:pict>
      </w:r>
      <w:r w:rsidR="008F4C02">
        <w:rPr>
          <w:rFonts w:ascii="Arial" w:hAnsi="Arial" w:cs="Arial"/>
          <w:noProof/>
          <w:color w:val="000080"/>
          <w:sz w:val="18"/>
          <w:szCs w:val="18"/>
        </w:rPr>
        <w:pict>
          <v:roundrect id="_x0000_s1448" style="position:absolute;left:0;text-align:left;margin-left:-47.75pt;margin-top:-15.85pt;width:174pt;height:163.7pt;z-index:-251644416;visibility:visible;mso-wrap-distance-left:2.88pt;mso-wrap-distance-top:2.88pt;mso-wrap-distance-right:2.88pt;mso-wrap-distance-bottom:2.88pt;mso-position-horizontal-relative:text;mso-position-vertical-relative:text" arcsize="5607f" fillcolor="#dfe4e9" stroked="f" strokecolor="#006" insetpen="t" o:cliptowrap="t">
            <v:shadow color="#ccc"/>
            <o:lock v:ext="edit" shapetype="t"/>
            <v:textbox inset="2.88pt,2.88pt,2.88pt,2.88pt"/>
          </v:roundrect>
        </w:pict>
      </w:r>
      <w:r w:rsidR="008F4C02">
        <w:rPr>
          <w:rFonts w:ascii="Arial" w:hAnsi="Arial" w:cs="Arial"/>
          <w:noProof/>
          <w:color w:val="000080"/>
          <w:sz w:val="18"/>
          <w:szCs w:val="18"/>
        </w:rPr>
        <w:pict>
          <v:shape id="_x0000_s1450" type="#_x0000_t202" style="position:absolute;left:0;text-align:left;margin-left:-39.75pt;margin-top:-10.65pt;width:162pt;height:29.8pt;z-index:251674112;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450;mso-column-margin:5.7pt" inset="2.85pt,2.85pt,2.85pt,2.85pt">
              <w:txbxContent>
                <w:p w:rsidR="00CF12DB" w:rsidRPr="009C5EE6" w:rsidRDefault="00CF12DB" w:rsidP="00CF12DB">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Νέα Μη Εξυπηρετούμενα Ανοίγματα (</w:t>
                  </w:r>
                  <w:r>
                    <w:rPr>
                      <w:rFonts w:ascii="Arial" w:hAnsi="Arial" w:cs="Arial"/>
                      <w:b/>
                      <w:bCs/>
                      <w:color w:val="000066"/>
                      <w:sz w:val="14"/>
                      <w:szCs w:val="14"/>
                      <w:lang w:val="en-US"/>
                    </w:rPr>
                    <w:t>NPEs</w:t>
                  </w:r>
                  <w:r w:rsidRPr="00A64BA8">
                    <w:rPr>
                      <w:rFonts w:ascii="Arial" w:hAnsi="Arial" w:cs="Arial"/>
                      <w:b/>
                      <w:bCs/>
                      <w:color w:val="000066"/>
                      <w:sz w:val="14"/>
                      <w:szCs w:val="14"/>
                    </w:rPr>
                    <w:t xml:space="preserve">, </w:t>
                  </w:r>
                  <w:r w:rsidRPr="009C5EE6">
                    <w:rPr>
                      <w:rFonts w:ascii="Arial" w:hAnsi="Arial" w:cs="Arial"/>
                      <w:b/>
                      <w:bCs/>
                      <w:color w:val="000066"/>
                      <w:sz w:val="14"/>
                      <w:szCs w:val="14"/>
                    </w:rPr>
                    <w:t>€εκ.)</w:t>
                  </w:r>
                </w:p>
              </w:txbxContent>
            </v:textbox>
          </v:shape>
        </w:pict>
      </w:r>
      <w:r>
        <w:rPr>
          <w:rFonts w:ascii="Arial" w:hAnsi="Arial" w:cs="Arial"/>
          <w:noProof/>
          <w:color w:val="000080"/>
          <w:sz w:val="18"/>
          <w:szCs w:val="18"/>
          <w:lang w:val="en-US" w:eastAsia="en-US"/>
        </w:rPr>
        <w:drawing>
          <wp:anchor distT="0" distB="0" distL="114300" distR="114300" simplePos="0" relativeHeight="251673088" behindDoc="0" locked="0" layoutInCell="1" allowOverlap="1">
            <wp:simplePos x="0" y="0"/>
            <wp:positionH relativeFrom="column">
              <wp:posOffset>-274320</wp:posOffset>
            </wp:positionH>
            <wp:positionV relativeFrom="paragraph">
              <wp:posOffset>24765</wp:posOffset>
            </wp:positionV>
            <wp:extent cx="1779270" cy="2045335"/>
            <wp:effectExtent l="0" t="0" r="0" b="0"/>
            <wp:wrapNone/>
            <wp:docPr id="425" name="Αντικείμενο 4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331E1">
        <w:rPr>
          <w:rFonts w:ascii="Arial" w:hAnsi="Arial" w:cs="Arial"/>
          <w:color w:val="000080"/>
          <w:sz w:val="18"/>
          <w:szCs w:val="18"/>
        </w:rPr>
        <w:t xml:space="preserve">Θετικά ήταν και τα αποτελέσματα </w:t>
      </w:r>
      <w:r w:rsidR="00536C58">
        <w:rPr>
          <w:rFonts w:ascii="Arial" w:hAnsi="Arial" w:cs="Arial"/>
          <w:color w:val="000080"/>
          <w:sz w:val="18"/>
          <w:szCs w:val="18"/>
        </w:rPr>
        <w:t>από τ</w:t>
      </w:r>
      <w:r w:rsidR="001331E1">
        <w:rPr>
          <w:rFonts w:ascii="Arial" w:hAnsi="Arial" w:cs="Arial"/>
          <w:color w:val="000080"/>
          <w:sz w:val="18"/>
          <w:szCs w:val="18"/>
        </w:rPr>
        <w:t xml:space="preserve">η </w:t>
      </w:r>
      <w:r w:rsidR="00B43905">
        <w:rPr>
          <w:rFonts w:ascii="Arial" w:hAnsi="Arial" w:cs="Arial"/>
          <w:color w:val="000080"/>
          <w:sz w:val="18"/>
          <w:szCs w:val="18"/>
        </w:rPr>
        <w:t xml:space="preserve">διαχείριση επισφαλών </w:t>
      </w:r>
      <w:r w:rsidR="00E37818">
        <w:rPr>
          <w:rFonts w:ascii="Arial" w:hAnsi="Arial" w:cs="Arial"/>
          <w:color w:val="000080"/>
          <w:sz w:val="18"/>
          <w:szCs w:val="18"/>
        </w:rPr>
        <w:t>απαιτήσεων</w:t>
      </w:r>
      <w:r w:rsidR="00271D97" w:rsidRPr="00271D97">
        <w:rPr>
          <w:rFonts w:ascii="Arial" w:hAnsi="Arial" w:cs="Arial"/>
          <w:color w:val="000080"/>
          <w:sz w:val="18"/>
          <w:szCs w:val="18"/>
        </w:rPr>
        <w:t>.</w:t>
      </w:r>
      <w:r w:rsidR="00271D97">
        <w:rPr>
          <w:rFonts w:ascii="Arial" w:hAnsi="Arial" w:cs="Arial"/>
          <w:color w:val="000080"/>
          <w:sz w:val="18"/>
          <w:szCs w:val="18"/>
        </w:rPr>
        <w:t xml:space="preserve"> </w:t>
      </w:r>
      <w:r w:rsidR="00535C53">
        <w:rPr>
          <w:rFonts w:ascii="Arial" w:hAnsi="Arial" w:cs="Arial"/>
          <w:color w:val="000080"/>
          <w:sz w:val="18"/>
          <w:szCs w:val="18"/>
        </w:rPr>
        <w:t xml:space="preserve">Πιο αναλυτικά, </w:t>
      </w:r>
      <w:r w:rsidR="00536C58">
        <w:rPr>
          <w:rFonts w:ascii="Arial" w:hAnsi="Arial" w:cs="Arial"/>
          <w:color w:val="000080"/>
          <w:sz w:val="18"/>
          <w:szCs w:val="18"/>
        </w:rPr>
        <w:t xml:space="preserve">τόσο </w:t>
      </w:r>
      <w:r w:rsidR="00535C53">
        <w:rPr>
          <w:rFonts w:ascii="Arial" w:hAnsi="Arial" w:cs="Arial"/>
          <w:color w:val="000080"/>
          <w:sz w:val="18"/>
          <w:szCs w:val="18"/>
        </w:rPr>
        <w:t xml:space="preserve">τα </w:t>
      </w:r>
      <w:r w:rsidR="00535C53" w:rsidRPr="00535C53">
        <w:rPr>
          <w:rFonts w:ascii="Arial" w:hAnsi="Arial" w:cs="Arial"/>
          <w:b/>
          <w:color w:val="000080"/>
          <w:sz w:val="18"/>
          <w:szCs w:val="18"/>
        </w:rPr>
        <w:t>νέα μη εξυπηρετούμενα ανοίγματα (</w:t>
      </w:r>
      <w:r w:rsidR="00535C53" w:rsidRPr="00535C53">
        <w:rPr>
          <w:rFonts w:ascii="Arial" w:hAnsi="Arial" w:cs="Arial"/>
          <w:b/>
          <w:color w:val="000080"/>
          <w:sz w:val="18"/>
          <w:szCs w:val="18"/>
          <w:lang w:val="en-US"/>
        </w:rPr>
        <w:t>NPEs</w:t>
      </w:r>
      <w:r w:rsidR="00535C53" w:rsidRPr="00535C53">
        <w:rPr>
          <w:rFonts w:ascii="Arial" w:hAnsi="Arial" w:cs="Arial"/>
          <w:b/>
          <w:color w:val="000080"/>
          <w:sz w:val="18"/>
          <w:szCs w:val="18"/>
        </w:rPr>
        <w:t>)</w:t>
      </w:r>
      <w:r w:rsidR="00535C53" w:rsidRPr="00471156">
        <w:rPr>
          <w:rFonts w:ascii="Arial" w:hAnsi="Arial" w:cs="Arial"/>
          <w:color w:val="000080"/>
          <w:sz w:val="18"/>
          <w:szCs w:val="18"/>
        </w:rPr>
        <w:t xml:space="preserve"> </w:t>
      </w:r>
      <w:r w:rsidR="00536C58">
        <w:rPr>
          <w:rFonts w:ascii="Arial" w:hAnsi="Arial" w:cs="Arial"/>
          <w:color w:val="000080"/>
          <w:sz w:val="18"/>
          <w:szCs w:val="18"/>
        </w:rPr>
        <w:t xml:space="preserve">όσο και </w:t>
      </w:r>
      <w:r w:rsidR="00536C58" w:rsidRPr="002A769E">
        <w:rPr>
          <w:rFonts w:ascii="Arial" w:hAnsi="Arial" w:cs="Arial"/>
          <w:b/>
          <w:color w:val="000080"/>
          <w:sz w:val="18"/>
          <w:szCs w:val="18"/>
        </w:rPr>
        <w:t>τα νέα δάνεια</w:t>
      </w:r>
      <w:r w:rsidR="00536C58">
        <w:rPr>
          <w:rFonts w:ascii="Arial" w:hAnsi="Arial" w:cs="Arial"/>
          <w:color w:val="000080"/>
          <w:sz w:val="18"/>
          <w:szCs w:val="18"/>
        </w:rPr>
        <w:t xml:space="preserve"> </w:t>
      </w:r>
      <w:r w:rsidR="00536C58" w:rsidRPr="00690D5B">
        <w:rPr>
          <w:rFonts w:ascii="Arial" w:hAnsi="Arial" w:cs="Arial"/>
          <w:b/>
          <w:color w:val="000080"/>
          <w:sz w:val="18"/>
          <w:szCs w:val="18"/>
        </w:rPr>
        <w:t>σε καθυστέρηση</w:t>
      </w:r>
      <w:r w:rsidR="00536C58">
        <w:rPr>
          <w:rFonts w:ascii="Arial" w:hAnsi="Arial" w:cs="Arial"/>
          <w:b/>
          <w:color w:val="000080"/>
          <w:sz w:val="18"/>
          <w:szCs w:val="18"/>
        </w:rPr>
        <w:t xml:space="preserve"> άνω των 90 ημερών</w:t>
      </w:r>
      <w:r w:rsidR="00536C58">
        <w:rPr>
          <w:rFonts w:ascii="Arial" w:hAnsi="Arial" w:cs="Arial"/>
          <w:color w:val="000080"/>
          <w:sz w:val="18"/>
          <w:szCs w:val="18"/>
        </w:rPr>
        <w:t xml:space="preserve"> </w:t>
      </w:r>
      <w:r w:rsidR="00535C53">
        <w:rPr>
          <w:rFonts w:ascii="Arial" w:hAnsi="Arial" w:cs="Arial"/>
          <w:color w:val="000080"/>
          <w:sz w:val="18"/>
          <w:szCs w:val="18"/>
        </w:rPr>
        <w:t xml:space="preserve">ήταν αρνητικά </w:t>
      </w:r>
      <w:r w:rsidR="002B0E11">
        <w:rPr>
          <w:rFonts w:ascii="Arial" w:hAnsi="Arial" w:cs="Arial"/>
          <w:color w:val="000080"/>
          <w:sz w:val="18"/>
          <w:szCs w:val="18"/>
        </w:rPr>
        <w:t xml:space="preserve">το Δ΄ τρίμηνο 2016 </w:t>
      </w:r>
      <w:r w:rsidR="00536C58">
        <w:rPr>
          <w:rFonts w:ascii="Arial" w:hAnsi="Arial" w:cs="Arial"/>
          <w:color w:val="000080"/>
          <w:sz w:val="18"/>
          <w:szCs w:val="18"/>
        </w:rPr>
        <w:t>και διαμορφώθηκαν σε -</w:t>
      </w:r>
      <w:r w:rsidR="00535C53">
        <w:rPr>
          <w:rFonts w:ascii="Arial" w:hAnsi="Arial" w:cs="Arial"/>
          <w:color w:val="000080"/>
          <w:sz w:val="18"/>
          <w:szCs w:val="18"/>
        </w:rPr>
        <w:t xml:space="preserve">€108εκ. </w:t>
      </w:r>
      <w:r w:rsidR="00A64BA8">
        <w:rPr>
          <w:rFonts w:ascii="Arial" w:hAnsi="Arial" w:cs="Arial"/>
          <w:color w:val="000080"/>
          <w:sz w:val="18"/>
          <w:szCs w:val="18"/>
        </w:rPr>
        <w:t xml:space="preserve">και </w:t>
      </w:r>
      <w:r w:rsidR="00536C58">
        <w:rPr>
          <w:rFonts w:ascii="Arial" w:hAnsi="Arial" w:cs="Arial"/>
          <w:color w:val="000080"/>
          <w:sz w:val="18"/>
          <w:szCs w:val="18"/>
        </w:rPr>
        <w:t>-</w:t>
      </w:r>
      <w:r w:rsidR="00A64BA8">
        <w:rPr>
          <w:rFonts w:ascii="Arial" w:hAnsi="Arial" w:cs="Arial"/>
          <w:color w:val="000080"/>
          <w:sz w:val="18"/>
          <w:szCs w:val="18"/>
        </w:rPr>
        <w:t>€85εκ.</w:t>
      </w:r>
      <w:r w:rsidR="00536C58">
        <w:rPr>
          <w:rFonts w:ascii="Arial" w:hAnsi="Arial" w:cs="Arial"/>
          <w:color w:val="000080"/>
          <w:sz w:val="18"/>
          <w:szCs w:val="18"/>
        </w:rPr>
        <w:t xml:space="preserve"> αντίστοιχα</w:t>
      </w:r>
      <w:r w:rsidR="00A64BA8">
        <w:rPr>
          <w:rFonts w:ascii="Arial" w:hAnsi="Arial" w:cs="Arial"/>
          <w:color w:val="000080"/>
          <w:sz w:val="18"/>
          <w:szCs w:val="18"/>
        </w:rPr>
        <w:t xml:space="preserve">. </w:t>
      </w:r>
      <w:r w:rsidR="002B0E11" w:rsidRPr="002B0E11">
        <w:rPr>
          <w:rFonts w:ascii="Arial" w:hAnsi="Arial" w:cs="Arial"/>
          <w:b/>
          <w:color w:val="000080"/>
          <w:sz w:val="18"/>
          <w:szCs w:val="18"/>
        </w:rPr>
        <w:t xml:space="preserve">Ο δείκτης των </w:t>
      </w:r>
      <w:r w:rsidR="004724FD" w:rsidRPr="002B0E11">
        <w:rPr>
          <w:rFonts w:ascii="Arial" w:hAnsi="Arial" w:cs="Arial"/>
          <w:b/>
          <w:color w:val="000080"/>
          <w:sz w:val="18"/>
          <w:szCs w:val="18"/>
          <w:lang w:val="en-US"/>
        </w:rPr>
        <w:t>NPEs</w:t>
      </w:r>
      <w:r w:rsidR="004724FD" w:rsidRPr="004724FD">
        <w:rPr>
          <w:rFonts w:ascii="Arial" w:hAnsi="Arial" w:cs="Arial"/>
          <w:b/>
          <w:color w:val="000080"/>
          <w:sz w:val="18"/>
          <w:szCs w:val="18"/>
        </w:rPr>
        <w:t xml:space="preserve"> </w:t>
      </w:r>
      <w:r w:rsidR="002B0E11" w:rsidRPr="002B0E11">
        <w:rPr>
          <w:rFonts w:ascii="Arial" w:hAnsi="Arial" w:cs="Arial"/>
          <w:color w:val="000080"/>
          <w:sz w:val="18"/>
          <w:szCs w:val="18"/>
        </w:rPr>
        <w:t>μειώθηκε κατά 40 μονάδες βάση σε τριμηνιαία βάση</w:t>
      </w:r>
      <w:r w:rsidR="002B0E11">
        <w:rPr>
          <w:rFonts w:ascii="Arial" w:hAnsi="Arial" w:cs="Arial"/>
          <w:b/>
          <w:color w:val="000080"/>
          <w:sz w:val="18"/>
          <w:szCs w:val="18"/>
        </w:rPr>
        <w:t xml:space="preserve"> </w:t>
      </w:r>
      <w:r w:rsidR="002B0E11" w:rsidRPr="002B0E11">
        <w:rPr>
          <w:rFonts w:ascii="Arial" w:hAnsi="Arial" w:cs="Arial"/>
          <w:color w:val="000080"/>
          <w:sz w:val="18"/>
          <w:szCs w:val="18"/>
        </w:rPr>
        <w:t xml:space="preserve">και </w:t>
      </w:r>
      <w:r w:rsidR="004724FD">
        <w:rPr>
          <w:rFonts w:ascii="Arial" w:hAnsi="Arial" w:cs="Arial"/>
          <w:color w:val="000080"/>
          <w:sz w:val="18"/>
          <w:szCs w:val="18"/>
        </w:rPr>
        <w:t>διαμορφώθηκ</w:t>
      </w:r>
      <w:r w:rsidR="002B0E11">
        <w:rPr>
          <w:rFonts w:ascii="Arial" w:hAnsi="Arial" w:cs="Arial"/>
          <w:color w:val="000080"/>
          <w:sz w:val="18"/>
          <w:szCs w:val="18"/>
        </w:rPr>
        <w:t xml:space="preserve">ε σε </w:t>
      </w:r>
      <w:r w:rsidR="004724FD">
        <w:rPr>
          <w:rFonts w:ascii="Arial" w:hAnsi="Arial" w:cs="Arial"/>
          <w:color w:val="000080"/>
          <w:sz w:val="18"/>
          <w:szCs w:val="18"/>
        </w:rPr>
        <w:t xml:space="preserve">45,2% </w:t>
      </w:r>
      <w:r w:rsidR="00173F12" w:rsidRPr="00173F12">
        <w:rPr>
          <w:rFonts w:ascii="Arial" w:hAnsi="Arial" w:cs="Arial"/>
          <w:color w:val="000080"/>
          <w:sz w:val="18"/>
          <w:szCs w:val="18"/>
        </w:rPr>
        <w:t>του χαρτοφυλακίου χορηγήσεων</w:t>
      </w:r>
      <w:r w:rsidR="002B0E11">
        <w:rPr>
          <w:rFonts w:ascii="Arial" w:hAnsi="Arial" w:cs="Arial"/>
          <w:color w:val="000080"/>
          <w:sz w:val="18"/>
          <w:szCs w:val="18"/>
        </w:rPr>
        <w:t xml:space="preserve"> στο τέλος του 2016. Παράλληλα </w:t>
      </w:r>
      <w:r w:rsidR="004724FD" w:rsidRPr="002B0E11">
        <w:rPr>
          <w:rFonts w:ascii="Arial" w:hAnsi="Arial" w:cs="Arial"/>
          <w:b/>
          <w:color w:val="000080"/>
          <w:sz w:val="18"/>
          <w:szCs w:val="18"/>
        </w:rPr>
        <w:t>τα δάνεια σε καθυστέρηση άνω των 90 ημερών</w:t>
      </w:r>
      <w:r w:rsidR="004724FD">
        <w:rPr>
          <w:rFonts w:ascii="Arial" w:hAnsi="Arial" w:cs="Arial"/>
          <w:color w:val="000080"/>
          <w:sz w:val="18"/>
          <w:szCs w:val="18"/>
        </w:rPr>
        <w:t xml:space="preserve"> </w:t>
      </w:r>
      <w:r w:rsidR="002B0E11">
        <w:rPr>
          <w:rFonts w:ascii="Arial" w:hAnsi="Arial" w:cs="Arial"/>
          <w:color w:val="000080"/>
          <w:sz w:val="18"/>
          <w:szCs w:val="18"/>
        </w:rPr>
        <w:t xml:space="preserve">ως ποσοστό του χαρτοφυλακίου χορηγήσεων </w:t>
      </w:r>
      <w:r w:rsidR="001658A9">
        <w:rPr>
          <w:rFonts w:ascii="Arial" w:hAnsi="Arial" w:cs="Arial"/>
          <w:color w:val="000080"/>
          <w:sz w:val="18"/>
          <w:szCs w:val="18"/>
        </w:rPr>
        <w:t>μειώθηκαν</w:t>
      </w:r>
      <w:r w:rsidR="00150AC3">
        <w:rPr>
          <w:rFonts w:ascii="Arial" w:hAnsi="Arial" w:cs="Arial"/>
          <w:color w:val="000080"/>
          <w:sz w:val="18"/>
          <w:szCs w:val="18"/>
        </w:rPr>
        <w:t xml:space="preserve"> σε</w:t>
      </w:r>
      <w:r w:rsidR="004724FD">
        <w:rPr>
          <w:rFonts w:ascii="Arial" w:hAnsi="Arial" w:cs="Arial"/>
          <w:color w:val="000080"/>
          <w:sz w:val="18"/>
          <w:szCs w:val="18"/>
        </w:rPr>
        <w:t xml:space="preserve"> </w:t>
      </w:r>
      <w:r w:rsidR="002B0E11">
        <w:rPr>
          <w:rFonts w:ascii="Arial" w:hAnsi="Arial" w:cs="Arial"/>
          <w:color w:val="000080"/>
          <w:sz w:val="18"/>
          <w:szCs w:val="18"/>
        </w:rPr>
        <w:t xml:space="preserve"> </w:t>
      </w:r>
      <w:r w:rsidR="004724FD">
        <w:rPr>
          <w:rFonts w:ascii="Arial" w:hAnsi="Arial" w:cs="Arial"/>
          <w:color w:val="000080"/>
          <w:sz w:val="18"/>
          <w:szCs w:val="18"/>
        </w:rPr>
        <w:t>34,7%</w:t>
      </w:r>
      <w:r w:rsidR="002B0E11">
        <w:rPr>
          <w:rFonts w:ascii="Arial" w:hAnsi="Arial" w:cs="Arial"/>
          <w:color w:val="000080"/>
          <w:sz w:val="18"/>
          <w:szCs w:val="18"/>
        </w:rPr>
        <w:t xml:space="preserve">, από 34,8% το Γ΄ τρίμηνο 2016 και </w:t>
      </w:r>
      <w:r w:rsidR="004724FD">
        <w:rPr>
          <w:rFonts w:ascii="Arial" w:hAnsi="Arial" w:cs="Arial"/>
          <w:color w:val="000080"/>
          <w:sz w:val="18"/>
          <w:szCs w:val="18"/>
        </w:rPr>
        <w:t xml:space="preserve">35,2% </w:t>
      </w:r>
      <w:r w:rsidR="002B0E11">
        <w:rPr>
          <w:rFonts w:ascii="Arial" w:hAnsi="Arial" w:cs="Arial"/>
          <w:color w:val="000080"/>
          <w:sz w:val="18"/>
          <w:szCs w:val="18"/>
        </w:rPr>
        <w:t>σ</w:t>
      </w:r>
      <w:r w:rsidR="004724FD">
        <w:rPr>
          <w:rFonts w:ascii="Arial" w:hAnsi="Arial" w:cs="Arial"/>
          <w:color w:val="000080"/>
          <w:sz w:val="18"/>
          <w:szCs w:val="18"/>
        </w:rPr>
        <w:t>το</w:t>
      </w:r>
      <w:r w:rsidR="002B0E11">
        <w:rPr>
          <w:rFonts w:ascii="Arial" w:hAnsi="Arial" w:cs="Arial"/>
          <w:color w:val="000080"/>
          <w:sz w:val="18"/>
          <w:szCs w:val="18"/>
        </w:rPr>
        <w:t xml:space="preserve"> τέλος του</w:t>
      </w:r>
      <w:r w:rsidR="004724FD">
        <w:rPr>
          <w:rFonts w:ascii="Arial" w:hAnsi="Arial" w:cs="Arial"/>
          <w:color w:val="000080"/>
          <w:sz w:val="18"/>
          <w:szCs w:val="18"/>
        </w:rPr>
        <w:t xml:space="preserve"> 2015. </w:t>
      </w:r>
      <w:r w:rsidR="004724FD" w:rsidRPr="00105285">
        <w:rPr>
          <w:rFonts w:ascii="Arial" w:hAnsi="Arial" w:cs="Arial"/>
          <w:b/>
          <w:color w:val="000080"/>
          <w:sz w:val="18"/>
          <w:szCs w:val="18"/>
        </w:rPr>
        <w:t xml:space="preserve">Η κάλυψη των </w:t>
      </w:r>
      <w:r w:rsidR="004724FD" w:rsidRPr="00105285">
        <w:rPr>
          <w:rFonts w:ascii="Arial" w:hAnsi="Arial" w:cs="Arial"/>
          <w:b/>
          <w:color w:val="000080"/>
          <w:sz w:val="18"/>
          <w:szCs w:val="18"/>
          <w:lang w:val="en-US"/>
        </w:rPr>
        <w:t>NPEs</w:t>
      </w:r>
      <w:r w:rsidR="004724FD" w:rsidRPr="00105285">
        <w:rPr>
          <w:rFonts w:ascii="Arial" w:hAnsi="Arial" w:cs="Arial"/>
          <w:b/>
          <w:color w:val="000080"/>
          <w:sz w:val="18"/>
          <w:szCs w:val="18"/>
        </w:rPr>
        <w:t xml:space="preserve"> και των δανείων σε καθυστέρηση άνω των 90 ημερών</w:t>
      </w:r>
      <w:r w:rsidR="004724FD">
        <w:rPr>
          <w:rFonts w:ascii="Arial" w:hAnsi="Arial" w:cs="Arial"/>
          <w:color w:val="000080"/>
          <w:sz w:val="18"/>
          <w:szCs w:val="18"/>
        </w:rPr>
        <w:t xml:space="preserve"> από προβλέψεις </w:t>
      </w:r>
      <w:r w:rsidR="002B0E11">
        <w:rPr>
          <w:rFonts w:ascii="Arial" w:hAnsi="Arial" w:cs="Arial"/>
          <w:color w:val="000080"/>
          <w:sz w:val="18"/>
          <w:szCs w:val="18"/>
        </w:rPr>
        <w:t>βελτιώθηκε κατά 70 και 60 μονάδες βάσης αντίστοιχα το Δ΄ τρίμηνο 2016</w:t>
      </w:r>
      <w:r w:rsidR="00170051">
        <w:rPr>
          <w:rFonts w:ascii="Arial" w:hAnsi="Arial" w:cs="Arial"/>
          <w:color w:val="000080"/>
          <w:sz w:val="18"/>
          <w:szCs w:val="18"/>
        </w:rPr>
        <w:t xml:space="preserve"> σε 50,7% και 66,1%</w:t>
      </w:r>
      <w:r w:rsidR="004724FD">
        <w:rPr>
          <w:rFonts w:ascii="Arial" w:hAnsi="Arial" w:cs="Arial"/>
          <w:color w:val="000080"/>
          <w:sz w:val="18"/>
          <w:szCs w:val="18"/>
        </w:rPr>
        <w:t xml:space="preserve">. </w:t>
      </w:r>
      <w:r w:rsidR="00DD1BA8">
        <w:rPr>
          <w:rFonts w:ascii="Arial" w:hAnsi="Arial" w:cs="Arial"/>
          <w:color w:val="000080"/>
          <w:sz w:val="18"/>
          <w:szCs w:val="18"/>
        </w:rPr>
        <w:t xml:space="preserve">Οι </w:t>
      </w:r>
      <w:r w:rsidR="00645F8B" w:rsidRPr="00645F8B">
        <w:rPr>
          <w:rFonts w:ascii="Arial" w:hAnsi="Arial" w:cs="Arial"/>
          <w:b/>
          <w:color w:val="000080"/>
          <w:sz w:val="18"/>
          <w:szCs w:val="18"/>
        </w:rPr>
        <w:t>π</w:t>
      </w:r>
      <w:r w:rsidR="00EF4C79" w:rsidRPr="00F15630">
        <w:rPr>
          <w:rFonts w:ascii="Arial" w:hAnsi="Arial" w:cs="Arial"/>
          <w:b/>
          <w:color w:val="000080"/>
          <w:sz w:val="18"/>
          <w:szCs w:val="18"/>
        </w:rPr>
        <w:t>ροβλέψ</w:t>
      </w:r>
      <w:r w:rsidR="004F1DBA">
        <w:rPr>
          <w:rFonts w:ascii="Arial" w:hAnsi="Arial" w:cs="Arial"/>
          <w:b/>
          <w:color w:val="000080"/>
          <w:sz w:val="18"/>
          <w:szCs w:val="18"/>
        </w:rPr>
        <w:t>εις</w:t>
      </w:r>
      <w:r w:rsidR="00645F8B">
        <w:rPr>
          <w:rFonts w:ascii="Arial" w:hAnsi="Arial" w:cs="Arial"/>
          <w:b/>
          <w:color w:val="000080"/>
          <w:sz w:val="18"/>
          <w:szCs w:val="18"/>
        </w:rPr>
        <w:t xml:space="preserve"> έναντι</w:t>
      </w:r>
      <w:r w:rsidR="00EF4C79" w:rsidRPr="00F15630">
        <w:rPr>
          <w:rFonts w:ascii="Arial" w:hAnsi="Arial" w:cs="Arial"/>
          <w:b/>
          <w:color w:val="000080"/>
          <w:sz w:val="18"/>
          <w:szCs w:val="18"/>
        </w:rPr>
        <w:t xml:space="preserve"> πιστωτικών κινδύνων</w:t>
      </w:r>
      <w:r w:rsidR="00DD1BA8">
        <w:rPr>
          <w:rFonts w:ascii="Arial" w:hAnsi="Arial" w:cs="Arial"/>
          <w:b/>
          <w:color w:val="000080"/>
          <w:sz w:val="18"/>
          <w:szCs w:val="18"/>
        </w:rPr>
        <w:t xml:space="preserve"> </w:t>
      </w:r>
      <w:r w:rsidR="009B61E8">
        <w:rPr>
          <w:rFonts w:ascii="Arial" w:hAnsi="Arial" w:cs="Arial"/>
          <w:noProof/>
          <w:color w:val="000080"/>
          <w:sz w:val="18"/>
          <w:szCs w:val="18"/>
        </w:rPr>
        <w:t>διαμορφώθηκαν</w:t>
      </w:r>
      <w:r w:rsidR="00E37818">
        <w:rPr>
          <w:rFonts w:ascii="Arial" w:hAnsi="Arial" w:cs="Arial"/>
          <w:noProof/>
          <w:color w:val="000080"/>
          <w:sz w:val="18"/>
          <w:szCs w:val="18"/>
        </w:rPr>
        <w:t xml:space="preserve"> σ</w:t>
      </w:r>
      <w:r w:rsidR="00316B8A">
        <w:rPr>
          <w:rFonts w:ascii="Arial" w:hAnsi="Arial" w:cs="Arial"/>
          <w:noProof/>
          <w:color w:val="000080"/>
          <w:sz w:val="18"/>
          <w:szCs w:val="18"/>
        </w:rPr>
        <w:t xml:space="preserve">ε </w:t>
      </w:r>
      <w:r w:rsidR="002B0E11">
        <w:rPr>
          <w:rFonts w:ascii="Arial" w:hAnsi="Arial" w:cs="Arial"/>
          <w:noProof/>
          <w:color w:val="000080"/>
          <w:sz w:val="18"/>
          <w:szCs w:val="18"/>
        </w:rPr>
        <w:t>€775εκ. το 2016</w:t>
      </w:r>
      <w:r w:rsidR="002B0E11" w:rsidRPr="00585FB1">
        <w:rPr>
          <w:rFonts w:ascii="Arial" w:hAnsi="Arial" w:cs="Arial"/>
          <w:noProof/>
          <w:color w:val="000080"/>
          <w:sz w:val="18"/>
          <w:szCs w:val="18"/>
        </w:rPr>
        <w:t xml:space="preserve"> </w:t>
      </w:r>
      <w:r w:rsidR="00170051">
        <w:rPr>
          <w:rFonts w:ascii="Arial" w:hAnsi="Arial" w:cs="Arial"/>
          <w:noProof/>
          <w:color w:val="000080"/>
          <w:sz w:val="18"/>
          <w:szCs w:val="18"/>
        </w:rPr>
        <w:t xml:space="preserve"> και αντιστοιχούσαν σε </w:t>
      </w:r>
      <w:r w:rsidR="002B0E11" w:rsidRPr="000E240A">
        <w:rPr>
          <w:rFonts w:ascii="Arial" w:hAnsi="Arial" w:cs="Arial"/>
          <w:noProof/>
          <w:color w:val="000080"/>
          <w:sz w:val="18"/>
          <w:szCs w:val="18"/>
        </w:rPr>
        <w:t>1,9</w:t>
      </w:r>
      <w:r w:rsidR="002B0E11">
        <w:rPr>
          <w:rFonts w:ascii="Arial" w:hAnsi="Arial" w:cs="Arial"/>
          <w:noProof/>
          <w:color w:val="000080"/>
          <w:sz w:val="18"/>
          <w:szCs w:val="18"/>
        </w:rPr>
        <w:t>6% επί των μέσων χορηγήσεων.</w:t>
      </w:r>
      <w:r w:rsidR="000E240A" w:rsidRPr="000E240A">
        <w:rPr>
          <w:rFonts w:ascii="Arial" w:hAnsi="Arial" w:cs="Arial"/>
          <w:noProof/>
          <w:color w:val="000080"/>
          <w:sz w:val="18"/>
          <w:szCs w:val="18"/>
        </w:rPr>
        <w:t xml:space="preserve"> </w:t>
      </w:r>
      <w:r w:rsidR="00E94586">
        <w:rPr>
          <w:rFonts w:ascii="Arial" w:hAnsi="Arial" w:cs="Arial"/>
          <w:noProof/>
          <w:color w:val="000080"/>
          <w:sz w:val="18"/>
          <w:szCs w:val="18"/>
        </w:rPr>
        <w:t xml:space="preserve"> </w:t>
      </w:r>
    </w:p>
    <w:p w:rsidR="00D63FAF" w:rsidRDefault="00D63FAF" w:rsidP="00D63FAF">
      <w:pPr>
        <w:spacing w:line="360" w:lineRule="auto"/>
        <w:ind w:left="2835" w:right="43"/>
        <w:jc w:val="both"/>
        <w:rPr>
          <w:rFonts w:ascii="Arial" w:hAnsi="Arial" w:cs="Arial"/>
          <w:noProof/>
          <w:color w:val="000080"/>
          <w:sz w:val="18"/>
          <w:szCs w:val="18"/>
        </w:rPr>
      </w:pPr>
    </w:p>
    <w:p w:rsidR="00D63FAF" w:rsidRPr="00B618B0" w:rsidRDefault="00D63FAF" w:rsidP="00D63FAF">
      <w:pPr>
        <w:spacing w:line="360" w:lineRule="auto"/>
        <w:ind w:left="2835" w:right="43"/>
        <w:jc w:val="both"/>
        <w:rPr>
          <w:rFonts w:ascii="Arial" w:hAnsi="Arial" w:cs="Arial"/>
          <w:color w:val="000080"/>
          <w:sz w:val="18"/>
          <w:szCs w:val="18"/>
        </w:rPr>
      </w:pPr>
      <w:r>
        <w:rPr>
          <w:rFonts w:ascii="Arial" w:hAnsi="Arial" w:cs="Arial"/>
          <w:noProof/>
          <w:color w:val="000080"/>
          <w:sz w:val="18"/>
          <w:szCs w:val="18"/>
        </w:rPr>
        <w:t>Οι</w:t>
      </w:r>
      <w:r w:rsidRPr="00D548DC">
        <w:rPr>
          <w:rFonts w:ascii="Arial" w:hAnsi="Arial" w:cs="Arial"/>
          <w:b/>
          <w:noProof/>
          <w:color w:val="000080"/>
          <w:sz w:val="18"/>
          <w:szCs w:val="18"/>
        </w:rPr>
        <w:t xml:space="preserve"> δραστηριότητες στο εξωτερικό</w:t>
      </w:r>
      <w:r w:rsidR="00377A1E">
        <w:rPr>
          <w:rFonts w:ascii="Arial" w:hAnsi="Arial" w:cs="Arial"/>
          <w:noProof/>
          <w:color w:val="000080"/>
          <w:sz w:val="18"/>
          <w:szCs w:val="18"/>
        </w:rPr>
        <w:t xml:space="preserve"> παρέμειναν σταθερά κερδοφόρες </w:t>
      </w:r>
      <w:r w:rsidR="00645F8B">
        <w:rPr>
          <w:rFonts w:ascii="Arial" w:hAnsi="Arial" w:cs="Arial"/>
          <w:noProof/>
          <w:color w:val="000080"/>
          <w:sz w:val="18"/>
          <w:szCs w:val="18"/>
        </w:rPr>
        <w:t>για ακόμα ένα τρίμηνο</w:t>
      </w:r>
      <w:r>
        <w:rPr>
          <w:rFonts w:ascii="Arial" w:hAnsi="Arial" w:cs="Arial"/>
          <w:noProof/>
          <w:color w:val="000080"/>
          <w:sz w:val="18"/>
          <w:szCs w:val="18"/>
        </w:rPr>
        <w:t>,</w:t>
      </w:r>
      <w:r w:rsidR="00645F8B">
        <w:rPr>
          <w:rFonts w:ascii="Arial" w:hAnsi="Arial" w:cs="Arial"/>
          <w:noProof/>
          <w:color w:val="000080"/>
          <w:sz w:val="18"/>
          <w:szCs w:val="18"/>
        </w:rPr>
        <w:t xml:space="preserve"> καθώς</w:t>
      </w:r>
      <w:r w:rsidR="00ED2A50">
        <w:rPr>
          <w:rFonts w:ascii="Arial" w:hAnsi="Arial" w:cs="Arial"/>
          <w:noProof/>
          <w:color w:val="000080"/>
          <w:sz w:val="18"/>
          <w:szCs w:val="18"/>
        </w:rPr>
        <w:t xml:space="preserve"> το καθαρό αποτέλεσμα</w:t>
      </w:r>
      <w:r w:rsidR="00E94586">
        <w:rPr>
          <w:rStyle w:val="a7"/>
          <w:rFonts w:ascii="Arial" w:hAnsi="Arial" w:cs="Arial"/>
          <w:color w:val="000080"/>
          <w:sz w:val="18"/>
          <w:szCs w:val="18"/>
        </w:rPr>
        <w:footnoteReference w:id="5"/>
      </w:r>
      <w:r w:rsidR="00E94586">
        <w:rPr>
          <w:rFonts w:ascii="Arial" w:hAnsi="Arial" w:cs="Arial"/>
          <w:noProof/>
          <w:color w:val="000080"/>
          <w:sz w:val="18"/>
          <w:szCs w:val="18"/>
        </w:rPr>
        <w:t xml:space="preserve"> </w:t>
      </w:r>
      <w:r>
        <w:rPr>
          <w:rFonts w:ascii="Arial" w:hAnsi="Arial" w:cs="Arial"/>
          <w:noProof/>
          <w:color w:val="000080"/>
          <w:sz w:val="18"/>
          <w:szCs w:val="18"/>
        </w:rPr>
        <w:t>διαμορφώθηκ</w:t>
      </w:r>
      <w:r w:rsidR="00ED2A50">
        <w:rPr>
          <w:rFonts w:ascii="Arial" w:hAnsi="Arial" w:cs="Arial"/>
          <w:noProof/>
          <w:color w:val="000080"/>
          <w:sz w:val="18"/>
          <w:szCs w:val="18"/>
        </w:rPr>
        <w:t>ε</w:t>
      </w:r>
      <w:r>
        <w:rPr>
          <w:rFonts w:ascii="Arial" w:hAnsi="Arial" w:cs="Arial"/>
          <w:noProof/>
          <w:color w:val="000080"/>
          <w:sz w:val="18"/>
          <w:szCs w:val="18"/>
        </w:rPr>
        <w:t xml:space="preserve"> σε €</w:t>
      </w:r>
      <w:r w:rsidR="00E94586">
        <w:rPr>
          <w:rFonts w:ascii="Arial" w:hAnsi="Arial" w:cs="Arial"/>
          <w:noProof/>
          <w:color w:val="000080"/>
          <w:sz w:val="18"/>
          <w:szCs w:val="18"/>
        </w:rPr>
        <w:t>30</w:t>
      </w:r>
      <w:r w:rsidR="00645F8B">
        <w:rPr>
          <w:rFonts w:ascii="Arial" w:hAnsi="Arial" w:cs="Arial"/>
          <w:noProof/>
          <w:color w:val="000080"/>
          <w:sz w:val="18"/>
          <w:szCs w:val="18"/>
        </w:rPr>
        <w:t>εκ.</w:t>
      </w:r>
      <w:r w:rsidR="00E94586">
        <w:rPr>
          <w:rFonts w:ascii="Arial" w:hAnsi="Arial" w:cs="Arial"/>
          <w:noProof/>
          <w:color w:val="000080"/>
          <w:sz w:val="18"/>
          <w:szCs w:val="18"/>
        </w:rPr>
        <w:t xml:space="preserve"> το Δ΄ τρίμηνο, από €26εκ. το Γ΄ τρίμηνο.</w:t>
      </w:r>
      <w:r w:rsidR="009B61E8">
        <w:rPr>
          <w:rFonts w:ascii="Arial" w:hAnsi="Arial" w:cs="Arial"/>
          <w:noProof/>
          <w:color w:val="000080"/>
          <w:sz w:val="18"/>
          <w:szCs w:val="18"/>
        </w:rPr>
        <w:t xml:space="preserve"> Σε επίπεδο </w:t>
      </w:r>
      <w:r w:rsidR="00E94586">
        <w:rPr>
          <w:rFonts w:ascii="Arial" w:hAnsi="Arial" w:cs="Arial"/>
          <w:noProof/>
          <w:color w:val="000080"/>
          <w:sz w:val="18"/>
          <w:szCs w:val="18"/>
        </w:rPr>
        <w:t>έτους,</w:t>
      </w:r>
      <w:r w:rsidR="009B61E8">
        <w:rPr>
          <w:rFonts w:ascii="Arial" w:hAnsi="Arial" w:cs="Arial"/>
          <w:noProof/>
          <w:color w:val="000080"/>
          <w:sz w:val="18"/>
          <w:szCs w:val="18"/>
        </w:rPr>
        <w:t xml:space="preserve"> τα καθαρά κέρδη</w:t>
      </w:r>
      <w:r w:rsidR="00743313" w:rsidRPr="00743313">
        <w:rPr>
          <w:rStyle w:val="a7"/>
          <w:rFonts w:ascii="Arial" w:hAnsi="Arial" w:cs="Arial"/>
          <w:color w:val="000080"/>
          <w:sz w:val="18"/>
          <w:szCs w:val="18"/>
        </w:rPr>
        <w:t>4</w:t>
      </w:r>
      <w:r w:rsidR="009B61E8">
        <w:rPr>
          <w:rFonts w:ascii="Arial" w:hAnsi="Arial" w:cs="Arial"/>
          <w:noProof/>
          <w:color w:val="000080"/>
          <w:sz w:val="18"/>
          <w:szCs w:val="18"/>
        </w:rPr>
        <w:t xml:space="preserve"> ανήλθαν σε €</w:t>
      </w:r>
      <w:r w:rsidR="00E94586">
        <w:rPr>
          <w:rFonts w:ascii="Arial" w:hAnsi="Arial" w:cs="Arial"/>
          <w:noProof/>
          <w:color w:val="000080"/>
          <w:sz w:val="18"/>
          <w:szCs w:val="18"/>
        </w:rPr>
        <w:t>12</w:t>
      </w:r>
      <w:r w:rsidR="009B61E8">
        <w:rPr>
          <w:rFonts w:ascii="Arial" w:hAnsi="Arial" w:cs="Arial"/>
          <w:noProof/>
          <w:color w:val="000080"/>
          <w:sz w:val="18"/>
          <w:szCs w:val="18"/>
        </w:rPr>
        <w:t>3εκ., έναντι €</w:t>
      </w:r>
      <w:r w:rsidR="00E94586">
        <w:rPr>
          <w:rFonts w:ascii="Arial" w:hAnsi="Arial" w:cs="Arial"/>
          <w:noProof/>
          <w:color w:val="000080"/>
          <w:sz w:val="18"/>
          <w:szCs w:val="18"/>
        </w:rPr>
        <w:t>67</w:t>
      </w:r>
      <w:r w:rsidR="009B61E8">
        <w:rPr>
          <w:rFonts w:ascii="Arial" w:hAnsi="Arial" w:cs="Arial"/>
          <w:noProof/>
          <w:color w:val="000080"/>
          <w:sz w:val="18"/>
          <w:szCs w:val="18"/>
        </w:rPr>
        <w:t>εκ. το</w:t>
      </w:r>
      <w:r w:rsidR="00E94586">
        <w:rPr>
          <w:rFonts w:ascii="Arial" w:hAnsi="Arial" w:cs="Arial"/>
          <w:noProof/>
          <w:color w:val="000080"/>
          <w:sz w:val="18"/>
          <w:szCs w:val="18"/>
        </w:rPr>
        <w:t xml:space="preserve"> 2015</w:t>
      </w:r>
      <w:r w:rsidR="009B61E8">
        <w:rPr>
          <w:rFonts w:ascii="Arial" w:hAnsi="Arial" w:cs="Arial"/>
          <w:noProof/>
          <w:color w:val="000080"/>
          <w:sz w:val="18"/>
          <w:szCs w:val="18"/>
        </w:rPr>
        <w:t>.</w:t>
      </w:r>
    </w:p>
    <w:p w:rsidR="00874F35" w:rsidRDefault="00874F35" w:rsidP="00091612">
      <w:pPr>
        <w:spacing w:line="360" w:lineRule="auto"/>
        <w:ind w:left="2835" w:right="43"/>
        <w:jc w:val="both"/>
        <w:rPr>
          <w:rFonts w:ascii="Arial" w:hAnsi="Arial" w:cs="Arial"/>
          <w:color w:val="000080"/>
          <w:sz w:val="18"/>
          <w:szCs w:val="18"/>
        </w:rPr>
      </w:pPr>
    </w:p>
    <w:p w:rsidR="00091612" w:rsidRPr="000E240A" w:rsidRDefault="00FE3BBA" w:rsidP="00091612">
      <w:pPr>
        <w:spacing w:line="360" w:lineRule="auto"/>
        <w:ind w:left="2835" w:right="43"/>
        <w:jc w:val="both"/>
        <w:rPr>
          <w:rFonts w:ascii="Arial" w:hAnsi="Arial" w:cs="Arial"/>
          <w:noProof/>
          <w:color w:val="000080"/>
          <w:sz w:val="18"/>
          <w:szCs w:val="18"/>
        </w:rPr>
      </w:pPr>
      <w:r>
        <w:rPr>
          <w:rFonts w:ascii="Arial" w:hAnsi="Arial" w:cs="Arial"/>
          <w:noProof/>
          <w:color w:val="000080"/>
          <w:sz w:val="18"/>
          <w:szCs w:val="18"/>
          <w:lang w:val="en-US" w:eastAsia="en-US"/>
        </w:rPr>
        <w:drawing>
          <wp:anchor distT="0" distB="0" distL="114300" distR="114300" simplePos="0" relativeHeight="251655680" behindDoc="0" locked="0" layoutInCell="1" allowOverlap="1">
            <wp:simplePos x="0" y="0"/>
            <wp:positionH relativeFrom="column">
              <wp:posOffset>-313055</wp:posOffset>
            </wp:positionH>
            <wp:positionV relativeFrom="paragraph">
              <wp:posOffset>217170</wp:posOffset>
            </wp:positionV>
            <wp:extent cx="1781175" cy="2045335"/>
            <wp:effectExtent l="0" t="0" r="0" b="0"/>
            <wp:wrapNone/>
            <wp:docPr id="393" name="Αντικείμενο 3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F4C02">
        <w:rPr>
          <w:rFonts w:ascii="Arial" w:hAnsi="Arial" w:cs="Arial"/>
          <w:noProof/>
          <w:color w:val="000080"/>
          <w:sz w:val="18"/>
          <w:szCs w:val="18"/>
        </w:rPr>
        <w:pict>
          <v:roundrect id="_x0000_s1415" style="position:absolute;left:0;text-align:left;margin-left:-47.25pt;margin-top:9.55pt;width:174pt;height:163.7pt;z-index:-251662848;visibility:visible;mso-wrap-distance-left:2.88pt;mso-wrap-distance-top:2.88pt;mso-wrap-distance-right:2.88pt;mso-wrap-distance-bottom:2.88pt;mso-position-horizontal-relative:text;mso-position-vertical-relative:text" arcsize="5607f" fillcolor="#dfe4e9" stroked="f" strokecolor="#006" insetpen="t" o:cliptowrap="t">
            <v:shadow color="#ccc"/>
            <o:lock v:ext="edit" shapetype="t"/>
            <v:textbox inset="2.88pt,2.88pt,2.88pt,2.88pt"/>
          </v:roundrect>
        </w:pict>
      </w:r>
      <w:r w:rsidR="008F4C02">
        <w:rPr>
          <w:rFonts w:ascii="Arial" w:hAnsi="Arial" w:cs="Arial"/>
          <w:noProof/>
          <w:color w:val="000080"/>
          <w:sz w:val="18"/>
          <w:szCs w:val="18"/>
        </w:rPr>
        <w:pict>
          <v:shape id="_x0000_s1416" type="#_x0000_t202" style="position:absolute;left:0;text-align:left;margin-left:-35.2pt;margin-top:13.35pt;width:162pt;height:29.8pt;z-index:251654656;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416;mso-column-margin:5.7pt" inset="2.85pt,2.85pt,2.85pt,2.85pt">
              <w:txbxContent>
                <w:p w:rsidR="00D22E61" w:rsidRPr="009C5EE6" w:rsidRDefault="00D22E61" w:rsidP="00D22E61">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Χρηματοδότηση από το Ευρωσύστημα</w:t>
                  </w:r>
                </w:p>
                <w:p w:rsidR="00D22E61" w:rsidRPr="009C5EE6" w:rsidRDefault="00D22E61" w:rsidP="00D22E61">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(€δισ</w:t>
                  </w:r>
                  <w:r w:rsidRPr="009C5EE6">
                    <w:rPr>
                      <w:rFonts w:ascii="Arial" w:hAnsi="Arial" w:cs="Arial"/>
                      <w:b/>
                      <w:bCs/>
                      <w:color w:val="000066"/>
                      <w:sz w:val="14"/>
                      <w:szCs w:val="14"/>
                    </w:rPr>
                    <w:t>.)</w:t>
                  </w:r>
                </w:p>
              </w:txbxContent>
            </v:textbox>
          </v:shape>
        </w:pict>
      </w:r>
      <w:r w:rsidR="008F4C02">
        <w:rPr>
          <w:rFonts w:ascii="Arial" w:hAnsi="Arial" w:cs="Arial"/>
          <w:b/>
          <w:color w:val="000080"/>
          <w:sz w:val="18"/>
          <w:szCs w:val="18"/>
          <w:lang w:val="en-US"/>
        </w:rPr>
        <w:t>O</w:t>
      </w:r>
      <w:r w:rsidR="008F4C02" w:rsidRPr="008F4C02">
        <w:rPr>
          <w:rFonts w:ascii="Arial" w:hAnsi="Arial" w:cs="Arial"/>
          <w:b/>
          <w:color w:val="000080"/>
          <w:sz w:val="18"/>
          <w:szCs w:val="18"/>
        </w:rPr>
        <w:t xml:space="preserve"> </w:t>
      </w:r>
      <w:r w:rsidR="008F4C02">
        <w:rPr>
          <w:rFonts w:ascii="Arial" w:hAnsi="Arial" w:cs="Arial"/>
          <w:b/>
          <w:color w:val="000080"/>
          <w:sz w:val="18"/>
          <w:szCs w:val="18"/>
        </w:rPr>
        <w:t xml:space="preserve">δείκτης </w:t>
      </w:r>
      <w:r w:rsidR="008F4C02" w:rsidRPr="008C0F8C">
        <w:rPr>
          <w:rFonts w:ascii="Arial" w:hAnsi="Arial" w:cs="Arial"/>
          <w:b/>
          <w:color w:val="000080"/>
          <w:sz w:val="18"/>
          <w:szCs w:val="18"/>
        </w:rPr>
        <w:t>κεφαλαίων</w:t>
      </w:r>
      <w:r w:rsidR="008F4C02">
        <w:rPr>
          <w:rFonts w:ascii="Arial" w:hAnsi="Arial" w:cs="Arial"/>
          <w:color w:val="000080"/>
          <w:sz w:val="18"/>
          <w:szCs w:val="18"/>
        </w:rPr>
        <w:t xml:space="preserve"> </w:t>
      </w:r>
      <w:r w:rsidR="008F4C02" w:rsidRPr="00CD25A7">
        <w:rPr>
          <w:rFonts w:ascii="Arial" w:hAnsi="Arial" w:cs="Arial"/>
          <w:b/>
          <w:noProof/>
          <w:color w:val="000080"/>
          <w:sz w:val="18"/>
          <w:szCs w:val="18"/>
        </w:rPr>
        <w:t xml:space="preserve">κοινών μετοχών της κατηγορίας Ι </w:t>
      </w:r>
      <w:r w:rsidR="008F4C02" w:rsidRPr="00A93DBC">
        <w:rPr>
          <w:rFonts w:ascii="Arial" w:hAnsi="Arial" w:cs="Arial"/>
          <w:noProof/>
          <w:color w:val="000080"/>
          <w:sz w:val="18"/>
          <w:szCs w:val="18"/>
        </w:rPr>
        <w:t>(</w:t>
      </w:r>
      <w:r w:rsidR="008F4C02" w:rsidRPr="00A93DBC">
        <w:rPr>
          <w:rFonts w:ascii="Arial" w:hAnsi="Arial" w:cs="Arial"/>
          <w:noProof/>
          <w:color w:val="000080"/>
          <w:sz w:val="18"/>
          <w:szCs w:val="18"/>
          <w:lang w:val="en-US"/>
        </w:rPr>
        <w:t>CET</w:t>
      </w:r>
      <w:r w:rsidR="008F4C02" w:rsidRPr="00A93DBC">
        <w:rPr>
          <w:rFonts w:ascii="Arial" w:hAnsi="Arial" w:cs="Arial"/>
          <w:noProof/>
          <w:color w:val="000080"/>
          <w:sz w:val="18"/>
          <w:szCs w:val="18"/>
        </w:rPr>
        <w:t>1)</w:t>
      </w:r>
      <w:r w:rsidR="008F4C02">
        <w:rPr>
          <w:rFonts w:ascii="Arial" w:hAnsi="Arial" w:cs="Arial"/>
          <w:noProof/>
          <w:color w:val="000080"/>
          <w:sz w:val="18"/>
          <w:szCs w:val="18"/>
        </w:rPr>
        <w:t xml:space="preserve"> </w:t>
      </w:r>
      <w:r w:rsidR="008F4C02">
        <w:rPr>
          <w:rFonts w:ascii="Arial" w:hAnsi="Arial" w:cs="Arial"/>
          <w:color w:val="000080"/>
          <w:sz w:val="18"/>
          <w:szCs w:val="18"/>
        </w:rPr>
        <w:t>διαμορφώθηκε σ</w:t>
      </w:r>
      <w:r w:rsidR="001617CA">
        <w:rPr>
          <w:rFonts w:ascii="Arial" w:hAnsi="Arial" w:cs="Arial"/>
          <w:noProof/>
          <w:color w:val="000080"/>
          <w:sz w:val="18"/>
          <w:szCs w:val="18"/>
        </w:rPr>
        <w:t>ε</w:t>
      </w:r>
      <w:r w:rsidR="008C0F8C" w:rsidRPr="00CD25A7">
        <w:rPr>
          <w:rFonts w:ascii="Arial" w:hAnsi="Arial" w:cs="Arial"/>
          <w:noProof/>
          <w:color w:val="000080"/>
          <w:sz w:val="18"/>
          <w:szCs w:val="18"/>
        </w:rPr>
        <w:t xml:space="preserve"> </w:t>
      </w:r>
      <w:r w:rsidR="008C0F8C" w:rsidRPr="00D01966">
        <w:rPr>
          <w:rFonts w:ascii="Arial" w:hAnsi="Arial" w:cs="Arial"/>
          <w:noProof/>
          <w:color w:val="000080"/>
          <w:sz w:val="18"/>
          <w:szCs w:val="18"/>
        </w:rPr>
        <w:t>1</w:t>
      </w:r>
      <w:r w:rsidR="004D423E" w:rsidRPr="004D423E">
        <w:rPr>
          <w:rFonts w:ascii="Arial" w:hAnsi="Arial" w:cs="Arial"/>
          <w:noProof/>
          <w:color w:val="000080"/>
          <w:sz w:val="18"/>
          <w:szCs w:val="18"/>
        </w:rPr>
        <w:t>7,</w:t>
      </w:r>
      <w:r w:rsidR="00915902" w:rsidRPr="00915902">
        <w:rPr>
          <w:rFonts w:ascii="Arial" w:hAnsi="Arial" w:cs="Arial"/>
          <w:noProof/>
          <w:color w:val="000080"/>
          <w:sz w:val="18"/>
          <w:szCs w:val="18"/>
        </w:rPr>
        <w:t>6</w:t>
      </w:r>
      <w:r w:rsidR="0033372D" w:rsidRPr="00D01966">
        <w:rPr>
          <w:rFonts w:ascii="Arial" w:hAnsi="Arial" w:cs="Arial"/>
          <w:noProof/>
          <w:color w:val="000080"/>
          <w:sz w:val="18"/>
          <w:szCs w:val="18"/>
        </w:rPr>
        <w:t>%</w:t>
      </w:r>
      <w:r w:rsidR="0033372D" w:rsidRPr="0033372D">
        <w:rPr>
          <w:rFonts w:ascii="Arial" w:hAnsi="Arial" w:cs="Arial"/>
          <w:b/>
          <w:noProof/>
          <w:color w:val="000080"/>
          <w:sz w:val="18"/>
          <w:szCs w:val="18"/>
        </w:rPr>
        <w:t xml:space="preserve"> </w:t>
      </w:r>
      <w:r w:rsidR="0033372D" w:rsidRPr="0033372D">
        <w:rPr>
          <w:rFonts w:ascii="Arial" w:hAnsi="Arial" w:cs="Arial"/>
          <w:noProof/>
          <w:color w:val="000080"/>
          <w:sz w:val="18"/>
          <w:szCs w:val="18"/>
        </w:rPr>
        <w:t>επί</w:t>
      </w:r>
      <w:r w:rsidR="008C0F8C" w:rsidRPr="0033372D">
        <w:rPr>
          <w:rFonts w:ascii="Arial" w:hAnsi="Arial" w:cs="Arial"/>
          <w:noProof/>
          <w:color w:val="000080"/>
          <w:sz w:val="18"/>
          <w:szCs w:val="18"/>
        </w:rPr>
        <w:t xml:space="preserve"> του</w:t>
      </w:r>
      <w:r w:rsidR="0033372D">
        <w:rPr>
          <w:rFonts w:ascii="Arial" w:hAnsi="Arial" w:cs="Arial"/>
          <w:noProof/>
          <w:color w:val="000080"/>
          <w:sz w:val="18"/>
          <w:szCs w:val="18"/>
        </w:rPr>
        <w:t xml:space="preserve"> σταθμισμένου ενεργητού στο τέλος</w:t>
      </w:r>
      <w:r w:rsidR="007204FE">
        <w:rPr>
          <w:rFonts w:ascii="Arial" w:hAnsi="Arial" w:cs="Arial"/>
          <w:noProof/>
          <w:color w:val="000080"/>
          <w:sz w:val="18"/>
          <w:szCs w:val="18"/>
        </w:rPr>
        <w:t xml:space="preserve"> του έτους</w:t>
      </w:r>
      <w:r w:rsidR="0033372D">
        <w:rPr>
          <w:rFonts w:ascii="Arial" w:hAnsi="Arial" w:cs="Arial"/>
          <w:noProof/>
          <w:color w:val="000080"/>
          <w:sz w:val="18"/>
          <w:szCs w:val="18"/>
        </w:rPr>
        <w:t xml:space="preserve">. </w:t>
      </w:r>
      <w:r w:rsidR="000E240A">
        <w:rPr>
          <w:rFonts w:ascii="Arial" w:hAnsi="Arial" w:cs="Arial"/>
          <w:noProof/>
          <w:color w:val="000080"/>
          <w:sz w:val="18"/>
          <w:szCs w:val="18"/>
        </w:rPr>
        <w:t xml:space="preserve">Με την πλήρη εφαρμογή του πλαισίου της Βασιλείας ΙΙΙ, ο δείκτης </w:t>
      </w:r>
      <w:r w:rsidR="008F4C02">
        <w:rPr>
          <w:rFonts w:ascii="Arial" w:hAnsi="Arial" w:cs="Arial"/>
          <w:noProof/>
          <w:color w:val="000080"/>
          <w:sz w:val="18"/>
          <w:szCs w:val="18"/>
        </w:rPr>
        <w:t>ανήλθε σε 13,8%</w:t>
      </w:r>
      <w:r w:rsidR="00CD420E" w:rsidRPr="00CD420E">
        <w:rPr>
          <w:rFonts w:ascii="Arial" w:hAnsi="Arial" w:cs="Arial"/>
          <w:noProof/>
          <w:color w:val="000080"/>
          <w:sz w:val="18"/>
          <w:szCs w:val="18"/>
        </w:rPr>
        <w:t>,</w:t>
      </w:r>
      <w:r w:rsidR="008F4C02">
        <w:rPr>
          <w:rFonts w:ascii="Arial" w:hAnsi="Arial" w:cs="Arial"/>
          <w:noProof/>
          <w:color w:val="000080"/>
          <w:sz w:val="18"/>
          <w:szCs w:val="18"/>
        </w:rPr>
        <w:t xml:space="preserve"> αυξημένος </w:t>
      </w:r>
      <w:r w:rsidR="000E240A">
        <w:rPr>
          <w:rFonts w:ascii="Arial" w:hAnsi="Arial" w:cs="Arial"/>
          <w:noProof/>
          <w:color w:val="000080"/>
          <w:sz w:val="18"/>
          <w:szCs w:val="18"/>
        </w:rPr>
        <w:t xml:space="preserve">κατά </w:t>
      </w:r>
      <w:r w:rsidR="00731138" w:rsidRPr="00731138">
        <w:rPr>
          <w:rFonts w:ascii="Arial" w:hAnsi="Arial" w:cs="Arial"/>
          <w:noProof/>
          <w:color w:val="000080"/>
          <w:sz w:val="18"/>
          <w:szCs w:val="18"/>
        </w:rPr>
        <w:t>70</w:t>
      </w:r>
      <w:r w:rsidR="007204FE">
        <w:rPr>
          <w:rFonts w:ascii="Arial" w:hAnsi="Arial" w:cs="Arial"/>
          <w:noProof/>
          <w:color w:val="000080"/>
          <w:sz w:val="18"/>
          <w:szCs w:val="18"/>
        </w:rPr>
        <w:t xml:space="preserve"> μονάδες </w:t>
      </w:r>
      <w:r w:rsidR="008F4C02">
        <w:rPr>
          <w:rFonts w:ascii="Arial" w:hAnsi="Arial" w:cs="Arial"/>
          <w:noProof/>
          <w:color w:val="000080"/>
          <w:sz w:val="18"/>
          <w:szCs w:val="18"/>
        </w:rPr>
        <w:t>έναντι του 2015.</w:t>
      </w:r>
    </w:p>
    <w:p w:rsidR="00091612" w:rsidRDefault="00091612" w:rsidP="00091612">
      <w:pPr>
        <w:spacing w:line="360" w:lineRule="auto"/>
        <w:ind w:left="2835" w:right="43"/>
        <w:jc w:val="both"/>
        <w:rPr>
          <w:rFonts w:ascii="Arial" w:hAnsi="Arial" w:cs="Arial"/>
          <w:noProof/>
          <w:color w:val="000080"/>
          <w:sz w:val="18"/>
          <w:szCs w:val="18"/>
        </w:rPr>
      </w:pPr>
    </w:p>
    <w:p w:rsidR="002A769E" w:rsidRDefault="008F4C02" w:rsidP="00091612">
      <w:pPr>
        <w:spacing w:line="360" w:lineRule="auto"/>
        <w:ind w:left="2835" w:right="43"/>
        <w:jc w:val="both"/>
        <w:rPr>
          <w:rFonts w:ascii="Arial" w:hAnsi="Arial" w:cs="Arial"/>
          <w:color w:val="000080"/>
          <w:sz w:val="18"/>
          <w:szCs w:val="18"/>
        </w:rPr>
      </w:pPr>
      <w:r>
        <w:rPr>
          <w:rFonts w:ascii="Arial" w:hAnsi="Arial" w:cs="Arial"/>
          <w:b/>
          <w:noProof/>
          <w:color w:val="000080"/>
          <w:sz w:val="18"/>
          <w:szCs w:val="18"/>
        </w:rPr>
        <w:pict>
          <v:shape id="_x0000_s1445" type="#_x0000_t202" style="position:absolute;left:0;text-align:left;margin-left:-35.7pt;margin-top:106.8pt;width:162pt;height:29.8pt;z-index:251668992;visibility:visible;mso-wrap-edited:f;mso-wrap-distance-left:2.88pt;mso-wrap-distance-top:2.88pt;mso-wrap-distance-right:2.88pt;mso-wrap-distance-bottom:2.88pt" filled="f" stroked="f" strokeweight="0" insetpen="t" o:cliptowrap="t">
            <v:shadow color="#ccc"/>
            <o:lock v:ext="edit" shapetype="t"/>
            <v:textbox style="mso-next-textbox:#_x0000_s1445;mso-column-margin:5.7pt" inset="2.85pt,2.85pt,2.85pt,2.85pt">
              <w:txbxContent>
                <w:p w:rsidR="00CE5ECD" w:rsidRDefault="00CE5ECD" w:rsidP="00CE5ECD">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 xml:space="preserve">Δάνεια προς Καταθέσεις </w:t>
                  </w:r>
                </w:p>
                <w:p w:rsidR="00CE5ECD" w:rsidRPr="009C5EE6" w:rsidRDefault="00CE5ECD" w:rsidP="00CE5ECD">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w:t>
                  </w:r>
                </w:p>
              </w:txbxContent>
            </v:textbox>
          </v:shape>
        </w:pict>
      </w:r>
      <w:r>
        <w:rPr>
          <w:rFonts w:ascii="Arial" w:hAnsi="Arial" w:cs="Arial"/>
          <w:b/>
          <w:noProof/>
          <w:color w:val="000080"/>
          <w:sz w:val="18"/>
          <w:szCs w:val="18"/>
        </w:rPr>
        <w:pict>
          <v:roundrect id="_x0000_s1444" style="position:absolute;left:0;text-align:left;margin-left:-47.75pt;margin-top:104pt;width:174pt;height:163.7pt;z-index:-251648512;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r w:rsidR="002A769E">
        <w:rPr>
          <w:rFonts w:ascii="Arial" w:hAnsi="Arial" w:cs="Arial"/>
          <w:b/>
          <w:noProof/>
          <w:color w:val="000080"/>
          <w:sz w:val="18"/>
          <w:szCs w:val="18"/>
        </w:rPr>
        <w:t>Η</w:t>
      </w:r>
      <w:r w:rsidR="0063701B">
        <w:rPr>
          <w:rFonts w:ascii="Arial" w:hAnsi="Arial" w:cs="Arial"/>
          <w:noProof/>
          <w:color w:val="000080"/>
          <w:sz w:val="18"/>
          <w:szCs w:val="18"/>
        </w:rPr>
        <w:t xml:space="preserve"> </w:t>
      </w:r>
      <w:r w:rsidR="00583915" w:rsidRPr="00583915">
        <w:rPr>
          <w:rFonts w:ascii="Arial" w:hAnsi="Arial" w:cs="Arial"/>
          <w:b/>
          <w:color w:val="000080"/>
          <w:sz w:val="18"/>
          <w:szCs w:val="18"/>
        </w:rPr>
        <w:t xml:space="preserve">χρηματοδότηση </w:t>
      </w:r>
      <w:r w:rsidR="00583915" w:rsidRPr="00106670">
        <w:rPr>
          <w:rFonts w:ascii="Arial" w:hAnsi="Arial" w:cs="Arial"/>
          <w:color w:val="000080"/>
          <w:sz w:val="18"/>
          <w:szCs w:val="18"/>
        </w:rPr>
        <w:t xml:space="preserve">από </w:t>
      </w:r>
      <w:r w:rsidR="00106670" w:rsidRPr="00106670">
        <w:rPr>
          <w:rFonts w:ascii="Arial" w:hAnsi="Arial" w:cs="Arial"/>
          <w:color w:val="000080"/>
          <w:sz w:val="18"/>
          <w:szCs w:val="18"/>
        </w:rPr>
        <w:t>τον</w:t>
      </w:r>
      <w:r w:rsidR="00106670">
        <w:rPr>
          <w:rFonts w:ascii="Arial" w:hAnsi="Arial" w:cs="Arial"/>
          <w:b/>
          <w:color w:val="000080"/>
          <w:sz w:val="18"/>
          <w:szCs w:val="18"/>
        </w:rPr>
        <w:t xml:space="preserve"> </w:t>
      </w:r>
      <w:r w:rsidR="00106670" w:rsidRPr="00583915">
        <w:rPr>
          <w:rFonts w:ascii="Arial" w:hAnsi="Arial" w:cs="Arial"/>
          <w:b/>
          <w:color w:val="000080"/>
          <w:sz w:val="18"/>
          <w:szCs w:val="18"/>
        </w:rPr>
        <w:t xml:space="preserve">έκτακτο μηχανισμό </w:t>
      </w:r>
      <w:r w:rsidR="00106670" w:rsidRPr="00583915">
        <w:rPr>
          <w:rFonts w:ascii="Arial" w:hAnsi="Arial" w:cs="Arial"/>
          <w:b/>
          <w:color w:val="000080"/>
          <w:sz w:val="18"/>
          <w:szCs w:val="18"/>
          <w:lang w:val="en-US"/>
        </w:rPr>
        <w:t>ELA</w:t>
      </w:r>
      <w:r w:rsidR="00106670" w:rsidRPr="000E240A">
        <w:rPr>
          <w:rFonts w:ascii="Arial" w:hAnsi="Arial" w:cs="Arial"/>
          <w:b/>
          <w:color w:val="000080"/>
          <w:sz w:val="18"/>
          <w:szCs w:val="18"/>
        </w:rPr>
        <w:t xml:space="preserve"> </w:t>
      </w:r>
      <w:r w:rsidR="007204FE">
        <w:rPr>
          <w:rFonts w:ascii="Arial" w:hAnsi="Arial" w:cs="Arial"/>
          <w:color w:val="000080"/>
          <w:sz w:val="18"/>
          <w:szCs w:val="18"/>
        </w:rPr>
        <w:t>μειώθηκε κατά €</w:t>
      </w:r>
      <w:r w:rsidR="00106670">
        <w:rPr>
          <w:rFonts w:ascii="Arial" w:hAnsi="Arial" w:cs="Arial"/>
          <w:color w:val="000080"/>
          <w:sz w:val="18"/>
          <w:szCs w:val="18"/>
        </w:rPr>
        <w:t>8</w:t>
      </w:r>
      <w:r w:rsidR="00106670" w:rsidRPr="00106670">
        <w:rPr>
          <w:rFonts w:ascii="Arial" w:hAnsi="Arial" w:cs="Arial"/>
          <w:color w:val="000080"/>
          <w:sz w:val="18"/>
          <w:szCs w:val="18"/>
        </w:rPr>
        <w:t>,1</w:t>
      </w:r>
      <w:r w:rsidR="007204FE">
        <w:rPr>
          <w:rFonts w:ascii="Arial" w:hAnsi="Arial" w:cs="Arial"/>
          <w:color w:val="000080"/>
          <w:sz w:val="18"/>
          <w:szCs w:val="18"/>
        </w:rPr>
        <w:t xml:space="preserve">δισ. </w:t>
      </w:r>
      <w:r w:rsidR="00F846F9">
        <w:rPr>
          <w:rFonts w:ascii="Arial" w:hAnsi="Arial" w:cs="Arial"/>
          <w:color w:val="000080"/>
          <w:sz w:val="18"/>
          <w:szCs w:val="18"/>
        </w:rPr>
        <w:t>το 2016 έναντι του 2015</w:t>
      </w:r>
      <w:r w:rsidR="00F846F9" w:rsidRPr="00F846F9">
        <w:rPr>
          <w:rFonts w:ascii="Arial" w:hAnsi="Arial" w:cs="Arial"/>
          <w:color w:val="000080"/>
          <w:sz w:val="18"/>
          <w:szCs w:val="18"/>
        </w:rPr>
        <w:t>,</w:t>
      </w:r>
      <w:r w:rsidR="007204FE">
        <w:rPr>
          <w:rFonts w:ascii="Arial" w:hAnsi="Arial" w:cs="Arial"/>
          <w:color w:val="000080"/>
          <w:sz w:val="18"/>
          <w:szCs w:val="18"/>
        </w:rPr>
        <w:t xml:space="preserve"> </w:t>
      </w:r>
      <w:r w:rsidR="00F846F9">
        <w:rPr>
          <w:rFonts w:ascii="Arial" w:hAnsi="Arial" w:cs="Arial"/>
          <w:color w:val="000080"/>
          <w:sz w:val="18"/>
          <w:szCs w:val="18"/>
        </w:rPr>
        <w:t xml:space="preserve">ενώ η </w:t>
      </w:r>
      <w:r w:rsidR="00F846F9" w:rsidRPr="0016460C">
        <w:rPr>
          <w:rFonts w:ascii="Arial" w:hAnsi="Arial" w:cs="Arial"/>
          <w:b/>
          <w:color w:val="000080"/>
          <w:sz w:val="18"/>
          <w:szCs w:val="18"/>
        </w:rPr>
        <w:t>συνολική χρηματοδότηση από το ευρωσύστημα</w:t>
      </w:r>
      <w:r w:rsidR="00F846F9">
        <w:rPr>
          <w:rFonts w:ascii="Arial" w:hAnsi="Arial" w:cs="Arial"/>
          <w:color w:val="000080"/>
          <w:sz w:val="18"/>
          <w:szCs w:val="18"/>
        </w:rPr>
        <w:t xml:space="preserve"> υποχώρησε κατά €</w:t>
      </w:r>
      <w:r w:rsidR="00F846F9" w:rsidRPr="00F846F9">
        <w:rPr>
          <w:rFonts w:ascii="Arial" w:hAnsi="Arial" w:cs="Arial"/>
          <w:color w:val="000080"/>
          <w:sz w:val="18"/>
          <w:szCs w:val="18"/>
        </w:rPr>
        <w:t>11,4</w:t>
      </w:r>
      <w:r w:rsidR="00F846F9">
        <w:rPr>
          <w:rFonts w:ascii="Arial" w:hAnsi="Arial" w:cs="Arial"/>
          <w:color w:val="000080"/>
          <w:sz w:val="18"/>
          <w:szCs w:val="18"/>
        </w:rPr>
        <w:t>δισ. την ίδια περίοδο και διαμορφώθηκε σε €1</w:t>
      </w:r>
      <w:r w:rsidR="00F846F9" w:rsidRPr="00F846F9">
        <w:rPr>
          <w:rFonts w:ascii="Arial" w:hAnsi="Arial" w:cs="Arial"/>
          <w:color w:val="000080"/>
          <w:sz w:val="18"/>
          <w:szCs w:val="18"/>
        </w:rPr>
        <w:t>3,9</w:t>
      </w:r>
      <w:r w:rsidR="00F846F9">
        <w:rPr>
          <w:rFonts w:ascii="Arial" w:hAnsi="Arial" w:cs="Arial"/>
          <w:color w:val="000080"/>
          <w:sz w:val="18"/>
          <w:szCs w:val="18"/>
        </w:rPr>
        <w:t xml:space="preserve">δισ., ως αποτέλεσμα της αύξησης των καταθέσεων και της διενέργειας </w:t>
      </w:r>
      <w:r w:rsidR="00F846F9">
        <w:rPr>
          <w:rFonts w:ascii="Arial" w:hAnsi="Arial" w:cs="Arial"/>
          <w:color w:val="000080"/>
          <w:sz w:val="18"/>
          <w:szCs w:val="18"/>
          <w:lang w:val="en-US"/>
        </w:rPr>
        <w:t>repos</w:t>
      </w:r>
      <w:r w:rsidR="00F846F9" w:rsidRPr="00DA38E6">
        <w:rPr>
          <w:rFonts w:ascii="Arial" w:hAnsi="Arial" w:cs="Arial"/>
          <w:color w:val="000080"/>
          <w:sz w:val="18"/>
          <w:szCs w:val="18"/>
        </w:rPr>
        <w:t xml:space="preserve"> </w:t>
      </w:r>
      <w:r w:rsidR="00F846F9">
        <w:rPr>
          <w:rFonts w:ascii="Arial" w:hAnsi="Arial" w:cs="Arial"/>
          <w:color w:val="000080"/>
          <w:sz w:val="18"/>
          <w:szCs w:val="18"/>
        </w:rPr>
        <w:t xml:space="preserve">στη διατραπεζική αγορά. </w:t>
      </w:r>
      <w:r w:rsidR="007204FE">
        <w:rPr>
          <w:rFonts w:ascii="Arial" w:hAnsi="Arial" w:cs="Arial"/>
          <w:color w:val="000080"/>
          <w:sz w:val="18"/>
          <w:szCs w:val="18"/>
        </w:rPr>
        <w:t>Α</w:t>
      </w:r>
      <w:r w:rsidR="0054680E">
        <w:rPr>
          <w:rFonts w:ascii="Arial" w:hAnsi="Arial" w:cs="Arial"/>
          <w:color w:val="000080"/>
          <w:sz w:val="18"/>
          <w:szCs w:val="18"/>
        </w:rPr>
        <w:t>πό τον</w:t>
      </w:r>
      <w:r w:rsidR="003B4840">
        <w:rPr>
          <w:rFonts w:ascii="Arial" w:hAnsi="Arial" w:cs="Arial"/>
          <w:color w:val="000080"/>
          <w:sz w:val="18"/>
          <w:szCs w:val="18"/>
        </w:rPr>
        <w:t xml:space="preserve"> </w:t>
      </w:r>
      <w:r w:rsidR="007204FE">
        <w:rPr>
          <w:rFonts w:ascii="Arial" w:hAnsi="Arial" w:cs="Arial"/>
          <w:color w:val="000080"/>
          <w:sz w:val="18"/>
          <w:szCs w:val="18"/>
        </w:rPr>
        <w:t xml:space="preserve">Σεπτέμβριο 2016 </w:t>
      </w:r>
      <w:r w:rsidR="0054680E">
        <w:rPr>
          <w:rFonts w:ascii="Arial" w:hAnsi="Arial" w:cs="Arial"/>
          <w:color w:val="000080"/>
          <w:sz w:val="18"/>
          <w:szCs w:val="18"/>
        </w:rPr>
        <w:t xml:space="preserve">έως </w:t>
      </w:r>
      <w:r w:rsidR="0016460C">
        <w:rPr>
          <w:rFonts w:ascii="Arial" w:hAnsi="Arial" w:cs="Arial"/>
          <w:color w:val="000080"/>
          <w:sz w:val="18"/>
          <w:szCs w:val="18"/>
        </w:rPr>
        <w:t xml:space="preserve">και την </w:t>
      </w:r>
      <w:r w:rsidR="00857A3F" w:rsidRPr="00857A3F">
        <w:rPr>
          <w:rFonts w:ascii="Arial" w:hAnsi="Arial" w:cs="Arial"/>
          <w:color w:val="000080"/>
          <w:sz w:val="18"/>
          <w:szCs w:val="18"/>
        </w:rPr>
        <w:t>21</w:t>
      </w:r>
      <w:r w:rsidR="0016460C" w:rsidRPr="0016460C">
        <w:rPr>
          <w:rFonts w:ascii="Arial" w:hAnsi="Arial" w:cs="Arial"/>
          <w:color w:val="000080"/>
          <w:sz w:val="18"/>
          <w:szCs w:val="18"/>
          <w:vertAlign w:val="superscript"/>
        </w:rPr>
        <w:t>η</w:t>
      </w:r>
      <w:r w:rsidR="0016460C">
        <w:rPr>
          <w:rFonts w:ascii="Arial" w:hAnsi="Arial" w:cs="Arial"/>
          <w:color w:val="000080"/>
          <w:sz w:val="18"/>
          <w:szCs w:val="18"/>
        </w:rPr>
        <w:t xml:space="preserve">  Μαρτίου </w:t>
      </w:r>
      <w:r w:rsidR="007204FE">
        <w:rPr>
          <w:rFonts w:ascii="Arial" w:hAnsi="Arial" w:cs="Arial"/>
          <w:color w:val="000080"/>
          <w:sz w:val="18"/>
          <w:szCs w:val="18"/>
        </w:rPr>
        <w:t xml:space="preserve">2017, η </w:t>
      </w:r>
      <w:r w:rsidR="007204FE" w:rsidRPr="007204FE">
        <w:rPr>
          <w:rFonts w:ascii="Arial" w:hAnsi="Arial" w:cs="Arial"/>
          <w:color w:val="000080"/>
          <w:sz w:val="18"/>
          <w:szCs w:val="18"/>
        </w:rPr>
        <w:t>χρηματοδότηση από</w:t>
      </w:r>
      <w:r w:rsidR="00106670" w:rsidRPr="00106670">
        <w:rPr>
          <w:rFonts w:ascii="Arial" w:hAnsi="Arial" w:cs="Arial"/>
          <w:color w:val="000080"/>
          <w:sz w:val="18"/>
          <w:szCs w:val="18"/>
        </w:rPr>
        <w:t xml:space="preserve"> </w:t>
      </w:r>
      <w:r w:rsidR="00106670">
        <w:rPr>
          <w:rFonts w:ascii="Arial" w:hAnsi="Arial" w:cs="Arial"/>
          <w:color w:val="000080"/>
          <w:sz w:val="18"/>
          <w:szCs w:val="18"/>
        </w:rPr>
        <w:t xml:space="preserve">τον </w:t>
      </w:r>
      <w:r w:rsidR="00106670">
        <w:rPr>
          <w:rFonts w:ascii="Arial" w:hAnsi="Arial" w:cs="Arial"/>
          <w:color w:val="000080"/>
          <w:sz w:val="18"/>
          <w:szCs w:val="18"/>
          <w:lang w:val="en-GB"/>
        </w:rPr>
        <w:t>ELA</w:t>
      </w:r>
      <w:r w:rsidR="007204FE" w:rsidRPr="007204FE">
        <w:rPr>
          <w:rFonts w:ascii="Arial" w:hAnsi="Arial" w:cs="Arial"/>
          <w:color w:val="000080"/>
          <w:sz w:val="18"/>
          <w:szCs w:val="18"/>
        </w:rPr>
        <w:t xml:space="preserve"> </w:t>
      </w:r>
      <w:r w:rsidR="00106670">
        <w:rPr>
          <w:rFonts w:ascii="Arial" w:hAnsi="Arial" w:cs="Arial"/>
          <w:color w:val="000080"/>
          <w:sz w:val="18"/>
          <w:szCs w:val="18"/>
        </w:rPr>
        <w:t>μειώθηκε κατά €</w:t>
      </w:r>
      <w:r w:rsidR="00857A3F" w:rsidRPr="00857A3F">
        <w:rPr>
          <w:rFonts w:ascii="Arial" w:hAnsi="Arial" w:cs="Arial"/>
          <w:color w:val="000080"/>
          <w:sz w:val="18"/>
          <w:szCs w:val="18"/>
        </w:rPr>
        <w:t>0,9</w:t>
      </w:r>
      <w:r w:rsidR="00106670">
        <w:rPr>
          <w:rFonts w:ascii="Arial" w:hAnsi="Arial" w:cs="Arial"/>
          <w:color w:val="000080"/>
          <w:sz w:val="18"/>
          <w:szCs w:val="18"/>
        </w:rPr>
        <w:t>δισ. σε €</w:t>
      </w:r>
      <w:r w:rsidR="003852EC">
        <w:rPr>
          <w:rFonts w:ascii="Arial" w:hAnsi="Arial" w:cs="Arial"/>
          <w:color w:val="000080"/>
          <w:sz w:val="18"/>
          <w:szCs w:val="18"/>
        </w:rPr>
        <w:t>1</w:t>
      </w:r>
      <w:r w:rsidR="003852EC" w:rsidRPr="0033497C">
        <w:rPr>
          <w:rFonts w:ascii="Arial" w:hAnsi="Arial" w:cs="Arial"/>
          <w:color w:val="000080"/>
          <w:sz w:val="18"/>
          <w:szCs w:val="18"/>
        </w:rPr>
        <w:t>2,2</w:t>
      </w:r>
      <w:r w:rsidR="00F846F9">
        <w:rPr>
          <w:rFonts w:ascii="Arial" w:hAnsi="Arial" w:cs="Arial"/>
          <w:color w:val="000080"/>
          <w:sz w:val="18"/>
          <w:szCs w:val="18"/>
        </w:rPr>
        <w:t>δισ.</w:t>
      </w:r>
      <w:r w:rsidR="00106670">
        <w:rPr>
          <w:rFonts w:ascii="Arial" w:hAnsi="Arial" w:cs="Arial"/>
          <w:color w:val="000080"/>
          <w:sz w:val="18"/>
          <w:szCs w:val="18"/>
        </w:rPr>
        <w:t xml:space="preserve"> </w:t>
      </w:r>
    </w:p>
    <w:p w:rsidR="002A769E" w:rsidRDefault="00FE3BBA" w:rsidP="00091612">
      <w:pPr>
        <w:spacing w:line="360" w:lineRule="auto"/>
        <w:ind w:left="2835" w:right="43"/>
        <w:jc w:val="both"/>
        <w:rPr>
          <w:rFonts w:ascii="Arial" w:hAnsi="Arial" w:cs="Arial"/>
          <w:color w:val="000080"/>
          <w:sz w:val="18"/>
          <w:szCs w:val="18"/>
        </w:rPr>
      </w:pPr>
      <w:r>
        <w:rPr>
          <w:rFonts w:ascii="Arial" w:hAnsi="Arial" w:cs="Arial"/>
          <w:b/>
          <w:noProof/>
          <w:color w:val="000080"/>
          <w:sz w:val="18"/>
          <w:szCs w:val="18"/>
          <w:lang w:val="en-US" w:eastAsia="en-US"/>
        </w:rPr>
        <w:drawing>
          <wp:anchor distT="0" distB="0" distL="114300" distR="114300" simplePos="0" relativeHeight="251670016" behindDoc="0" locked="0" layoutInCell="1" allowOverlap="1">
            <wp:simplePos x="0" y="0"/>
            <wp:positionH relativeFrom="column">
              <wp:posOffset>-319405</wp:posOffset>
            </wp:positionH>
            <wp:positionV relativeFrom="paragraph">
              <wp:posOffset>37465</wp:posOffset>
            </wp:positionV>
            <wp:extent cx="1781175" cy="2045335"/>
            <wp:effectExtent l="0" t="0" r="0" b="0"/>
            <wp:wrapNone/>
            <wp:docPr id="422" name="Αντικείμενο 4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84896" w:rsidRDefault="00787929" w:rsidP="00091612">
      <w:pPr>
        <w:spacing w:line="360" w:lineRule="auto"/>
        <w:ind w:left="2835" w:right="43"/>
        <w:jc w:val="both"/>
        <w:rPr>
          <w:rFonts w:ascii="Arial" w:hAnsi="Arial" w:cs="Arial"/>
          <w:color w:val="000080"/>
          <w:sz w:val="18"/>
          <w:szCs w:val="18"/>
        </w:rPr>
      </w:pPr>
      <w:r w:rsidRPr="002A769E">
        <w:rPr>
          <w:rFonts w:ascii="Arial" w:hAnsi="Arial" w:cs="Arial"/>
          <w:b/>
          <w:color w:val="000080"/>
          <w:sz w:val="18"/>
          <w:szCs w:val="18"/>
        </w:rPr>
        <w:t>Οι καταθέσεις πελατών</w:t>
      </w:r>
      <w:r>
        <w:rPr>
          <w:rFonts w:ascii="Arial" w:hAnsi="Arial" w:cs="Arial"/>
          <w:color w:val="000080"/>
          <w:sz w:val="18"/>
          <w:szCs w:val="18"/>
        </w:rPr>
        <w:t xml:space="preserve"> </w:t>
      </w:r>
      <w:r w:rsidR="00B618B0">
        <w:rPr>
          <w:rFonts w:ascii="Arial" w:hAnsi="Arial" w:cs="Arial"/>
          <w:color w:val="000080"/>
          <w:sz w:val="18"/>
          <w:szCs w:val="18"/>
        </w:rPr>
        <w:t xml:space="preserve">αυξήθηκαν κατά </w:t>
      </w:r>
      <w:r w:rsidR="00E84896">
        <w:rPr>
          <w:rFonts w:ascii="Arial" w:hAnsi="Arial" w:cs="Arial"/>
          <w:color w:val="000080"/>
          <w:sz w:val="18"/>
          <w:szCs w:val="18"/>
        </w:rPr>
        <w:t xml:space="preserve">€2,6δισ. το 2016 έναντι του 2015.  Το Δ΄ τρίμηνο οι καταθέσεις ενισχύθηκαν κατά €664εκ., εκ των οποίων €257εκ. </w:t>
      </w:r>
      <w:r w:rsidR="00B618B0">
        <w:rPr>
          <w:rFonts w:ascii="Arial" w:hAnsi="Arial" w:cs="Arial"/>
          <w:color w:val="000080"/>
          <w:sz w:val="18"/>
          <w:szCs w:val="18"/>
        </w:rPr>
        <w:t>στην Ελλάδα</w:t>
      </w:r>
      <w:r w:rsidR="00E84896">
        <w:rPr>
          <w:rFonts w:ascii="Arial" w:hAnsi="Arial" w:cs="Arial"/>
          <w:color w:val="000080"/>
          <w:sz w:val="18"/>
          <w:szCs w:val="18"/>
        </w:rPr>
        <w:t>.</w:t>
      </w:r>
    </w:p>
    <w:p w:rsidR="00787929" w:rsidRDefault="00B618B0" w:rsidP="00091612">
      <w:pPr>
        <w:spacing w:line="360" w:lineRule="auto"/>
        <w:ind w:left="2835" w:right="43"/>
        <w:jc w:val="both"/>
        <w:rPr>
          <w:rFonts w:ascii="Arial" w:hAnsi="Arial" w:cs="Arial"/>
          <w:color w:val="000080"/>
          <w:sz w:val="18"/>
          <w:szCs w:val="18"/>
        </w:rPr>
      </w:pPr>
      <w:r>
        <w:rPr>
          <w:rFonts w:ascii="Arial" w:hAnsi="Arial" w:cs="Arial"/>
          <w:color w:val="000080"/>
          <w:sz w:val="18"/>
          <w:szCs w:val="18"/>
        </w:rPr>
        <w:t xml:space="preserve"> </w:t>
      </w:r>
    </w:p>
    <w:bookmarkEnd w:id="0"/>
    <w:bookmarkEnd w:id="1"/>
    <w:p w:rsidR="00944DC9" w:rsidRDefault="00C13062" w:rsidP="001B3793">
      <w:pPr>
        <w:spacing w:line="360" w:lineRule="auto"/>
        <w:ind w:left="2835" w:right="43"/>
        <w:jc w:val="both"/>
        <w:rPr>
          <w:rFonts w:ascii="Arial" w:hAnsi="Arial" w:cs="Arial"/>
          <w:noProof/>
          <w:color w:val="000080"/>
          <w:sz w:val="18"/>
          <w:szCs w:val="18"/>
        </w:rPr>
      </w:pPr>
      <w:r w:rsidRPr="009948D0">
        <w:rPr>
          <w:rFonts w:ascii="Arial" w:hAnsi="Arial" w:cs="Arial"/>
          <w:b/>
          <w:noProof/>
          <w:color w:val="000080"/>
          <w:sz w:val="18"/>
          <w:szCs w:val="18"/>
        </w:rPr>
        <w:t xml:space="preserve">Οι χορηγήσεις </w:t>
      </w:r>
      <w:r w:rsidRPr="009948D0">
        <w:rPr>
          <w:rFonts w:ascii="Arial" w:hAnsi="Arial" w:cs="Arial"/>
          <w:noProof/>
          <w:color w:val="000080"/>
          <w:sz w:val="18"/>
          <w:szCs w:val="18"/>
        </w:rPr>
        <w:t xml:space="preserve">(προ προβλέψεων) </w:t>
      </w:r>
      <w:r w:rsidR="001F5AF9">
        <w:rPr>
          <w:rFonts w:ascii="Arial" w:hAnsi="Arial" w:cs="Arial"/>
          <w:noProof/>
          <w:color w:val="000080"/>
          <w:sz w:val="18"/>
          <w:szCs w:val="18"/>
        </w:rPr>
        <w:t xml:space="preserve">διαμορφώθηκαν σε </w:t>
      </w:r>
      <w:r w:rsidRPr="009948D0">
        <w:rPr>
          <w:rFonts w:ascii="Arial" w:hAnsi="Arial" w:cs="Arial"/>
          <w:noProof/>
          <w:color w:val="000080"/>
          <w:sz w:val="18"/>
          <w:szCs w:val="18"/>
        </w:rPr>
        <w:t>€5</w:t>
      </w:r>
      <w:r w:rsidR="00B618B0">
        <w:rPr>
          <w:rFonts w:ascii="Arial" w:hAnsi="Arial" w:cs="Arial"/>
          <w:noProof/>
          <w:color w:val="000080"/>
          <w:sz w:val="18"/>
          <w:szCs w:val="18"/>
        </w:rPr>
        <w:t>0</w:t>
      </w:r>
      <w:r w:rsidR="00D36761">
        <w:rPr>
          <w:rFonts w:ascii="Arial" w:hAnsi="Arial" w:cs="Arial"/>
          <w:noProof/>
          <w:color w:val="000080"/>
          <w:sz w:val="18"/>
          <w:szCs w:val="18"/>
        </w:rPr>
        <w:t>,</w:t>
      </w:r>
      <w:r w:rsidR="00D36761" w:rsidRPr="00D36761">
        <w:rPr>
          <w:rFonts w:ascii="Arial" w:hAnsi="Arial" w:cs="Arial"/>
          <w:noProof/>
          <w:color w:val="000080"/>
          <w:sz w:val="18"/>
          <w:szCs w:val="18"/>
        </w:rPr>
        <w:t>7</w:t>
      </w:r>
      <w:r w:rsidRPr="009948D0">
        <w:rPr>
          <w:rFonts w:ascii="Arial" w:hAnsi="Arial" w:cs="Arial"/>
          <w:noProof/>
          <w:color w:val="000080"/>
          <w:sz w:val="18"/>
          <w:szCs w:val="18"/>
        </w:rPr>
        <w:t>δισ.</w:t>
      </w:r>
      <w:r w:rsidR="001F5772" w:rsidRPr="001F5772">
        <w:rPr>
          <w:rFonts w:ascii="Arial" w:hAnsi="Arial" w:cs="Arial"/>
          <w:noProof/>
          <w:color w:val="000080"/>
          <w:sz w:val="18"/>
          <w:szCs w:val="18"/>
        </w:rPr>
        <w:t xml:space="preserve"> </w:t>
      </w:r>
      <w:r w:rsidR="00ED2A50" w:rsidRPr="009948D0">
        <w:rPr>
          <w:rFonts w:ascii="Arial" w:hAnsi="Arial" w:cs="Arial"/>
          <w:noProof/>
          <w:color w:val="000080"/>
          <w:sz w:val="18"/>
          <w:szCs w:val="18"/>
        </w:rPr>
        <w:t xml:space="preserve">στο τέλος </w:t>
      </w:r>
      <w:r w:rsidR="00E84896">
        <w:rPr>
          <w:rFonts w:ascii="Arial" w:hAnsi="Arial" w:cs="Arial"/>
          <w:noProof/>
          <w:color w:val="000080"/>
          <w:sz w:val="18"/>
          <w:szCs w:val="18"/>
        </w:rPr>
        <w:t>του</w:t>
      </w:r>
      <w:r w:rsidR="009B61E8">
        <w:rPr>
          <w:rFonts w:ascii="Arial" w:hAnsi="Arial" w:cs="Arial"/>
          <w:noProof/>
          <w:color w:val="000080"/>
          <w:sz w:val="18"/>
          <w:szCs w:val="18"/>
        </w:rPr>
        <w:t xml:space="preserve"> </w:t>
      </w:r>
      <w:r w:rsidR="00ED2A50">
        <w:rPr>
          <w:rFonts w:ascii="Arial" w:hAnsi="Arial" w:cs="Arial"/>
          <w:noProof/>
          <w:color w:val="000080"/>
          <w:sz w:val="18"/>
          <w:szCs w:val="18"/>
        </w:rPr>
        <w:t>2016, με τ</w:t>
      </w:r>
      <w:r w:rsidRPr="009948D0">
        <w:rPr>
          <w:rFonts w:ascii="Arial" w:hAnsi="Arial" w:cs="Arial"/>
          <w:noProof/>
          <w:color w:val="000080"/>
          <w:sz w:val="18"/>
          <w:szCs w:val="18"/>
        </w:rPr>
        <w:t xml:space="preserve">α δάνεια προς επιχειρήσεις και νοικοκυριά </w:t>
      </w:r>
      <w:r w:rsidR="00ED2A50">
        <w:rPr>
          <w:rFonts w:ascii="Arial" w:hAnsi="Arial" w:cs="Arial"/>
          <w:noProof/>
          <w:color w:val="000080"/>
          <w:sz w:val="18"/>
          <w:szCs w:val="18"/>
        </w:rPr>
        <w:t xml:space="preserve">να ανέρχονται </w:t>
      </w:r>
      <w:r w:rsidRPr="009948D0">
        <w:rPr>
          <w:rFonts w:ascii="Arial" w:hAnsi="Arial" w:cs="Arial"/>
          <w:noProof/>
          <w:color w:val="000080"/>
          <w:sz w:val="18"/>
          <w:szCs w:val="18"/>
        </w:rPr>
        <w:t>σε €</w:t>
      </w:r>
      <w:r w:rsidR="00E84896">
        <w:rPr>
          <w:rFonts w:ascii="Arial" w:hAnsi="Arial" w:cs="Arial"/>
          <w:noProof/>
          <w:color w:val="000080"/>
          <w:sz w:val="18"/>
          <w:szCs w:val="18"/>
        </w:rPr>
        <w:t>26,5</w:t>
      </w:r>
      <w:r w:rsidRPr="009948D0">
        <w:rPr>
          <w:rFonts w:ascii="Arial" w:hAnsi="Arial" w:cs="Arial"/>
          <w:noProof/>
          <w:color w:val="000080"/>
          <w:sz w:val="18"/>
          <w:szCs w:val="18"/>
        </w:rPr>
        <w:t>δισ.</w:t>
      </w:r>
      <w:r w:rsidR="00DD5ECA" w:rsidRPr="00DD5ECA">
        <w:rPr>
          <w:rFonts w:ascii="Arial" w:hAnsi="Arial" w:cs="Arial"/>
          <w:noProof/>
          <w:color w:val="000080"/>
          <w:sz w:val="18"/>
          <w:szCs w:val="18"/>
        </w:rPr>
        <w:t xml:space="preserve"> </w:t>
      </w:r>
      <w:r w:rsidRPr="009948D0">
        <w:rPr>
          <w:rFonts w:ascii="Arial" w:hAnsi="Arial" w:cs="Arial"/>
          <w:noProof/>
          <w:color w:val="000080"/>
          <w:sz w:val="18"/>
          <w:szCs w:val="18"/>
        </w:rPr>
        <w:t>και €</w:t>
      </w:r>
      <w:r>
        <w:rPr>
          <w:rFonts w:ascii="Arial" w:hAnsi="Arial" w:cs="Arial"/>
          <w:noProof/>
          <w:color w:val="000080"/>
          <w:sz w:val="18"/>
          <w:szCs w:val="18"/>
        </w:rPr>
        <w:t>24,</w:t>
      </w:r>
      <w:r w:rsidR="009B61E8">
        <w:rPr>
          <w:rFonts w:ascii="Arial" w:hAnsi="Arial" w:cs="Arial"/>
          <w:noProof/>
          <w:color w:val="000080"/>
          <w:sz w:val="18"/>
          <w:szCs w:val="18"/>
        </w:rPr>
        <w:t>2</w:t>
      </w:r>
      <w:r w:rsidRPr="009948D0">
        <w:rPr>
          <w:rFonts w:ascii="Arial" w:hAnsi="Arial" w:cs="Arial"/>
          <w:noProof/>
          <w:color w:val="000080"/>
          <w:sz w:val="18"/>
          <w:szCs w:val="18"/>
        </w:rPr>
        <w:t>δισ. αντίστοιχα.</w:t>
      </w:r>
      <w:r w:rsidR="001F5AF9">
        <w:rPr>
          <w:rFonts w:ascii="Arial" w:hAnsi="Arial" w:cs="Arial"/>
          <w:noProof/>
          <w:color w:val="000080"/>
          <w:sz w:val="18"/>
          <w:szCs w:val="18"/>
        </w:rPr>
        <w:t xml:space="preserve"> Ο </w:t>
      </w:r>
      <w:r w:rsidR="001F5AF9" w:rsidRPr="00D116F6">
        <w:rPr>
          <w:rFonts w:ascii="Arial" w:hAnsi="Arial" w:cs="Arial"/>
          <w:b/>
          <w:noProof/>
          <w:color w:val="000080"/>
          <w:sz w:val="18"/>
          <w:szCs w:val="18"/>
        </w:rPr>
        <w:t>δείκτης χορηγήσεων</w:t>
      </w:r>
      <w:r w:rsidR="00ED2A50">
        <w:rPr>
          <w:rFonts w:ascii="Arial" w:hAnsi="Arial" w:cs="Arial"/>
          <w:b/>
          <w:noProof/>
          <w:color w:val="000080"/>
          <w:sz w:val="18"/>
          <w:szCs w:val="18"/>
        </w:rPr>
        <w:t xml:space="preserve"> </w:t>
      </w:r>
      <w:r w:rsidR="001F5AF9" w:rsidRPr="00D116F6">
        <w:rPr>
          <w:rFonts w:ascii="Arial" w:hAnsi="Arial" w:cs="Arial"/>
          <w:b/>
          <w:noProof/>
          <w:color w:val="000080"/>
          <w:sz w:val="18"/>
          <w:szCs w:val="18"/>
        </w:rPr>
        <w:t>προς καταθέσεις</w:t>
      </w:r>
      <w:r w:rsidR="001F28BC">
        <w:rPr>
          <w:rFonts w:ascii="Arial" w:hAnsi="Arial" w:cs="Arial"/>
          <w:noProof/>
          <w:color w:val="000080"/>
          <w:sz w:val="18"/>
          <w:szCs w:val="18"/>
        </w:rPr>
        <w:t xml:space="preserve"> βελτιώθηκε σε 1</w:t>
      </w:r>
      <w:r w:rsidR="001F28BC" w:rsidRPr="001F28BC">
        <w:rPr>
          <w:rFonts w:ascii="Arial" w:hAnsi="Arial" w:cs="Arial"/>
          <w:noProof/>
          <w:color w:val="000080"/>
          <w:sz w:val="18"/>
          <w:szCs w:val="18"/>
        </w:rPr>
        <w:t>1</w:t>
      </w:r>
      <w:r w:rsidR="00E84896">
        <w:rPr>
          <w:rFonts w:ascii="Arial" w:hAnsi="Arial" w:cs="Arial"/>
          <w:noProof/>
          <w:color w:val="000080"/>
          <w:sz w:val="18"/>
          <w:szCs w:val="18"/>
        </w:rPr>
        <w:t>4</w:t>
      </w:r>
      <w:r w:rsidR="00052E23">
        <w:rPr>
          <w:rFonts w:ascii="Arial" w:hAnsi="Arial" w:cs="Arial"/>
          <w:noProof/>
          <w:color w:val="000080"/>
          <w:sz w:val="18"/>
          <w:szCs w:val="18"/>
        </w:rPr>
        <w:t>,</w:t>
      </w:r>
      <w:r w:rsidR="00E84896">
        <w:rPr>
          <w:rFonts w:ascii="Arial" w:hAnsi="Arial" w:cs="Arial"/>
          <w:noProof/>
          <w:color w:val="000080"/>
          <w:sz w:val="18"/>
          <w:szCs w:val="18"/>
        </w:rPr>
        <w:t>8</w:t>
      </w:r>
      <w:r w:rsidR="001F5AF9">
        <w:rPr>
          <w:rFonts w:ascii="Arial" w:hAnsi="Arial" w:cs="Arial"/>
          <w:noProof/>
          <w:color w:val="000080"/>
          <w:sz w:val="18"/>
          <w:szCs w:val="18"/>
        </w:rPr>
        <w:t>%</w:t>
      </w:r>
      <w:r w:rsidR="00940225" w:rsidRPr="00940225">
        <w:rPr>
          <w:rFonts w:ascii="Arial" w:hAnsi="Arial" w:cs="Arial"/>
          <w:noProof/>
          <w:color w:val="000080"/>
          <w:sz w:val="18"/>
          <w:szCs w:val="18"/>
        </w:rPr>
        <w:t xml:space="preserve"> </w:t>
      </w:r>
      <w:r w:rsidR="00940225">
        <w:rPr>
          <w:rFonts w:ascii="Arial" w:hAnsi="Arial" w:cs="Arial"/>
          <w:noProof/>
          <w:color w:val="000080"/>
          <w:sz w:val="18"/>
          <w:szCs w:val="18"/>
        </w:rPr>
        <w:t>το 2016</w:t>
      </w:r>
      <w:r w:rsidR="001F5AF9">
        <w:rPr>
          <w:rFonts w:ascii="Arial" w:hAnsi="Arial" w:cs="Arial"/>
          <w:noProof/>
          <w:color w:val="000080"/>
          <w:sz w:val="18"/>
          <w:szCs w:val="18"/>
        </w:rPr>
        <w:t>, από 1</w:t>
      </w:r>
      <w:r w:rsidR="00E84896">
        <w:rPr>
          <w:rFonts w:ascii="Arial" w:hAnsi="Arial" w:cs="Arial"/>
          <w:noProof/>
          <w:color w:val="000080"/>
          <w:sz w:val="18"/>
          <w:szCs w:val="18"/>
        </w:rPr>
        <w:t>26,9</w:t>
      </w:r>
      <w:r w:rsidR="001F5AF9">
        <w:rPr>
          <w:rFonts w:ascii="Arial" w:hAnsi="Arial" w:cs="Arial"/>
          <w:noProof/>
          <w:color w:val="000080"/>
          <w:sz w:val="18"/>
          <w:szCs w:val="18"/>
        </w:rPr>
        <w:t>% το</w:t>
      </w:r>
      <w:r w:rsidR="00E132D9">
        <w:rPr>
          <w:rFonts w:ascii="Arial" w:hAnsi="Arial" w:cs="Arial"/>
          <w:noProof/>
          <w:color w:val="000080"/>
          <w:sz w:val="18"/>
          <w:szCs w:val="18"/>
        </w:rPr>
        <w:t xml:space="preserve"> </w:t>
      </w:r>
      <w:r w:rsidR="00E84896">
        <w:rPr>
          <w:rFonts w:ascii="Arial" w:hAnsi="Arial" w:cs="Arial"/>
          <w:noProof/>
          <w:color w:val="000080"/>
          <w:sz w:val="18"/>
          <w:szCs w:val="18"/>
        </w:rPr>
        <w:t>2015</w:t>
      </w:r>
      <w:r w:rsidR="00B618B0">
        <w:rPr>
          <w:rFonts w:ascii="Arial" w:hAnsi="Arial" w:cs="Arial"/>
          <w:noProof/>
          <w:color w:val="000080"/>
          <w:sz w:val="18"/>
          <w:szCs w:val="18"/>
        </w:rPr>
        <w:t>.</w:t>
      </w:r>
      <w:r w:rsidRPr="009948D0">
        <w:rPr>
          <w:rFonts w:ascii="Arial" w:hAnsi="Arial" w:cs="Arial"/>
          <w:noProof/>
          <w:color w:val="000080"/>
          <w:sz w:val="18"/>
          <w:szCs w:val="18"/>
        </w:rPr>
        <w:t xml:space="preserve"> </w:t>
      </w:r>
    </w:p>
    <w:p w:rsidR="000F2F7B" w:rsidRDefault="000F2F7B" w:rsidP="001B3793">
      <w:pPr>
        <w:spacing w:line="360" w:lineRule="auto"/>
        <w:ind w:left="2835" w:right="43"/>
        <w:jc w:val="both"/>
        <w:rPr>
          <w:rFonts w:ascii="Arial" w:hAnsi="Arial" w:cs="Arial"/>
          <w:color w:val="000080"/>
          <w:sz w:val="18"/>
          <w:szCs w:val="18"/>
        </w:rPr>
      </w:pPr>
    </w:p>
    <w:p w:rsidR="00F40322" w:rsidRDefault="005B1CD0" w:rsidP="001B3793">
      <w:pPr>
        <w:spacing w:line="360" w:lineRule="auto"/>
        <w:ind w:left="2835" w:right="43"/>
        <w:jc w:val="both"/>
        <w:rPr>
          <w:rFonts w:ascii="Arial" w:hAnsi="Arial" w:cs="Arial"/>
          <w:color w:val="000080"/>
          <w:sz w:val="18"/>
          <w:szCs w:val="18"/>
        </w:rPr>
      </w:pPr>
      <w:r>
        <w:rPr>
          <w:noProof/>
        </w:rPr>
        <w:lastRenderedPageBreak/>
        <w:pict>
          <v:rect id="_x0000_s1062" style="position:absolute;left:0;text-align:left;margin-left:-39.3pt;margin-top:.5pt;width:492.35pt;height:34.05pt;z-index:251647488" fillcolor="navy">
            <v:textbox style="mso-next-textbox:#_x0000_s1062">
              <w:txbxContent>
                <w:p w:rsidR="00050234" w:rsidRPr="009F2F4C" w:rsidRDefault="00050234" w:rsidP="007124D6">
                  <w:pPr>
                    <w:pStyle w:val="msotitle2"/>
                    <w:widowControl w:val="0"/>
                    <w:ind w:left="-540"/>
                  </w:pPr>
                  <w:r>
                    <w:rPr>
                      <w:rFonts w:ascii="Arial" w:hAnsi="Arial" w:cs="Arial"/>
                      <w:color w:val="000066"/>
                      <w:sz w:val="40"/>
                      <w:szCs w:val="40"/>
                    </w:rPr>
                    <w:t xml:space="preserve">Α  </w:t>
                  </w:r>
                  <w:r w:rsidRPr="008E028C">
                    <w:rPr>
                      <w:rFonts w:ascii="Arial" w:hAnsi="Arial" w:cs="Arial"/>
                      <w:color w:val="FFFFFF"/>
                      <w:sz w:val="32"/>
                      <w:szCs w:val="32"/>
                    </w:rPr>
                    <w:t xml:space="preserve">Οικονομικά </w:t>
                  </w:r>
                  <w:r>
                    <w:rPr>
                      <w:rFonts w:ascii="Arial" w:hAnsi="Arial" w:cs="Arial"/>
                      <w:color w:val="FFFFFF"/>
                      <w:sz w:val="32"/>
                      <w:szCs w:val="32"/>
                    </w:rPr>
                    <w:t>Στοιχεία</w:t>
                  </w:r>
                  <w:r w:rsidRPr="008E028C">
                    <w:rPr>
                      <w:rFonts w:ascii="Arial" w:hAnsi="Arial" w:cs="Arial"/>
                      <w:color w:val="FFFFFF"/>
                      <w:sz w:val="32"/>
                      <w:szCs w:val="32"/>
                    </w:rPr>
                    <w:t xml:space="preserve"> </w:t>
                  </w:r>
                  <w:r>
                    <w:rPr>
                      <w:rFonts w:ascii="Arial" w:hAnsi="Arial" w:cs="Arial"/>
                      <w:color w:val="FFFFFF"/>
                      <w:sz w:val="32"/>
                      <w:szCs w:val="32"/>
                      <w:lang w:val="en-US"/>
                    </w:rPr>
                    <w:t>Eurobank</w:t>
                  </w:r>
                </w:p>
              </w:txbxContent>
            </v:textbox>
          </v:rect>
        </w:pict>
      </w:r>
      <w:r w:rsidR="008E359E">
        <w:rPr>
          <w:noProof/>
        </w:rPr>
        <w:pict>
          <v:roundrect id="_x0000_s1056" style="position:absolute;left:0;text-align:left;margin-left:-54pt;margin-top:-7.5pt;width:531pt;height:698.65pt;z-index:-251674112;visibility:visible;mso-wrap-edited:f;mso-wrap-distance-left:2.88pt;mso-wrap-distance-top:2.88pt;mso-wrap-distance-right:2.88pt;mso-wrap-distance-bottom:2.88pt" arcsize="2658f" fillcolor="#dfe4e9" stroked="f" strokecolor="#006" insetpen="t" o:cliptowrap="t">
            <v:shadow color="#ccc"/>
            <o:lock v:ext="edit" shapetype="t"/>
            <v:textbox inset="2.88pt,2.88pt,2.88pt,2.88pt"/>
          </v:roundrect>
        </w:pict>
      </w:r>
      <w:r w:rsidR="00F40322">
        <w:rPr>
          <w:rFonts w:ascii="Arial" w:hAnsi="Arial" w:cs="Arial"/>
          <w:color w:val="000080"/>
          <w:sz w:val="18"/>
          <w:szCs w:val="18"/>
        </w:rPr>
        <w:t xml:space="preserve">                                                                                                             </w:t>
      </w:r>
    </w:p>
    <w:p w:rsidR="00F40322" w:rsidRPr="004264F9" w:rsidRDefault="00F40322" w:rsidP="00F40322">
      <w:pPr>
        <w:tabs>
          <w:tab w:val="left" w:pos="7200"/>
        </w:tabs>
        <w:spacing w:line="360" w:lineRule="auto"/>
        <w:ind w:right="-688"/>
        <w:jc w:val="both"/>
        <w:rPr>
          <w:rFonts w:ascii="Arial" w:hAnsi="Arial" w:cs="Arial"/>
          <w:color w:val="000080"/>
          <w:sz w:val="18"/>
          <w:szCs w:val="18"/>
        </w:rPr>
      </w:pPr>
    </w:p>
    <w:p w:rsidR="00F40322" w:rsidRPr="003D3383" w:rsidRDefault="00F40322" w:rsidP="00F40322">
      <w:pPr>
        <w:widowControl w:val="0"/>
        <w:rPr>
          <w:color w:val="auto"/>
          <w:kern w:val="0"/>
          <w:sz w:val="22"/>
          <w:szCs w:val="22"/>
        </w:rPr>
      </w:pPr>
      <w:r>
        <w:rPr>
          <w:noProof/>
        </w:rPr>
        <w:pict>
          <v:roundrect id="_x0000_s1064" style="position:absolute;margin-left:-42.6pt;margin-top:8.5pt;width:495.65pt;height:201.9pt;z-index:-251667968;visibility:visible;mso-wrap-edited:f;mso-wrap-distance-left:2.88pt;mso-wrap-distance-top:2.88pt;mso-wrap-distance-right:2.88pt;mso-wrap-distance-bottom:2.88pt" arcsize="3468f" fillcolor="#f1f3f5" strokecolor="#006" strokeweight="2pt" insetpen="t" o:cliptowrap="t">
            <v:shadow color="#ccc"/>
            <o:lock v:ext="edit" shapetype="t"/>
            <v:textbox inset="2.88pt,2.88pt,2.88pt,2.88pt"/>
          </v:roundrect>
        </w:pict>
      </w:r>
    </w:p>
    <w:tbl>
      <w:tblPr>
        <w:tblW w:w="9651" w:type="dxa"/>
        <w:tblInd w:w="-662" w:type="dxa"/>
        <w:tblBorders>
          <w:top w:val="single" w:sz="4" w:space="0" w:color="003366"/>
          <w:bottom w:val="single" w:sz="4" w:space="0" w:color="003366"/>
          <w:right w:val="single" w:sz="4" w:space="0" w:color="003366"/>
          <w:insideH w:val="single" w:sz="4" w:space="0" w:color="003366"/>
          <w:insideV w:val="single" w:sz="4" w:space="0" w:color="003366"/>
        </w:tblBorders>
        <w:tblLayout w:type="fixed"/>
        <w:tblCellMar>
          <w:left w:w="0" w:type="dxa"/>
          <w:right w:w="0" w:type="dxa"/>
        </w:tblCellMar>
        <w:tblLook w:val="0000"/>
      </w:tblPr>
      <w:tblGrid>
        <w:gridCol w:w="2988"/>
        <w:gridCol w:w="1134"/>
        <w:gridCol w:w="1134"/>
        <w:gridCol w:w="993"/>
        <w:gridCol w:w="1134"/>
        <w:gridCol w:w="1134"/>
        <w:gridCol w:w="1134"/>
      </w:tblGrid>
      <w:tr w:rsidR="0044421C" w:rsidRPr="002A1856" w:rsidTr="006C7FDB">
        <w:trPr>
          <w:trHeight w:hRule="exact" w:val="616"/>
        </w:trPr>
        <w:tc>
          <w:tcPr>
            <w:tcW w:w="2988" w:type="dxa"/>
            <w:shd w:val="clear" w:color="auto" w:fill="F1F3F5"/>
            <w:tcMar>
              <w:top w:w="58" w:type="dxa"/>
              <w:left w:w="58" w:type="dxa"/>
              <w:bottom w:w="58" w:type="dxa"/>
              <w:right w:w="58" w:type="dxa"/>
            </w:tcMar>
            <w:vAlign w:val="center"/>
          </w:tcPr>
          <w:p w:rsidR="0044421C" w:rsidRPr="00B915BB" w:rsidRDefault="0044421C" w:rsidP="00C53ADE">
            <w:pPr>
              <w:widowControl w:val="0"/>
              <w:rPr>
                <w:rFonts w:ascii="Arial" w:hAnsi="Arial" w:cs="Arial"/>
                <w:b/>
                <w:bCs/>
                <w:color w:val="800000"/>
                <w:sz w:val="16"/>
                <w:szCs w:val="16"/>
              </w:rPr>
            </w:pPr>
          </w:p>
          <w:p w:rsidR="0044421C" w:rsidRPr="00B915BB" w:rsidRDefault="0044421C" w:rsidP="006D0B7B">
            <w:pPr>
              <w:widowControl w:val="0"/>
              <w:rPr>
                <w:rFonts w:ascii="Arial" w:hAnsi="Arial" w:cs="Arial"/>
                <w:b/>
                <w:bCs/>
                <w:color w:val="800000"/>
                <w:sz w:val="16"/>
                <w:szCs w:val="16"/>
              </w:rPr>
            </w:pPr>
            <w:r w:rsidRPr="00B915BB">
              <w:rPr>
                <w:rFonts w:ascii="Arial" w:hAnsi="Arial" w:cs="Arial"/>
                <w:b/>
                <w:bCs/>
                <w:color w:val="800000"/>
                <w:sz w:val="16"/>
                <w:szCs w:val="16"/>
              </w:rPr>
              <w:t xml:space="preserve">Βασικά Οικονομικά Μεγέθη </w:t>
            </w:r>
          </w:p>
        </w:tc>
        <w:tc>
          <w:tcPr>
            <w:tcW w:w="1134" w:type="dxa"/>
            <w:shd w:val="clear" w:color="auto" w:fill="F1F3F5"/>
            <w:vAlign w:val="center"/>
          </w:tcPr>
          <w:p w:rsidR="0044421C" w:rsidRDefault="0044421C" w:rsidP="004A4648">
            <w:pPr>
              <w:widowControl w:val="0"/>
              <w:jc w:val="center"/>
              <w:rPr>
                <w:rFonts w:ascii="Arial" w:hAnsi="Arial" w:cs="Arial"/>
                <w:b/>
                <w:bCs/>
                <w:color w:val="800000"/>
                <w:sz w:val="16"/>
                <w:szCs w:val="16"/>
              </w:rPr>
            </w:pPr>
          </w:p>
          <w:p w:rsidR="0044421C" w:rsidRPr="00C75F4A" w:rsidRDefault="0044421C" w:rsidP="004A4648">
            <w:pPr>
              <w:widowControl w:val="0"/>
              <w:jc w:val="center"/>
              <w:rPr>
                <w:rFonts w:ascii="Arial" w:hAnsi="Arial" w:cs="Arial"/>
                <w:b/>
                <w:bCs/>
                <w:color w:val="800000"/>
                <w:sz w:val="16"/>
                <w:szCs w:val="16"/>
              </w:rPr>
            </w:pPr>
            <w:r>
              <w:rPr>
                <w:rFonts w:ascii="Arial" w:hAnsi="Arial" w:cs="Arial"/>
                <w:b/>
                <w:bCs/>
                <w:color w:val="800000"/>
                <w:sz w:val="16"/>
                <w:szCs w:val="16"/>
              </w:rPr>
              <w:t>Δ΄ Τριμ. 2016</w:t>
            </w:r>
          </w:p>
          <w:p w:rsidR="0044421C" w:rsidRPr="00C75F4A" w:rsidRDefault="0044421C" w:rsidP="004A4648">
            <w:pPr>
              <w:widowControl w:val="0"/>
              <w:jc w:val="center"/>
              <w:rPr>
                <w:rFonts w:ascii="Arial" w:hAnsi="Arial" w:cs="Arial"/>
                <w:b/>
                <w:bCs/>
                <w:color w:val="800000"/>
                <w:sz w:val="16"/>
                <w:szCs w:val="16"/>
              </w:rPr>
            </w:pPr>
          </w:p>
        </w:tc>
        <w:tc>
          <w:tcPr>
            <w:tcW w:w="1134" w:type="dxa"/>
            <w:shd w:val="clear" w:color="auto" w:fill="F1F3F5"/>
            <w:vAlign w:val="center"/>
          </w:tcPr>
          <w:p w:rsidR="0044421C" w:rsidRDefault="0044421C" w:rsidP="00827CAD">
            <w:pPr>
              <w:widowControl w:val="0"/>
              <w:jc w:val="center"/>
              <w:rPr>
                <w:rFonts w:ascii="Arial" w:hAnsi="Arial" w:cs="Arial"/>
                <w:b/>
                <w:bCs/>
                <w:color w:val="800000"/>
                <w:sz w:val="16"/>
                <w:szCs w:val="16"/>
              </w:rPr>
            </w:pPr>
          </w:p>
          <w:p w:rsidR="0044421C" w:rsidRPr="00C75F4A" w:rsidRDefault="0044421C" w:rsidP="00827CAD">
            <w:pPr>
              <w:widowControl w:val="0"/>
              <w:jc w:val="center"/>
              <w:rPr>
                <w:rFonts w:ascii="Arial" w:hAnsi="Arial" w:cs="Arial"/>
                <w:b/>
                <w:bCs/>
                <w:color w:val="800000"/>
                <w:sz w:val="16"/>
                <w:szCs w:val="16"/>
              </w:rPr>
            </w:pPr>
            <w:r>
              <w:rPr>
                <w:rFonts w:ascii="Arial" w:hAnsi="Arial" w:cs="Arial"/>
                <w:b/>
                <w:bCs/>
                <w:color w:val="800000"/>
                <w:sz w:val="16"/>
                <w:szCs w:val="16"/>
              </w:rPr>
              <w:t>Γ΄ Τριμ. 2016</w:t>
            </w:r>
          </w:p>
          <w:p w:rsidR="0044421C" w:rsidRPr="00C75F4A" w:rsidRDefault="0044421C" w:rsidP="00827CAD">
            <w:pPr>
              <w:widowControl w:val="0"/>
              <w:jc w:val="center"/>
              <w:rPr>
                <w:rFonts w:ascii="Arial" w:hAnsi="Arial" w:cs="Arial"/>
                <w:b/>
                <w:bCs/>
                <w:color w:val="800000"/>
                <w:sz w:val="16"/>
                <w:szCs w:val="16"/>
              </w:rPr>
            </w:pPr>
          </w:p>
        </w:tc>
        <w:tc>
          <w:tcPr>
            <w:tcW w:w="993" w:type="dxa"/>
            <w:shd w:val="clear" w:color="auto" w:fill="F1F3F5"/>
            <w:vAlign w:val="center"/>
          </w:tcPr>
          <w:p w:rsidR="0044421C" w:rsidRDefault="0044421C" w:rsidP="00727938">
            <w:pPr>
              <w:widowControl w:val="0"/>
              <w:jc w:val="center"/>
              <w:rPr>
                <w:rFonts w:ascii="Arial" w:hAnsi="Arial" w:cs="Arial"/>
                <w:b/>
                <w:bCs/>
                <w:color w:val="800000"/>
                <w:sz w:val="16"/>
                <w:szCs w:val="16"/>
              </w:rPr>
            </w:pPr>
            <w:r>
              <w:rPr>
                <w:rFonts w:ascii="Arial" w:hAnsi="Arial" w:cs="Arial"/>
                <w:b/>
                <w:bCs/>
                <w:color w:val="800000"/>
                <w:sz w:val="16"/>
                <w:szCs w:val="16"/>
              </w:rPr>
              <w:t>Μεταβολή</w:t>
            </w:r>
          </w:p>
        </w:tc>
        <w:tc>
          <w:tcPr>
            <w:tcW w:w="1134" w:type="dxa"/>
            <w:shd w:val="clear" w:color="auto" w:fill="F1F3F5"/>
          </w:tcPr>
          <w:p w:rsidR="0044421C" w:rsidRDefault="0044421C" w:rsidP="0044421C">
            <w:pPr>
              <w:widowControl w:val="0"/>
              <w:jc w:val="center"/>
              <w:rPr>
                <w:rFonts w:ascii="Arial" w:hAnsi="Arial" w:cs="Arial"/>
                <w:b/>
                <w:bCs/>
                <w:color w:val="800000"/>
                <w:sz w:val="16"/>
                <w:szCs w:val="16"/>
              </w:rPr>
            </w:pPr>
          </w:p>
          <w:p w:rsidR="0044421C" w:rsidRPr="00C75F4A" w:rsidRDefault="0044421C" w:rsidP="0044421C">
            <w:pPr>
              <w:widowControl w:val="0"/>
              <w:jc w:val="center"/>
              <w:rPr>
                <w:rFonts w:ascii="Arial" w:hAnsi="Arial" w:cs="Arial"/>
                <w:b/>
                <w:bCs/>
                <w:color w:val="800000"/>
                <w:sz w:val="16"/>
                <w:szCs w:val="16"/>
              </w:rPr>
            </w:pPr>
            <w:r>
              <w:rPr>
                <w:rFonts w:ascii="Arial" w:hAnsi="Arial" w:cs="Arial"/>
                <w:b/>
                <w:bCs/>
                <w:color w:val="800000"/>
                <w:sz w:val="16"/>
                <w:szCs w:val="16"/>
              </w:rPr>
              <w:t>2016</w:t>
            </w:r>
          </w:p>
          <w:p w:rsidR="0044421C" w:rsidRDefault="0044421C" w:rsidP="00727938">
            <w:pPr>
              <w:widowControl w:val="0"/>
              <w:jc w:val="center"/>
              <w:rPr>
                <w:rFonts w:ascii="Arial" w:hAnsi="Arial" w:cs="Arial"/>
                <w:b/>
                <w:bCs/>
                <w:color w:val="800000"/>
                <w:sz w:val="16"/>
                <w:szCs w:val="16"/>
              </w:rPr>
            </w:pPr>
          </w:p>
        </w:tc>
        <w:tc>
          <w:tcPr>
            <w:tcW w:w="1134" w:type="dxa"/>
            <w:shd w:val="clear" w:color="auto" w:fill="F1F3F5"/>
          </w:tcPr>
          <w:p w:rsidR="0044421C" w:rsidRDefault="0044421C" w:rsidP="00727938">
            <w:pPr>
              <w:widowControl w:val="0"/>
              <w:jc w:val="center"/>
              <w:rPr>
                <w:rFonts w:ascii="Arial" w:hAnsi="Arial" w:cs="Arial"/>
                <w:b/>
                <w:bCs/>
                <w:color w:val="800000"/>
                <w:sz w:val="16"/>
                <w:szCs w:val="16"/>
              </w:rPr>
            </w:pPr>
          </w:p>
          <w:p w:rsidR="0044421C" w:rsidRDefault="0044421C" w:rsidP="00727938">
            <w:pPr>
              <w:widowControl w:val="0"/>
              <w:jc w:val="center"/>
              <w:rPr>
                <w:rFonts w:ascii="Arial" w:hAnsi="Arial" w:cs="Arial"/>
                <w:b/>
                <w:bCs/>
                <w:color w:val="800000"/>
                <w:sz w:val="16"/>
                <w:szCs w:val="16"/>
              </w:rPr>
            </w:pPr>
            <w:r>
              <w:rPr>
                <w:rFonts w:ascii="Arial" w:hAnsi="Arial" w:cs="Arial"/>
                <w:b/>
                <w:bCs/>
                <w:color w:val="800000"/>
                <w:sz w:val="16"/>
                <w:szCs w:val="16"/>
              </w:rPr>
              <w:t>2015</w:t>
            </w:r>
          </w:p>
        </w:tc>
        <w:tc>
          <w:tcPr>
            <w:tcW w:w="1134" w:type="dxa"/>
            <w:shd w:val="clear" w:color="auto" w:fill="F1F3F5"/>
            <w:vAlign w:val="center"/>
          </w:tcPr>
          <w:p w:rsidR="0044421C" w:rsidRDefault="0044421C" w:rsidP="00827CAD">
            <w:pPr>
              <w:widowControl w:val="0"/>
              <w:jc w:val="center"/>
              <w:rPr>
                <w:rFonts w:ascii="Arial" w:hAnsi="Arial" w:cs="Arial"/>
                <w:b/>
                <w:bCs/>
                <w:color w:val="800000"/>
                <w:sz w:val="16"/>
                <w:szCs w:val="16"/>
              </w:rPr>
            </w:pPr>
            <w:r>
              <w:rPr>
                <w:rFonts w:ascii="Arial" w:hAnsi="Arial" w:cs="Arial"/>
                <w:b/>
                <w:bCs/>
                <w:color w:val="800000"/>
                <w:sz w:val="16"/>
                <w:szCs w:val="16"/>
              </w:rPr>
              <w:t>Μεταβολή</w:t>
            </w:r>
          </w:p>
        </w:tc>
      </w:tr>
      <w:tr w:rsidR="006145CC" w:rsidRPr="00595343" w:rsidTr="006C7FDB">
        <w:trPr>
          <w:trHeight w:hRule="exact" w:val="340"/>
        </w:trPr>
        <w:tc>
          <w:tcPr>
            <w:tcW w:w="2988" w:type="dxa"/>
            <w:shd w:val="clear" w:color="auto" w:fill="F1F3F5"/>
            <w:tcMar>
              <w:top w:w="58" w:type="dxa"/>
              <w:left w:w="58" w:type="dxa"/>
              <w:bottom w:w="58" w:type="dxa"/>
              <w:right w:w="58" w:type="dxa"/>
            </w:tcMar>
            <w:vAlign w:val="center"/>
          </w:tcPr>
          <w:p w:rsidR="006145CC" w:rsidRPr="00B915BB" w:rsidRDefault="006145CC" w:rsidP="00C53ADE">
            <w:pPr>
              <w:widowControl w:val="0"/>
              <w:rPr>
                <w:rFonts w:ascii="Arial" w:hAnsi="Arial" w:cs="Arial"/>
                <w:color w:val="000066"/>
                <w:sz w:val="16"/>
                <w:szCs w:val="16"/>
              </w:rPr>
            </w:pPr>
            <w:r w:rsidRPr="00B915BB">
              <w:rPr>
                <w:rFonts w:ascii="Arial" w:hAnsi="Arial" w:cs="Arial"/>
                <w:color w:val="000066"/>
                <w:sz w:val="16"/>
                <w:szCs w:val="16"/>
              </w:rPr>
              <w:t>Καθαρά Έσοδα από Τόκους</w:t>
            </w:r>
          </w:p>
        </w:tc>
        <w:tc>
          <w:tcPr>
            <w:tcW w:w="1134" w:type="dxa"/>
            <w:shd w:val="clear" w:color="auto" w:fill="F1F3F5"/>
            <w:vAlign w:val="center"/>
          </w:tcPr>
          <w:p w:rsidR="006145CC" w:rsidRPr="00B915BB" w:rsidRDefault="006145CC" w:rsidP="0044421C">
            <w:pPr>
              <w:widowControl w:val="0"/>
              <w:jc w:val="center"/>
              <w:rPr>
                <w:rFonts w:ascii="Arial" w:hAnsi="Arial" w:cs="Arial"/>
                <w:color w:val="000066"/>
                <w:sz w:val="16"/>
                <w:szCs w:val="16"/>
              </w:rPr>
            </w:pPr>
            <w:r>
              <w:rPr>
                <w:rFonts w:ascii="Arial" w:hAnsi="Arial" w:cs="Arial"/>
                <w:color w:val="000066"/>
                <w:sz w:val="16"/>
                <w:szCs w:val="16"/>
              </w:rPr>
              <w:t>€389εκ.</w:t>
            </w:r>
          </w:p>
        </w:tc>
        <w:tc>
          <w:tcPr>
            <w:tcW w:w="1134" w:type="dxa"/>
            <w:shd w:val="clear" w:color="auto" w:fill="F1F3F5"/>
            <w:vAlign w:val="center"/>
          </w:tcPr>
          <w:p w:rsidR="006145CC" w:rsidRPr="00B915BB" w:rsidRDefault="006145CC" w:rsidP="00827CAD">
            <w:pPr>
              <w:widowControl w:val="0"/>
              <w:jc w:val="center"/>
              <w:rPr>
                <w:rFonts w:ascii="Arial" w:hAnsi="Arial" w:cs="Arial"/>
                <w:color w:val="000066"/>
                <w:sz w:val="16"/>
                <w:szCs w:val="16"/>
              </w:rPr>
            </w:pPr>
            <w:r>
              <w:rPr>
                <w:rFonts w:ascii="Arial" w:hAnsi="Arial" w:cs="Arial"/>
                <w:color w:val="000066"/>
                <w:sz w:val="16"/>
                <w:szCs w:val="16"/>
              </w:rPr>
              <w:t>€389εκ.</w:t>
            </w:r>
          </w:p>
        </w:tc>
        <w:tc>
          <w:tcPr>
            <w:tcW w:w="993" w:type="dxa"/>
            <w:shd w:val="clear" w:color="auto" w:fill="F1F3F5"/>
            <w:vAlign w:val="center"/>
          </w:tcPr>
          <w:p w:rsidR="006145CC" w:rsidRPr="00B915BB" w:rsidRDefault="006145CC" w:rsidP="00727938">
            <w:pPr>
              <w:widowControl w:val="0"/>
              <w:jc w:val="center"/>
              <w:rPr>
                <w:rFonts w:ascii="Arial" w:hAnsi="Arial" w:cs="Arial"/>
                <w:color w:val="000066"/>
                <w:sz w:val="16"/>
                <w:szCs w:val="16"/>
              </w:rPr>
            </w:pPr>
            <w:r>
              <w:rPr>
                <w:rFonts w:ascii="Arial" w:hAnsi="Arial" w:cs="Arial"/>
                <w:color w:val="000066"/>
                <w:sz w:val="16"/>
                <w:szCs w:val="16"/>
              </w:rPr>
              <w:t>(0,1%)</w:t>
            </w:r>
          </w:p>
        </w:tc>
        <w:tc>
          <w:tcPr>
            <w:tcW w:w="1134" w:type="dxa"/>
            <w:shd w:val="clear" w:color="auto" w:fill="F1F3F5"/>
            <w:vAlign w:val="center"/>
          </w:tcPr>
          <w:p w:rsidR="006145CC" w:rsidRPr="00B915BB" w:rsidRDefault="006145CC" w:rsidP="0044421C">
            <w:pPr>
              <w:widowControl w:val="0"/>
              <w:jc w:val="center"/>
              <w:rPr>
                <w:rFonts w:ascii="Arial" w:hAnsi="Arial" w:cs="Arial"/>
                <w:color w:val="000066"/>
                <w:sz w:val="16"/>
                <w:szCs w:val="16"/>
              </w:rPr>
            </w:pPr>
            <w:r>
              <w:rPr>
                <w:rFonts w:ascii="Arial" w:hAnsi="Arial" w:cs="Arial"/>
                <w:color w:val="000066"/>
                <w:sz w:val="16"/>
                <w:szCs w:val="16"/>
              </w:rPr>
              <w:t>€</w:t>
            </w:r>
            <w:r w:rsidR="006C7FDB">
              <w:rPr>
                <w:rFonts w:ascii="Arial" w:hAnsi="Arial" w:cs="Arial"/>
                <w:color w:val="000066"/>
                <w:sz w:val="16"/>
                <w:szCs w:val="16"/>
              </w:rPr>
              <w:t>1.548</w:t>
            </w:r>
            <w:r>
              <w:rPr>
                <w:rFonts w:ascii="Arial" w:hAnsi="Arial" w:cs="Arial"/>
                <w:color w:val="000066"/>
                <w:sz w:val="16"/>
                <w:szCs w:val="16"/>
              </w:rPr>
              <w:t>εκ.</w:t>
            </w:r>
          </w:p>
        </w:tc>
        <w:tc>
          <w:tcPr>
            <w:tcW w:w="1134" w:type="dxa"/>
            <w:shd w:val="clear" w:color="auto" w:fill="F1F3F5"/>
            <w:vAlign w:val="center"/>
          </w:tcPr>
          <w:p w:rsidR="006145CC" w:rsidRPr="00B915BB" w:rsidRDefault="006145CC" w:rsidP="00827CAD">
            <w:pPr>
              <w:widowControl w:val="0"/>
              <w:jc w:val="center"/>
              <w:rPr>
                <w:rFonts w:ascii="Arial" w:hAnsi="Arial" w:cs="Arial"/>
                <w:color w:val="000066"/>
                <w:sz w:val="16"/>
                <w:szCs w:val="16"/>
              </w:rPr>
            </w:pPr>
            <w:r>
              <w:rPr>
                <w:rFonts w:ascii="Arial" w:hAnsi="Arial" w:cs="Arial"/>
                <w:color w:val="000066"/>
                <w:sz w:val="16"/>
                <w:szCs w:val="16"/>
              </w:rPr>
              <w:t>€</w:t>
            </w:r>
            <w:r w:rsidR="006C7FDB">
              <w:rPr>
                <w:rFonts w:ascii="Arial" w:hAnsi="Arial" w:cs="Arial"/>
                <w:color w:val="000066"/>
                <w:sz w:val="16"/>
                <w:szCs w:val="16"/>
              </w:rPr>
              <w:t>1.463</w:t>
            </w:r>
            <w:r>
              <w:rPr>
                <w:rFonts w:ascii="Arial" w:hAnsi="Arial" w:cs="Arial"/>
                <w:color w:val="000066"/>
                <w:sz w:val="16"/>
                <w:szCs w:val="16"/>
              </w:rPr>
              <w:t>εκ.</w:t>
            </w:r>
          </w:p>
        </w:tc>
        <w:tc>
          <w:tcPr>
            <w:tcW w:w="1134" w:type="dxa"/>
            <w:shd w:val="clear" w:color="auto" w:fill="F1F3F5"/>
            <w:vAlign w:val="center"/>
          </w:tcPr>
          <w:p w:rsidR="006145CC" w:rsidRPr="00B915BB" w:rsidRDefault="006C7FDB" w:rsidP="00827CAD">
            <w:pPr>
              <w:widowControl w:val="0"/>
              <w:jc w:val="center"/>
              <w:rPr>
                <w:rFonts w:ascii="Arial" w:hAnsi="Arial" w:cs="Arial"/>
                <w:color w:val="000066"/>
                <w:sz w:val="16"/>
                <w:szCs w:val="16"/>
              </w:rPr>
            </w:pPr>
            <w:r>
              <w:rPr>
                <w:rFonts w:ascii="Arial" w:hAnsi="Arial" w:cs="Arial"/>
                <w:color w:val="000066"/>
                <w:sz w:val="16"/>
                <w:szCs w:val="16"/>
              </w:rPr>
              <w:t>5,8</w:t>
            </w:r>
            <w:r w:rsidR="006145CC">
              <w:rPr>
                <w:rFonts w:ascii="Arial" w:hAnsi="Arial" w:cs="Arial"/>
                <w:color w:val="000066"/>
                <w:sz w:val="16"/>
                <w:szCs w:val="16"/>
              </w:rPr>
              <w:t>%</w:t>
            </w:r>
          </w:p>
        </w:tc>
      </w:tr>
      <w:tr w:rsidR="006145CC" w:rsidRPr="002A1856" w:rsidTr="006C7FDB">
        <w:trPr>
          <w:trHeight w:hRule="exact" w:val="293"/>
        </w:trPr>
        <w:tc>
          <w:tcPr>
            <w:tcW w:w="2988" w:type="dxa"/>
            <w:shd w:val="clear" w:color="auto" w:fill="F1F3F5"/>
            <w:tcMar>
              <w:top w:w="58" w:type="dxa"/>
              <w:left w:w="58" w:type="dxa"/>
              <w:bottom w:w="58" w:type="dxa"/>
              <w:right w:w="58" w:type="dxa"/>
            </w:tcMar>
            <w:vAlign w:val="center"/>
          </w:tcPr>
          <w:p w:rsidR="006145CC" w:rsidRPr="00B915BB" w:rsidRDefault="006145CC" w:rsidP="00C53ADE">
            <w:pPr>
              <w:widowControl w:val="0"/>
              <w:rPr>
                <w:rFonts w:ascii="Arial" w:hAnsi="Arial" w:cs="Arial"/>
                <w:color w:val="000066"/>
                <w:sz w:val="16"/>
                <w:szCs w:val="16"/>
              </w:rPr>
            </w:pPr>
            <w:r w:rsidRPr="00B915BB">
              <w:rPr>
                <w:rFonts w:ascii="Arial" w:hAnsi="Arial" w:cs="Arial"/>
                <w:color w:val="000066"/>
                <w:sz w:val="16"/>
                <w:szCs w:val="16"/>
              </w:rPr>
              <w:t xml:space="preserve">Καθαρά Έσοδα Προμηθειών </w:t>
            </w:r>
          </w:p>
        </w:tc>
        <w:tc>
          <w:tcPr>
            <w:tcW w:w="1134" w:type="dxa"/>
            <w:shd w:val="clear" w:color="auto" w:fill="F1F3F5"/>
            <w:vAlign w:val="center"/>
          </w:tcPr>
          <w:p w:rsidR="006145CC" w:rsidRDefault="006145CC" w:rsidP="0044421C">
            <w:pPr>
              <w:jc w:val="center"/>
            </w:pPr>
            <w:r w:rsidRPr="00197178">
              <w:rPr>
                <w:rFonts w:ascii="Arial" w:hAnsi="Arial" w:cs="Arial"/>
                <w:color w:val="000066"/>
                <w:sz w:val="16"/>
                <w:szCs w:val="16"/>
              </w:rPr>
              <w:t>€</w:t>
            </w:r>
            <w:r>
              <w:rPr>
                <w:rFonts w:ascii="Arial" w:hAnsi="Arial" w:cs="Arial"/>
                <w:color w:val="000066"/>
                <w:sz w:val="16"/>
                <w:szCs w:val="16"/>
              </w:rPr>
              <w:t>82</w:t>
            </w:r>
            <w:r w:rsidRPr="00197178">
              <w:rPr>
                <w:rFonts w:ascii="Arial" w:hAnsi="Arial" w:cs="Arial"/>
                <w:color w:val="000066"/>
                <w:sz w:val="16"/>
                <w:szCs w:val="16"/>
              </w:rPr>
              <w:t>εκ.</w:t>
            </w:r>
          </w:p>
        </w:tc>
        <w:tc>
          <w:tcPr>
            <w:tcW w:w="1134" w:type="dxa"/>
            <w:shd w:val="clear" w:color="auto" w:fill="F1F3F5"/>
            <w:vAlign w:val="center"/>
          </w:tcPr>
          <w:p w:rsidR="006145CC" w:rsidRDefault="006145CC" w:rsidP="00827CAD">
            <w:pPr>
              <w:jc w:val="center"/>
            </w:pPr>
            <w:r w:rsidRPr="00197178">
              <w:rPr>
                <w:rFonts w:ascii="Arial" w:hAnsi="Arial" w:cs="Arial"/>
                <w:color w:val="000066"/>
                <w:sz w:val="16"/>
                <w:szCs w:val="16"/>
              </w:rPr>
              <w:t>€</w:t>
            </w:r>
            <w:r>
              <w:rPr>
                <w:rFonts w:ascii="Arial" w:hAnsi="Arial" w:cs="Arial"/>
                <w:color w:val="000066"/>
                <w:sz w:val="16"/>
                <w:szCs w:val="16"/>
              </w:rPr>
              <w:t>76</w:t>
            </w:r>
            <w:r w:rsidRPr="00197178">
              <w:rPr>
                <w:rFonts w:ascii="Arial" w:hAnsi="Arial" w:cs="Arial"/>
                <w:color w:val="000066"/>
                <w:sz w:val="16"/>
                <w:szCs w:val="16"/>
              </w:rPr>
              <w:t>εκ.</w:t>
            </w:r>
          </w:p>
        </w:tc>
        <w:tc>
          <w:tcPr>
            <w:tcW w:w="993" w:type="dxa"/>
            <w:shd w:val="clear" w:color="auto" w:fill="F1F3F5"/>
            <w:vAlign w:val="center"/>
          </w:tcPr>
          <w:p w:rsidR="006145CC" w:rsidRPr="00BA0DD9" w:rsidRDefault="006145CC" w:rsidP="00727938">
            <w:pPr>
              <w:widowControl w:val="0"/>
              <w:jc w:val="center"/>
              <w:rPr>
                <w:rFonts w:ascii="Arial" w:hAnsi="Arial" w:cs="Arial"/>
                <w:color w:val="000066"/>
                <w:sz w:val="16"/>
                <w:szCs w:val="16"/>
              </w:rPr>
            </w:pPr>
            <w:r>
              <w:rPr>
                <w:rFonts w:ascii="Arial" w:hAnsi="Arial" w:cs="Arial"/>
                <w:color w:val="000066"/>
                <w:sz w:val="16"/>
                <w:szCs w:val="16"/>
              </w:rPr>
              <w:t>7,6%</w:t>
            </w:r>
          </w:p>
        </w:tc>
        <w:tc>
          <w:tcPr>
            <w:tcW w:w="1134" w:type="dxa"/>
            <w:shd w:val="clear" w:color="auto" w:fill="F1F3F5"/>
            <w:vAlign w:val="center"/>
          </w:tcPr>
          <w:p w:rsidR="006145CC" w:rsidRDefault="006145CC" w:rsidP="0044421C">
            <w:pPr>
              <w:jc w:val="center"/>
            </w:pPr>
            <w:r w:rsidRPr="00197178">
              <w:rPr>
                <w:rFonts w:ascii="Arial" w:hAnsi="Arial" w:cs="Arial"/>
                <w:color w:val="000066"/>
                <w:sz w:val="16"/>
                <w:szCs w:val="16"/>
              </w:rPr>
              <w:t>€</w:t>
            </w:r>
            <w:r w:rsidR="00C51A77">
              <w:rPr>
                <w:rFonts w:ascii="Arial" w:hAnsi="Arial" w:cs="Arial"/>
                <w:color w:val="000066"/>
                <w:sz w:val="16"/>
                <w:szCs w:val="16"/>
              </w:rPr>
              <w:t>298</w:t>
            </w:r>
            <w:r w:rsidRPr="00197178">
              <w:rPr>
                <w:rFonts w:ascii="Arial" w:hAnsi="Arial" w:cs="Arial"/>
                <w:color w:val="000066"/>
                <w:sz w:val="16"/>
                <w:szCs w:val="16"/>
              </w:rPr>
              <w:t>εκ.</w:t>
            </w:r>
          </w:p>
        </w:tc>
        <w:tc>
          <w:tcPr>
            <w:tcW w:w="1134" w:type="dxa"/>
            <w:shd w:val="clear" w:color="auto" w:fill="F1F3F5"/>
            <w:vAlign w:val="center"/>
          </w:tcPr>
          <w:p w:rsidR="006145CC" w:rsidRDefault="006145CC" w:rsidP="00827CAD">
            <w:pPr>
              <w:jc w:val="center"/>
            </w:pPr>
            <w:r w:rsidRPr="00197178">
              <w:rPr>
                <w:rFonts w:ascii="Arial" w:hAnsi="Arial" w:cs="Arial"/>
                <w:color w:val="000066"/>
                <w:sz w:val="16"/>
                <w:szCs w:val="16"/>
              </w:rPr>
              <w:t>€</w:t>
            </w:r>
            <w:r w:rsidR="00C51A77">
              <w:rPr>
                <w:rFonts w:ascii="Arial" w:hAnsi="Arial" w:cs="Arial"/>
                <w:color w:val="000066"/>
                <w:sz w:val="16"/>
                <w:szCs w:val="16"/>
              </w:rPr>
              <w:t>244</w:t>
            </w:r>
            <w:r w:rsidRPr="00197178">
              <w:rPr>
                <w:rFonts w:ascii="Arial" w:hAnsi="Arial" w:cs="Arial"/>
                <w:color w:val="000066"/>
                <w:sz w:val="16"/>
                <w:szCs w:val="16"/>
              </w:rPr>
              <w:t>εκ.</w:t>
            </w:r>
          </w:p>
        </w:tc>
        <w:tc>
          <w:tcPr>
            <w:tcW w:w="1134" w:type="dxa"/>
            <w:shd w:val="clear" w:color="auto" w:fill="F1F3F5"/>
            <w:vAlign w:val="center"/>
          </w:tcPr>
          <w:p w:rsidR="006145CC" w:rsidRPr="00BA0DD9" w:rsidRDefault="00C51A77" w:rsidP="00827CAD">
            <w:pPr>
              <w:widowControl w:val="0"/>
              <w:jc w:val="center"/>
              <w:rPr>
                <w:rFonts w:ascii="Arial" w:hAnsi="Arial" w:cs="Arial"/>
                <w:color w:val="000066"/>
                <w:sz w:val="16"/>
                <w:szCs w:val="16"/>
              </w:rPr>
            </w:pPr>
            <w:r>
              <w:rPr>
                <w:rFonts w:ascii="Arial" w:hAnsi="Arial" w:cs="Arial"/>
                <w:color w:val="000066"/>
                <w:sz w:val="16"/>
                <w:szCs w:val="16"/>
              </w:rPr>
              <w:t>22,2</w:t>
            </w:r>
            <w:r w:rsidR="006145CC">
              <w:rPr>
                <w:rFonts w:ascii="Arial" w:hAnsi="Arial" w:cs="Arial"/>
                <w:color w:val="000066"/>
                <w:sz w:val="16"/>
                <w:szCs w:val="16"/>
              </w:rPr>
              <w:t>%</w:t>
            </w:r>
          </w:p>
        </w:tc>
      </w:tr>
      <w:tr w:rsidR="006145CC" w:rsidRPr="002A1856" w:rsidTr="006C7FDB">
        <w:trPr>
          <w:trHeight w:hRule="exact" w:val="340"/>
        </w:trPr>
        <w:tc>
          <w:tcPr>
            <w:tcW w:w="2988" w:type="dxa"/>
            <w:tcMar>
              <w:top w:w="58" w:type="dxa"/>
              <w:left w:w="58" w:type="dxa"/>
              <w:bottom w:w="58" w:type="dxa"/>
              <w:right w:w="58" w:type="dxa"/>
            </w:tcMar>
            <w:vAlign w:val="center"/>
          </w:tcPr>
          <w:p w:rsidR="006145CC" w:rsidRPr="00B915BB" w:rsidRDefault="006145CC" w:rsidP="00C53ADE">
            <w:pPr>
              <w:widowControl w:val="0"/>
              <w:rPr>
                <w:rFonts w:ascii="Arial" w:hAnsi="Arial" w:cs="Arial"/>
                <w:color w:val="000080"/>
                <w:sz w:val="16"/>
                <w:szCs w:val="16"/>
              </w:rPr>
            </w:pPr>
            <w:r w:rsidRPr="00B915BB">
              <w:rPr>
                <w:rFonts w:ascii="Arial" w:hAnsi="Arial" w:cs="Arial"/>
                <w:color w:val="000080"/>
                <w:sz w:val="16"/>
                <w:szCs w:val="16"/>
              </w:rPr>
              <w:t>Λειτουργικά Έσοδα</w:t>
            </w:r>
          </w:p>
        </w:tc>
        <w:tc>
          <w:tcPr>
            <w:tcW w:w="1134" w:type="dxa"/>
            <w:vAlign w:val="center"/>
          </w:tcPr>
          <w:p w:rsidR="006145CC" w:rsidRDefault="006145CC" w:rsidP="0044421C">
            <w:pPr>
              <w:jc w:val="center"/>
            </w:pPr>
            <w:r>
              <w:rPr>
                <w:rFonts w:ascii="Arial" w:hAnsi="Arial" w:cs="Arial"/>
                <w:color w:val="000066"/>
                <w:sz w:val="16"/>
                <w:szCs w:val="16"/>
              </w:rPr>
              <w:t>€526</w:t>
            </w:r>
            <w:r w:rsidRPr="00197178">
              <w:rPr>
                <w:rFonts w:ascii="Arial" w:hAnsi="Arial" w:cs="Arial"/>
                <w:color w:val="000066"/>
                <w:sz w:val="16"/>
                <w:szCs w:val="16"/>
              </w:rPr>
              <w:t>εκ.</w:t>
            </w:r>
          </w:p>
        </w:tc>
        <w:tc>
          <w:tcPr>
            <w:tcW w:w="1134" w:type="dxa"/>
            <w:vAlign w:val="center"/>
          </w:tcPr>
          <w:p w:rsidR="006145CC" w:rsidRDefault="006145CC" w:rsidP="00827CAD">
            <w:pPr>
              <w:jc w:val="center"/>
            </w:pPr>
            <w:r>
              <w:rPr>
                <w:rFonts w:ascii="Arial" w:hAnsi="Arial" w:cs="Arial"/>
                <w:color w:val="000066"/>
                <w:sz w:val="16"/>
                <w:szCs w:val="16"/>
              </w:rPr>
              <w:t>€49</w:t>
            </w:r>
            <w:r>
              <w:rPr>
                <w:rFonts w:ascii="Arial" w:hAnsi="Arial" w:cs="Arial"/>
                <w:color w:val="000066"/>
                <w:sz w:val="16"/>
                <w:szCs w:val="16"/>
                <w:lang w:val="en-GB"/>
              </w:rPr>
              <w:t>7</w:t>
            </w:r>
            <w:r w:rsidRPr="00197178">
              <w:rPr>
                <w:rFonts w:ascii="Arial" w:hAnsi="Arial" w:cs="Arial"/>
                <w:color w:val="000066"/>
                <w:sz w:val="16"/>
                <w:szCs w:val="16"/>
              </w:rPr>
              <w:t>εκ.</w:t>
            </w:r>
          </w:p>
        </w:tc>
        <w:tc>
          <w:tcPr>
            <w:tcW w:w="993" w:type="dxa"/>
            <w:vAlign w:val="center"/>
          </w:tcPr>
          <w:p w:rsidR="006145CC" w:rsidRDefault="006145CC" w:rsidP="006145CC">
            <w:pPr>
              <w:jc w:val="center"/>
            </w:pPr>
            <w:r>
              <w:rPr>
                <w:rFonts w:ascii="Arial" w:hAnsi="Arial" w:cs="Arial"/>
                <w:color w:val="000066"/>
                <w:sz w:val="16"/>
                <w:szCs w:val="16"/>
              </w:rPr>
              <w:t>5,9</w:t>
            </w:r>
            <w:r w:rsidRPr="008D43B6">
              <w:rPr>
                <w:rFonts w:ascii="Arial" w:hAnsi="Arial" w:cs="Arial"/>
                <w:color w:val="000066"/>
                <w:sz w:val="16"/>
                <w:szCs w:val="16"/>
              </w:rPr>
              <w:t>%</w:t>
            </w:r>
          </w:p>
        </w:tc>
        <w:tc>
          <w:tcPr>
            <w:tcW w:w="1134" w:type="dxa"/>
            <w:vAlign w:val="center"/>
          </w:tcPr>
          <w:p w:rsidR="006145CC" w:rsidRDefault="006145CC" w:rsidP="0044421C">
            <w:pPr>
              <w:jc w:val="center"/>
            </w:pPr>
            <w:r>
              <w:rPr>
                <w:rFonts w:ascii="Arial" w:hAnsi="Arial" w:cs="Arial"/>
                <w:color w:val="000066"/>
                <w:sz w:val="16"/>
                <w:szCs w:val="16"/>
              </w:rPr>
              <w:t>€</w:t>
            </w:r>
            <w:r w:rsidR="00C51A77">
              <w:rPr>
                <w:rFonts w:ascii="Arial" w:hAnsi="Arial" w:cs="Arial"/>
                <w:color w:val="000066"/>
                <w:sz w:val="16"/>
                <w:szCs w:val="16"/>
              </w:rPr>
              <w:t>2.063</w:t>
            </w:r>
            <w:r w:rsidRPr="00197178">
              <w:rPr>
                <w:rFonts w:ascii="Arial" w:hAnsi="Arial" w:cs="Arial"/>
                <w:color w:val="000066"/>
                <w:sz w:val="16"/>
                <w:szCs w:val="16"/>
              </w:rPr>
              <w:t>εκ.</w:t>
            </w:r>
          </w:p>
        </w:tc>
        <w:tc>
          <w:tcPr>
            <w:tcW w:w="1134" w:type="dxa"/>
            <w:vAlign w:val="center"/>
          </w:tcPr>
          <w:p w:rsidR="006145CC" w:rsidRDefault="006145CC" w:rsidP="00827CAD">
            <w:pPr>
              <w:jc w:val="center"/>
            </w:pPr>
            <w:r>
              <w:rPr>
                <w:rFonts w:ascii="Arial" w:hAnsi="Arial" w:cs="Arial"/>
                <w:color w:val="000066"/>
                <w:sz w:val="16"/>
                <w:szCs w:val="16"/>
              </w:rPr>
              <w:t>€</w:t>
            </w:r>
            <w:r w:rsidR="00C51A77">
              <w:rPr>
                <w:rFonts w:ascii="Arial" w:hAnsi="Arial" w:cs="Arial"/>
                <w:color w:val="000066"/>
                <w:sz w:val="16"/>
                <w:szCs w:val="16"/>
              </w:rPr>
              <w:t>1.761</w:t>
            </w:r>
            <w:r w:rsidRPr="00197178">
              <w:rPr>
                <w:rFonts w:ascii="Arial" w:hAnsi="Arial" w:cs="Arial"/>
                <w:color w:val="000066"/>
                <w:sz w:val="16"/>
                <w:szCs w:val="16"/>
              </w:rPr>
              <w:t>εκ.</w:t>
            </w:r>
          </w:p>
        </w:tc>
        <w:tc>
          <w:tcPr>
            <w:tcW w:w="1134" w:type="dxa"/>
            <w:vAlign w:val="center"/>
          </w:tcPr>
          <w:p w:rsidR="006145CC" w:rsidRDefault="00C51A77" w:rsidP="00827CAD">
            <w:pPr>
              <w:jc w:val="center"/>
            </w:pPr>
            <w:r>
              <w:rPr>
                <w:rFonts w:ascii="Arial" w:hAnsi="Arial" w:cs="Arial"/>
                <w:color w:val="000066"/>
                <w:sz w:val="16"/>
                <w:szCs w:val="16"/>
              </w:rPr>
              <w:t>17,1</w:t>
            </w:r>
            <w:r w:rsidR="006145CC" w:rsidRPr="008D43B6">
              <w:rPr>
                <w:rFonts w:ascii="Arial" w:hAnsi="Arial" w:cs="Arial"/>
                <w:color w:val="000066"/>
                <w:sz w:val="16"/>
                <w:szCs w:val="16"/>
              </w:rPr>
              <w:t>%</w:t>
            </w:r>
          </w:p>
        </w:tc>
      </w:tr>
      <w:tr w:rsidR="006145CC" w:rsidRPr="002A1856" w:rsidTr="006C7FDB">
        <w:trPr>
          <w:trHeight w:hRule="exact" w:val="340"/>
        </w:trPr>
        <w:tc>
          <w:tcPr>
            <w:tcW w:w="2988" w:type="dxa"/>
            <w:shd w:val="clear" w:color="auto" w:fill="F1F3F5"/>
            <w:tcMar>
              <w:top w:w="58" w:type="dxa"/>
              <w:left w:w="58" w:type="dxa"/>
              <w:bottom w:w="58" w:type="dxa"/>
              <w:right w:w="58" w:type="dxa"/>
            </w:tcMar>
            <w:vAlign w:val="center"/>
          </w:tcPr>
          <w:p w:rsidR="006145CC" w:rsidRPr="00CF0B64" w:rsidRDefault="006145CC" w:rsidP="00C53ADE">
            <w:pPr>
              <w:widowControl w:val="0"/>
              <w:rPr>
                <w:rFonts w:ascii="Arial" w:hAnsi="Arial" w:cs="Arial"/>
                <w:color w:val="000080"/>
                <w:sz w:val="16"/>
                <w:szCs w:val="16"/>
              </w:rPr>
            </w:pPr>
            <w:r w:rsidRPr="00CF0B64">
              <w:rPr>
                <w:rFonts w:ascii="Arial" w:hAnsi="Arial" w:cs="Arial"/>
                <w:color w:val="000080"/>
                <w:sz w:val="16"/>
                <w:szCs w:val="16"/>
              </w:rPr>
              <w:t>Λειτουργικά Έξοδα</w:t>
            </w:r>
          </w:p>
        </w:tc>
        <w:tc>
          <w:tcPr>
            <w:tcW w:w="1134" w:type="dxa"/>
            <w:shd w:val="clear" w:color="auto" w:fill="F1F3F5"/>
            <w:vAlign w:val="center"/>
          </w:tcPr>
          <w:p w:rsidR="006145CC" w:rsidRPr="00CF0B64" w:rsidRDefault="006145CC" w:rsidP="0044421C">
            <w:pPr>
              <w:jc w:val="center"/>
            </w:pPr>
            <w:r w:rsidRPr="00CF0B64">
              <w:rPr>
                <w:rFonts w:ascii="Arial" w:hAnsi="Arial" w:cs="Arial"/>
                <w:color w:val="000066"/>
                <w:sz w:val="16"/>
                <w:szCs w:val="16"/>
              </w:rPr>
              <w:t>€242εκ.</w:t>
            </w:r>
          </w:p>
        </w:tc>
        <w:tc>
          <w:tcPr>
            <w:tcW w:w="1134" w:type="dxa"/>
            <w:shd w:val="clear" w:color="auto" w:fill="F1F3F5"/>
            <w:vAlign w:val="center"/>
          </w:tcPr>
          <w:p w:rsidR="006145CC" w:rsidRPr="00CF0B64" w:rsidRDefault="006145CC" w:rsidP="00827CAD">
            <w:pPr>
              <w:jc w:val="center"/>
            </w:pPr>
            <w:r w:rsidRPr="00CF0B64">
              <w:rPr>
                <w:rFonts w:ascii="Arial" w:hAnsi="Arial" w:cs="Arial"/>
                <w:color w:val="000066"/>
                <w:sz w:val="16"/>
                <w:szCs w:val="16"/>
              </w:rPr>
              <w:t>€247εκ.</w:t>
            </w:r>
          </w:p>
        </w:tc>
        <w:tc>
          <w:tcPr>
            <w:tcW w:w="993" w:type="dxa"/>
            <w:shd w:val="clear" w:color="auto" w:fill="F1F3F5"/>
            <w:vAlign w:val="center"/>
          </w:tcPr>
          <w:p w:rsidR="006145CC" w:rsidRPr="00CF0B64" w:rsidRDefault="006145CC" w:rsidP="006145CC">
            <w:pPr>
              <w:jc w:val="center"/>
            </w:pPr>
            <w:r w:rsidRPr="00CF0B64">
              <w:rPr>
                <w:rFonts w:ascii="Arial" w:hAnsi="Arial" w:cs="Arial"/>
                <w:color w:val="000066"/>
                <w:sz w:val="16"/>
                <w:szCs w:val="16"/>
              </w:rPr>
              <w:t>(2,1%)</w:t>
            </w:r>
          </w:p>
        </w:tc>
        <w:tc>
          <w:tcPr>
            <w:tcW w:w="1134" w:type="dxa"/>
            <w:shd w:val="clear" w:color="auto" w:fill="F1F3F5"/>
            <w:vAlign w:val="center"/>
          </w:tcPr>
          <w:p w:rsidR="006145CC" w:rsidRPr="00CF0B64" w:rsidRDefault="006145CC" w:rsidP="0044421C">
            <w:pPr>
              <w:jc w:val="center"/>
            </w:pPr>
            <w:r w:rsidRPr="00CF0B64">
              <w:rPr>
                <w:rFonts w:ascii="Arial" w:hAnsi="Arial" w:cs="Arial"/>
                <w:color w:val="000066"/>
                <w:sz w:val="16"/>
                <w:szCs w:val="16"/>
              </w:rPr>
              <w:t>€</w:t>
            </w:r>
            <w:r w:rsidR="00C51A77" w:rsidRPr="00CF0B64">
              <w:rPr>
                <w:rFonts w:ascii="Arial" w:hAnsi="Arial" w:cs="Arial"/>
                <w:color w:val="000066"/>
                <w:sz w:val="16"/>
                <w:szCs w:val="16"/>
              </w:rPr>
              <w:t>992</w:t>
            </w:r>
            <w:r w:rsidRPr="00CF0B64">
              <w:rPr>
                <w:rFonts w:ascii="Arial" w:hAnsi="Arial" w:cs="Arial"/>
                <w:color w:val="000066"/>
                <w:sz w:val="16"/>
                <w:szCs w:val="16"/>
              </w:rPr>
              <w:t>εκ.</w:t>
            </w:r>
          </w:p>
        </w:tc>
        <w:tc>
          <w:tcPr>
            <w:tcW w:w="1134" w:type="dxa"/>
            <w:shd w:val="clear" w:color="auto" w:fill="F1F3F5"/>
            <w:vAlign w:val="center"/>
          </w:tcPr>
          <w:p w:rsidR="006145CC" w:rsidRPr="00CF0B64" w:rsidRDefault="006145CC" w:rsidP="00827CAD">
            <w:pPr>
              <w:jc w:val="center"/>
            </w:pPr>
            <w:r w:rsidRPr="00CF0B64">
              <w:rPr>
                <w:rFonts w:ascii="Arial" w:hAnsi="Arial" w:cs="Arial"/>
                <w:color w:val="000066"/>
                <w:sz w:val="16"/>
                <w:szCs w:val="16"/>
              </w:rPr>
              <w:t>€</w:t>
            </w:r>
            <w:r w:rsidR="00CF0B64">
              <w:rPr>
                <w:rFonts w:ascii="Arial" w:hAnsi="Arial" w:cs="Arial"/>
                <w:color w:val="000066"/>
                <w:sz w:val="16"/>
                <w:szCs w:val="16"/>
              </w:rPr>
              <w:t>1.034</w:t>
            </w:r>
            <w:r w:rsidRPr="00CF0B64">
              <w:rPr>
                <w:rFonts w:ascii="Arial" w:hAnsi="Arial" w:cs="Arial"/>
                <w:color w:val="000066"/>
                <w:sz w:val="16"/>
                <w:szCs w:val="16"/>
              </w:rPr>
              <w:t>εκ</w:t>
            </w:r>
            <w:r w:rsidR="00CF0B64">
              <w:rPr>
                <w:rFonts w:ascii="Arial" w:hAnsi="Arial" w:cs="Arial"/>
                <w:color w:val="000066"/>
                <w:sz w:val="16"/>
                <w:szCs w:val="16"/>
              </w:rPr>
              <w:t>.</w:t>
            </w:r>
            <w:r w:rsidR="00CF0B64" w:rsidRPr="00CF0B64">
              <w:rPr>
                <w:rStyle w:val="a7"/>
                <w:rFonts w:ascii="Arial" w:hAnsi="Arial" w:cs="Arial"/>
                <w:color w:val="000080"/>
                <w:sz w:val="16"/>
                <w:szCs w:val="18"/>
              </w:rPr>
              <w:t>5</w:t>
            </w:r>
          </w:p>
        </w:tc>
        <w:tc>
          <w:tcPr>
            <w:tcW w:w="1134" w:type="dxa"/>
            <w:shd w:val="clear" w:color="auto" w:fill="F1F3F5"/>
            <w:vAlign w:val="center"/>
          </w:tcPr>
          <w:p w:rsidR="006145CC" w:rsidRPr="00CF0B64" w:rsidRDefault="00C51A77" w:rsidP="00CF0B64">
            <w:pPr>
              <w:jc w:val="center"/>
            </w:pPr>
            <w:r w:rsidRPr="00CF0B64">
              <w:rPr>
                <w:rFonts w:ascii="Arial" w:hAnsi="Arial" w:cs="Arial"/>
                <w:color w:val="000066"/>
                <w:sz w:val="16"/>
                <w:szCs w:val="16"/>
              </w:rPr>
              <w:t>(4</w:t>
            </w:r>
            <w:r w:rsidR="00CF0B64">
              <w:rPr>
                <w:rFonts w:ascii="Arial" w:hAnsi="Arial" w:cs="Arial"/>
                <w:color w:val="000066"/>
                <w:sz w:val="16"/>
                <w:szCs w:val="16"/>
              </w:rPr>
              <w:t>,0</w:t>
            </w:r>
            <w:r w:rsidR="006145CC" w:rsidRPr="00CF0B64">
              <w:rPr>
                <w:rFonts w:ascii="Arial" w:hAnsi="Arial" w:cs="Arial"/>
                <w:color w:val="000066"/>
                <w:sz w:val="16"/>
                <w:szCs w:val="16"/>
              </w:rPr>
              <w:t>%</w:t>
            </w:r>
            <w:r w:rsidRPr="00CF0B64">
              <w:rPr>
                <w:rFonts w:ascii="Arial" w:hAnsi="Arial" w:cs="Arial"/>
                <w:color w:val="000066"/>
                <w:sz w:val="16"/>
                <w:szCs w:val="16"/>
              </w:rPr>
              <w:t>)</w:t>
            </w:r>
          </w:p>
        </w:tc>
      </w:tr>
      <w:tr w:rsidR="006145CC" w:rsidRPr="002A1856" w:rsidTr="006C7FDB">
        <w:trPr>
          <w:trHeight w:hRule="exact" w:val="340"/>
        </w:trPr>
        <w:tc>
          <w:tcPr>
            <w:tcW w:w="2988" w:type="dxa"/>
            <w:shd w:val="clear" w:color="auto" w:fill="F1F3F5"/>
            <w:tcMar>
              <w:top w:w="58" w:type="dxa"/>
              <w:left w:w="58" w:type="dxa"/>
              <w:bottom w:w="58" w:type="dxa"/>
              <w:right w:w="58" w:type="dxa"/>
            </w:tcMar>
            <w:vAlign w:val="center"/>
          </w:tcPr>
          <w:p w:rsidR="006145CC" w:rsidRDefault="006145CC" w:rsidP="004A4648">
            <w:pPr>
              <w:widowControl w:val="0"/>
              <w:rPr>
                <w:rFonts w:ascii="Arial" w:hAnsi="Arial" w:cs="Arial"/>
                <w:color w:val="000080"/>
                <w:sz w:val="16"/>
                <w:szCs w:val="16"/>
              </w:rPr>
            </w:pPr>
            <w:r>
              <w:rPr>
                <w:rFonts w:ascii="Arial" w:hAnsi="Arial" w:cs="Arial"/>
                <w:color w:val="000080"/>
                <w:sz w:val="16"/>
                <w:szCs w:val="16"/>
              </w:rPr>
              <w:t>Οργανικά Κέρδη</w:t>
            </w:r>
            <w:r w:rsidRPr="00B915BB">
              <w:rPr>
                <w:rFonts w:ascii="Arial" w:hAnsi="Arial" w:cs="Arial"/>
                <w:color w:val="000080"/>
                <w:sz w:val="16"/>
                <w:szCs w:val="16"/>
              </w:rPr>
              <w:t xml:space="preserve"> προ Προβλέψεων</w:t>
            </w:r>
            <w:r>
              <w:rPr>
                <w:rFonts w:ascii="Arial" w:hAnsi="Arial" w:cs="Arial"/>
                <w:color w:val="000080"/>
                <w:sz w:val="16"/>
                <w:szCs w:val="16"/>
              </w:rPr>
              <w:t xml:space="preserve"> </w:t>
            </w:r>
          </w:p>
        </w:tc>
        <w:tc>
          <w:tcPr>
            <w:tcW w:w="1134" w:type="dxa"/>
            <w:shd w:val="clear" w:color="auto" w:fill="F1F3F5"/>
            <w:vAlign w:val="center"/>
          </w:tcPr>
          <w:p w:rsidR="006145CC" w:rsidRDefault="006145CC" w:rsidP="0044421C">
            <w:pPr>
              <w:jc w:val="center"/>
              <w:rPr>
                <w:rFonts w:ascii="Arial" w:hAnsi="Arial" w:cs="Arial"/>
                <w:color w:val="000066"/>
                <w:sz w:val="16"/>
                <w:szCs w:val="16"/>
              </w:rPr>
            </w:pPr>
            <w:r>
              <w:rPr>
                <w:rFonts w:ascii="Arial" w:hAnsi="Arial" w:cs="Arial"/>
                <w:color w:val="000066"/>
                <w:sz w:val="16"/>
                <w:szCs w:val="16"/>
              </w:rPr>
              <w:t>€</w:t>
            </w:r>
            <w:r w:rsidR="009F6559">
              <w:rPr>
                <w:rFonts w:ascii="Arial" w:hAnsi="Arial" w:cs="Arial"/>
                <w:color w:val="000066"/>
                <w:sz w:val="16"/>
                <w:szCs w:val="16"/>
              </w:rPr>
              <w:t>229</w:t>
            </w:r>
            <w:r w:rsidRPr="00197178">
              <w:rPr>
                <w:rFonts w:ascii="Arial" w:hAnsi="Arial" w:cs="Arial"/>
                <w:color w:val="000066"/>
                <w:sz w:val="16"/>
                <w:szCs w:val="16"/>
              </w:rPr>
              <w:t>εκ</w:t>
            </w:r>
            <w:r>
              <w:rPr>
                <w:rFonts w:ascii="Arial" w:hAnsi="Arial" w:cs="Arial"/>
                <w:color w:val="000066"/>
                <w:sz w:val="16"/>
                <w:szCs w:val="16"/>
              </w:rPr>
              <w:t>.</w:t>
            </w:r>
          </w:p>
        </w:tc>
        <w:tc>
          <w:tcPr>
            <w:tcW w:w="1134" w:type="dxa"/>
            <w:shd w:val="clear" w:color="auto" w:fill="F1F3F5"/>
            <w:vAlign w:val="center"/>
          </w:tcPr>
          <w:p w:rsidR="006145CC" w:rsidRDefault="006145CC" w:rsidP="00827CAD">
            <w:pPr>
              <w:jc w:val="center"/>
              <w:rPr>
                <w:rFonts w:ascii="Arial" w:hAnsi="Arial" w:cs="Arial"/>
                <w:color w:val="000066"/>
                <w:sz w:val="16"/>
                <w:szCs w:val="16"/>
              </w:rPr>
            </w:pPr>
            <w:r>
              <w:rPr>
                <w:rFonts w:ascii="Arial" w:hAnsi="Arial" w:cs="Arial"/>
                <w:color w:val="000066"/>
                <w:sz w:val="16"/>
                <w:szCs w:val="16"/>
              </w:rPr>
              <w:t>€218</w:t>
            </w:r>
            <w:r w:rsidRPr="00197178">
              <w:rPr>
                <w:rFonts w:ascii="Arial" w:hAnsi="Arial" w:cs="Arial"/>
                <w:color w:val="000066"/>
                <w:sz w:val="16"/>
                <w:szCs w:val="16"/>
              </w:rPr>
              <w:t>εκ</w:t>
            </w:r>
            <w:r>
              <w:rPr>
                <w:rFonts w:ascii="Arial" w:hAnsi="Arial" w:cs="Arial"/>
                <w:color w:val="000066"/>
                <w:sz w:val="16"/>
                <w:szCs w:val="16"/>
              </w:rPr>
              <w:t>.</w:t>
            </w:r>
          </w:p>
        </w:tc>
        <w:tc>
          <w:tcPr>
            <w:tcW w:w="993" w:type="dxa"/>
            <w:shd w:val="clear" w:color="auto" w:fill="F1F3F5"/>
            <w:vAlign w:val="center"/>
          </w:tcPr>
          <w:p w:rsidR="006145CC" w:rsidRDefault="009F6559" w:rsidP="006145CC">
            <w:pPr>
              <w:jc w:val="center"/>
            </w:pPr>
            <w:r>
              <w:rPr>
                <w:rFonts w:ascii="Arial" w:hAnsi="Arial" w:cs="Arial"/>
                <w:color w:val="000066"/>
                <w:sz w:val="16"/>
                <w:szCs w:val="16"/>
              </w:rPr>
              <w:t>5,0</w:t>
            </w:r>
            <w:r w:rsidR="006145CC" w:rsidRPr="008D43B6">
              <w:rPr>
                <w:rFonts w:ascii="Arial" w:hAnsi="Arial" w:cs="Arial"/>
                <w:color w:val="000066"/>
                <w:sz w:val="16"/>
                <w:szCs w:val="16"/>
              </w:rPr>
              <w:t>%</w:t>
            </w:r>
          </w:p>
        </w:tc>
        <w:tc>
          <w:tcPr>
            <w:tcW w:w="1134" w:type="dxa"/>
            <w:shd w:val="clear" w:color="auto" w:fill="F1F3F5"/>
            <w:vAlign w:val="center"/>
          </w:tcPr>
          <w:p w:rsidR="006145CC" w:rsidRDefault="006145CC" w:rsidP="0044421C">
            <w:pPr>
              <w:jc w:val="center"/>
              <w:rPr>
                <w:rFonts w:ascii="Arial" w:hAnsi="Arial" w:cs="Arial"/>
                <w:color w:val="000066"/>
                <w:sz w:val="16"/>
                <w:szCs w:val="16"/>
              </w:rPr>
            </w:pPr>
            <w:r>
              <w:rPr>
                <w:rFonts w:ascii="Arial" w:hAnsi="Arial" w:cs="Arial"/>
                <w:color w:val="000066"/>
                <w:sz w:val="16"/>
                <w:szCs w:val="16"/>
              </w:rPr>
              <w:t>€</w:t>
            </w:r>
            <w:r w:rsidR="00C51A77">
              <w:rPr>
                <w:rFonts w:ascii="Arial" w:hAnsi="Arial" w:cs="Arial"/>
                <w:color w:val="000066"/>
                <w:sz w:val="16"/>
                <w:szCs w:val="16"/>
              </w:rPr>
              <w:t>854</w:t>
            </w:r>
            <w:r w:rsidRPr="00197178">
              <w:rPr>
                <w:rFonts w:ascii="Arial" w:hAnsi="Arial" w:cs="Arial"/>
                <w:color w:val="000066"/>
                <w:sz w:val="16"/>
                <w:szCs w:val="16"/>
              </w:rPr>
              <w:t>εκ</w:t>
            </w:r>
            <w:r>
              <w:rPr>
                <w:rFonts w:ascii="Arial" w:hAnsi="Arial" w:cs="Arial"/>
                <w:color w:val="000066"/>
                <w:sz w:val="16"/>
                <w:szCs w:val="16"/>
              </w:rPr>
              <w:t>.</w:t>
            </w:r>
          </w:p>
        </w:tc>
        <w:tc>
          <w:tcPr>
            <w:tcW w:w="1134" w:type="dxa"/>
            <w:shd w:val="clear" w:color="auto" w:fill="F1F3F5"/>
            <w:vAlign w:val="center"/>
          </w:tcPr>
          <w:p w:rsidR="006145CC" w:rsidRDefault="006145CC" w:rsidP="00827CAD">
            <w:pPr>
              <w:jc w:val="center"/>
              <w:rPr>
                <w:rFonts w:ascii="Arial" w:hAnsi="Arial" w:cs="Arial"/>
                <w:color w:val="000066"/>
                <w:sz w:val="16"/>
                <w:szCs w:val="16"/>
              </w:rPr>
            </w:pPr>
            <w:r>
              <w:rPr>
                <w:rFonts w:ascii="Arial" w:hAnsi="Arial" w:cs="Arial"/>
                <w:color w:val="000066"/>
                <w:sz w:val="16"/>
                <w:szCs w:val="16"/>
              </w:rPr>
              <w:t>€</w:t>
            </w:r>
            <w:r w:rsidR="00C51A77">
              <w:rPr>
                <w:rFonts w:ascii="Arial" w:hAnsi="Arial" w:cs="Arial"/>
                <w:color w:val="000066"/>
                <w:sz w:val="16"/>
                <w:szCs w:val="16"/>
              </w:rPr>
              <w:t>673</w:t>
            </w:r>
            <w:r w:rsidRPr="00197178">
              <w:rPr>
                <w:rFonts w:ascii="Arial" w:hAnsi="Arial" w:cs="Arial"/>
                <w:color w:val="000066"/>
                <w:sz w:val="16"/>
                <w:szCs w:val="16"/>
              </w:rPr>
              <w:t>εκ</w:t>
            </w:r>
            <w:r>
              <w:rPr>
                <w:rFonts w:ascii="Arial" w:hAnsi="Arial" w:cs="Arial"/>
                <w:color w:val="000066"/>
                <w:sz w:val="16"/>
                <w:szCs w:val="16"/>
              </w:rPr>
              <w:t>.</w:t>
            </w:r>
            <w:r w:rsidR="00CF0B64" w:rsidRPr="00CF0B64">
              <w:rPr>
                <w:rStyle w:val="a7"/>
                <w:rFonts w:ascii="Arial" w:hAnsi="Arial" w:cs="Arial"/>
                <w:color w:val="000080"/>
                <w:sz w:val="16"/>
                <w:szCs w:val="18"/>
              </w:rPr>
              <w:t>5</w:t>
            </w:r>
          </w:p>
        </w:tc>
        <w:tc>
          <w:tcPr>
            <w:tcW w:w="1134" w:type="dxa"/>
            <w:shd w:val="clear" w:color="auto" w:fill="F1F3F5"/>
            <w:vAlign w:val="center"/>
          </w:tcPr>
          <w:p w:rsidR="006145CC" w:rsidRDefault="00C51A77" w:rsidP="00827CAD">
            <w:pPr>
              <w:jc w:val="center"/>
            </w:pPr>
            <w:r>
              <w:rPr>
                <w:rFonts w:ascii="Arial" w:hAnsi="Arial" w:cs="Arial"/>
                <w:color w:val="000066"/>
                <w:sz w:val="16"/>
                <w:szCs w:val="16"/>
              </w:rPr>
              <w:t>26,8</w:t>
            </w:r>
            <w:r w:rsidR="006145CC" w:rsidRPr="008D43B6">
              <w:rPr>
                <w:rFonts w:ascii="Arial" w:hAnsi="Arial" w:cs="Arial"/>
                <w:color w:val="000066"/>
                <w:sz w:val="16"/>
                <w:szCs w:val="16"/>
              </w:rPr>
              <w:t>%</w:t>
            </w:r>
          </w:p>
        </w:tc>
      </w:tr>
      <w:tr w:rsidR="006145CC" w:rsidRPr="002A1856" w:rsidTr="006C7FDB">
        <w:trPr>
          <w:trHeight w:hRule="exact" w:val="340"/>
        </w:trPr>
        <w:tc>
          <w:tcPr>
            <w:tcW w:w="2988" w:type="dxa"/>
            <w:shd w:val="clear" w:color="auto" w:fill="F1F3F5"/>
            <w:tcMar>
              <w:top w:w="58" w:type="dxa"/>
              <w:left w:w="58" w:type="dxa"/>
              <w:bottom w:w="58" w:type="dxa"/>
              <w:right w:w="58" w:type="dxa"/>
            </w:tcMar>
            <w:vAlign w:val="center"/>
          </w:tcPr>
          <w:p w:rsidR="006145CC" w:rsidRPr="00CF0B64" w:rsidRDefault="006145CC" w:rsidP="00FD41C9">
            <w:pPr>
              <w:widowControl w:val="0"/>
              <w:rPr>
                <w:rFonts w:ascii="Arial" w:hAnsi="Arial" w:cs="Arial"/>
                <w:color w:val="000080"/>
                <w:sz w:val="16"/>
                <w:szCs w:val="16"/>
              </w:rPr>
            </w:pPr>
            <w:r w:rsidRPr="00CF0B64">
              <w:rPr>
                <w:rFonts w:ascii="Arial" w:hAnsi="Arial" w:cs="Arial"/>
                <w:color w:val="000080"/>
                <w:sz w:val="16"/>
                <w:szCs w:val="16"/>
              </w:rPr>
              <w:t xml:space="preserve">Κέρδη προ Προβλέψεων </w:t>
            </w:r>
          </w:p>
        </w:tc>
        <w:tc>
          <w:tcPr>
            <w:tcW w:w="1134" w:type="dxa"/>
            <w:shd w:val="clear" w:color="auto" w:fill="F1F3F5"/>
            <w:vAlign w:val="center"/>
          </w:tcPr>
          <w:p w:rsidR="006145CC" w:rsidRPr="00CF0B64" w:rsidRDefault="006145CC" w:rsidP="0044421C">
            <w:pPr>
              <w:jc w:val="center"/>
              <w:rPr>
                <w:rFonts w:ascii="Arial" w:hAnsi="Arial" w:cs="Arial"/>
                <w:color w:val="000066"/>
                <w:sz w:val="16"/>
                <w:szCs w:val="16"/>
              </w:rPr>
            </w:pPr>
            <w:r w:rsidRPr="00CF0B64">
              <w:rPr>
                <w:rFonts w:ascii="Arial" w:hAnsi="Arial" w:cs="Arial"/>
                <w:color w:val="000066"/>
                <w:sz w:val="16"/>
                <w:szCs w:val="16"/>
              </w:rPr>
              <w:t>€</w:t>
            </w:r>
            <w:r w:rsidR="009F6559" w:rsidRPr="00CF0B64">
              <w:rPr>
                <w:rFonts w:ascii="Arial" w:hAnsi="Arial" w:cs="Arial"/>
                <w:color w:val="000066"/>
                <w:sz w:val="16"/>
                <w:szCs w:val="16"/>
              </w:rPr>
              <w:t>284</w:t>
            </w:r>
            <w:r w:rsidRPr="00CF0B64">
              <w:rPr>
                <w:rFonts w:ascii="Arial" w:hAnsi="Arial" w:cs="Arial"/>
                <w:color w:val="000066"/>
                <w:sz w:val="16"/>
                <w:szCs w:val="16"/>
              </w:rPr>
              <w:t>εκ.</w:t>
            </w:r>
          </w:p>
        </w:tc>
        <w:tc>
          <w:tcPr>
            <w:tcW w:w="1134" w:type="dxa"/>
            <w:shd w:val="clear" w:color="auto" w:fill="F1F3F5"/>
            <w:vAlign w:val="center"/>
          </w:tcPr>
          <w:p w:rsidR="006145CC" w:rsidRPr="00CF0B64" w:rsidRDefault="006145CC" w:rsidP="00827CAD">
            <w:pPr>
              <w:jc w:val="center"/>
              <w:rPr>
                <w:rFonts w:ascii="Arial" w:hAnsi="Arial" w:cs="Arial"/>
                <w:color w:val="000066"/>
                <w:sz w:val="16"/>
                <w:szCs w:val="16"/>
              </w:rPr>
            </w:pPr>
            <w:r w:rsidRPr="00CF0B64">
              <w:rPr>
                <w:rFonts w:ascii="Arial" w:hAnsi="Arial" w:cs="Arial"/>
                <w:color w:val="000066"/>
                <w:sz w:val="16"/>
                <w:szCs w:val="16"/>
              </w:rPr>
              <w:t>€249εκ.</w:t>
            </w:r>
          </w:p>
        </w:tc>
        <w:tc>
          <w:tcPr>
            <w:tcW w:w="993" w:type="dxa"/>
            <w:shd w:val="clear" w:color="auto" w:fill="F1F3F5"/>
            <w:vAlign w:val="center"/>
          </w:tcPr>
          <w:p w:rsidR="006145CC" w:rsidRPr="00CF0B64" w:rsidRDefault="009F6559" w:rsidP="006145CC">
            <w:pPr>
              <w:jc w:val="center"/>
            </w:pPr>
            <w:r w:rsidRPr="00CF0B64">
              <w:rPr>
                <w:rFonts w:ascii="Arial" w:hAnsi="Arial" w:cs="Arial"/>
                <w:color w:val="000066"/>
                <w:sz w:val="16"/>
                <w:szCs w:val="16"/>
              </w:rPr>
              <w:t>13,9</w:t>
            </w:r>
            <w:r w:rsidR="006145CC" w:rsidRPr="00CF0B64">
              <w:rPr>
                <w:rFonts w:ascii="Arial" w:hAnsi="Arial" w:cs="Arial"/>
                <w:color w:val="000066"/>
                <w:sz w:val="16"/>
                <w:szCs w:val="16"/>
              </w:rPr>
              <w:t>%</w:t>
            </w:r>
          </w:p>
        </w:tc>
        <w:tc>
          <w:tcPr>
            <w:tcW w:w="1134" w:type="dxa"/>
            <w:shd w:val="clear" w:color="auto" w:fill="F1F3F5"/>
            <w:vAlign w:val="center"/>
          </w:tcPr>
          <w:p w:rsidR="006145CC" w:rsidRPr="00CF0B64" w:rsidRDefault="006145CC" w:rsidP="0044421C">
            <w:pPr>
              <w:jc w:val="center"/>
              <w:rPr>
                <w:rFonts w:ascii="Arial" w:hAnsi="Arial" w:cs="Arial"/>
                <w:color w:val="000066"/>
                <w:sz w:val="16"/>
                <w:szCs w:val="16"/>
              </w:rPr>
            </w:pPr>
            <w:r w:rsidRPr="00CF0B64">
              <w:rPr>
                <w:rFonts w:ascii="Arial" w:hAnsi="Arial" w:cs="Arial"/>
                <w:color w:val="000066"/>
                <w:sz w:val="16"/>
                <w:szCs w:val="16"/>
              </w:rPr>
              <w:t>€</w:t>
            </w:r>
            <w:r w:rsidR="00C51A77" w:rsidRPr="00CF0B64">
              <w:rPr>
                <w:rFonts w:ascii="Arial" w:hAnsi="Arial" w:cs="Arial"/>
                <w:color w:val="000066"/>
                <w:sz w:val="16"/>
                <w:szCs w:val="16"/>
              </w:rPr>
              <w:t>1.071</w:t>
            </w:r>
            <w:r w:rsidRPr="00CF0B64">
              <w:rPr>
                <w:rFonts w:ascii="Arial" w:hAnsi="Arial" w:cs="Arial"/>
                <w:color w:val="000066"/>
                <w:sz w:val="16"/>
                <w:szCs w:val="16"/>
              </w:rPr>
              <w:t>εκ.</w:t>
            </w:r>
          </w:p>
        </w:tc>
        <w:tc>
          <w:tcPr>
            <w:tcW w:w="1134" w:type="dxa"/>
            <w:shd w:val="clear" w:color="auto" w:fill="F1F3F5"/>
            <w:vAlign w:val="center"/>
          </w:tcPr>
          <w:p w:rsidR="006145CC" w:rsidRPr="00CF0B64" w:rsidRDefault="006145CC" w:rsidP="00827CAD">
            <w:pPr>
              <w:jc w:val="center"/>
              <w:rPr>
                <w:rFonts w:ascii="Arial" w:hAnsi="Arial" w:cs="Arial"/>
                <w:color w:val="000066"/>
                <w:sz w:val="16"/>
                <w:szCs w:val="16"/>
              </w:rPr>
            </w:pPr>
            <w:r w:rsidRPr="00CF0B64">
              <w:rPr>
                <w:rFonts w:ascii="Arial" w:hAnsi="Arial" w:cs="Arial"/>
                <w:color w:val="000066"/>
                <w:sz w:val="16"/>
                <w:szCs w:val="16"/>
              </w:rPr>
              <w:t>€</w:t>
            </w:r>
            <w:r w:rsidR="00CF0B64">
              <w:rPr>
                <w:rFonts w:ascii="Arial" w:hAnsi="Arial" w:cs="Arial"/>
                <w:color w:val="000066"/>
                <w:sz w:val="16"/>
                <w:szCs w:val="16"/>
              </w:rPr>
              <w:t>728</w:t>
            </w:r>
            <w:r w:rsidRPr="00CF0B64">
              <w:rPr>
                <w:rFonts w:ascii="Arial" w:hAnsi="Arial" w:cs="Arial"/>
                <w:color w:val="000066"/>
                <w:sz w:val="16"/>
                <w:szCs w:val="16"/>
              </w:rPr>
              <w:t>εκ.</w:t>
            </w:r>
            <w:r w:rsidR="00CF0B64" w:rsidRPr="00CF0B64">
              <w:rPr>
                <w:rStyle w:val="a7"/>
                <w:rFonts w:ascii="Arial" w:hAnsi="Arial" w:cs="Arial"/>
                <w:color w:val="000080"/>
                <w:sz w:val="16"/>
                <w:szCs w:val="18"/>
              </w:rPr>
              <w:t>5</w:t>
            </w:r>
          </w:p>
        </w:tc>
        <w:tc>
          <w:tcPr>
            <w:tcW w:w="1134" w:type="dxa"/>
            <w:shd w:val="clear" w:color="auto" w:fill="F1F3F5"/>
            <w:vAlign w:val="center"/>
          </w:tcPr>
          <w:p w:rsidR="006145CC" w:rsidRPr="00CF0B64" w:rsidRDefault="00C51A77" w:rsidP="00CF0B64">
            <w:pPr>
              <w:jc w:val="center"/>
            </w:pPr>
            <w:r w:rsidRPr="00CF0B64">
              <w:rPr>
                <w:rFonts w:ascii="Arial" w:hAnsi="Arial" w:cs="Arial"/>
                <w:color w:val="000066"/>
                <w:sz w:val="16"/>
                <w:szCs w:val="16"/>
              </w:rPr>
              <w:t>4</w:t>
            </w:r>
            <w:r w:rsidR="00CF0B64">
              <w:rPr>
                <w:rFonts w:ascii="Arial" w:hAnsi="Arial" w:cs="Arial"/>
                <w:color w:val="000066"/>
                <w:sz w:val="16"/>
                <w:szCs w:val="16"/>
              </w:rPr>
              <w:t>7,2</w:t>
            </w:r>
            <w:r w:rsidR="006145CC" w:rsidRPr="00CF0B64">
              <w:rPr>
                <w:rFonts w:ascii="Arial" w:hAnsi="Arial" w:cs="Arial"/>
                <w:color w:val="000066"/>
                <w:sz w:val="16"/>
                <w:szCs w:val="16"/>
              </w:rPr>
              <w:t>%</w:t>
            </w:r>
          </w:p>
        </w:tc>
      </w:tr>
      <w:tr w:rsidR="006145CC" w:rsidRPr="002A1856" w:rsidTr="006C7FDB">
        <w:trPr>
          <w:trHeight w:hRule="exact" w:val="340"/>
        </w:trPr>
        <w:tc>
          <w:tcPr>
            <w:tcW w:w="2988" w:type="dxa"/>
            <w:shd w:val="clear" w:color="auto" w:fill="F1F3F5"/>
            <w:tcMar>
              <w:top w:w="58" w:type="dxa"/>
              <w:left w:w="58" w:type="dxa"/>
              <w:bottom w:w="58" w:type="dxa"/>
              <w:right w:w="58" w:type="dxa"/>
            </w:tcMar>
            <w:vAlign w:val="center"/>
          </w:tcPr>
          <w:p w:rsidR="006145CC" w:rsidRPr="00CF0B64" w:rsidRDefault="006145CC" w:rsidP="005652E6">
            <w:pPr>
              <w:widowControl w:val="0"/>
              <w:rPr>
                <w:rFonts w:ascii="Arial" w:hAnsi="Arial" w:cs="Arial"/>
                <w:color w:val="000080"/>
                <w:sz w:val="16"/>
                <w:szCs w:val="16"/>
                <w:lang w:val="en-GB"/>
              </w:rPr>
            </w:pPr>
            <w:r w:rsidRPr="00CF0B64">
              <w:rPr>
                <w:rFonts w:ascii="Arial" w:hAnsi="Arial" w:cs="Arial"/>
                <w:color w:val="000080"/>
                <w:sz w:val="16"/>
                <w:szCs w:val="16"/>
              </w:rPr>
              <w:t>Προβλέψεις για Πιστωτικούς Κινδύνους</w:t>
            </w:r>
          </w:p>
        </w:tc>
        <w:tc>
          <w:tcPr>
            <w:tcW w:w="1134" w:type="dxa"/>
            <w:shd w:val="clear" w:color="auto" w:fill="F1F3F5"/>
            <w:vAlign w:val="center"/>
          </w:tcPr>
          <w:p w:rsidR="006145CC" w:rsidRPr="00CF0B64" w:rsidRDefault="006145CC" w:rsidP="0044421C">
            <w:pPr>
              <w:jc w:val="center"/>
            </w:pPr>
            <w:r w:rsidRPr="00CF0B64">
              <w:rPr>
                <w:rFonts w:ascii="Arial" w:hAnsi="Arial" w:cs="Arial"/>
                <w:color w:val="000066"/>
                <w:sz w:val="16"/>
                <w:szCs w:val="16"/>
              </w:rPr>
              <w:t>€</w:t>
            </w:r>
            <w:r w:rsidR="009F6559" w:rsidRPr="00CF0B64">
              <w:rPr>
                <w:rFonts w:ascii="Arial" w:hAnsi="Arial" w:cs="Arial"/>
                <w:color w:val="000066"/>
                <w:sz w:val="16"/>
                <w:szCs w:val="16"/>
              </w:rPr>
              <w:t>186</w:t>
            </w:r>
            <w:r w:rsidRPr="00CF0B64">
              <w:rPr>
                <w:rFonts w:ascii="Arial" w:hAnsi="Arial" w:cs="Arial"/>
                <w:color w:val="000066"/>
                <w:sz w:val="16"/>
                <w:szCs w:val="16"/>
              </w:rPr>
              <w:t>εκ.</w:t>
            </w:r>
          </w:p>
        </w:tc>
        <w:tc>
          <w:tcPr>
            <w:tcW w:w="1134" w:type="dxa"/>
            <w:shd w:val="clear" w:color="auto" w:fill="F1F3F5"/>
            <w:vAlign w:val="center"/>
          </w:tcPr>
          <w:p w:rsidR="006145CC" w:rsidRPr="00CF0B64" w:rsidRDefault="006145CC" w:rsidP="00827CAD">
            <w:pPr>
              <w:jc w:val="center"/>
            </w:pPr>
            <w:r w:rsidRPr="00CF0B64">
              <w:rPr>
                <w:rFonts w:ascii="Arial" w:hAnsi="Arial" w:cs="Arial"/>
                <w:color w:val="000066"/>
                <w:sz w:val="16"/>
                <w:szCs w:val="16"/>
              </w:rPr>
              <w:t>€191εκ.</w:t>
            </w:r>
          </w:p>
        </w:tc>
        <w:tc>
          <w:tcPr>
            <w:tcW w:w="993" w:type="dxa"/>
            <w:shd w:val="clear" w:color="auto" w:fill="F1F3F5"/>
            <w:vAlign w:val="center"/>
          </w:tcPr>
          <w:p w:rsidR="006145CC" w:rsidRPr="00CF0B64" w:rsidRDefault="009F6559" w:rsidP="006145CC">
            <w:pPr>
              <w:jc w:val="center"/>
            </w:pPr>
            <w:r w:rsidRPr="00CF0B64">
              <w:rPr>
                <w:rFonts w:ascii="Arial" w:hAnsi="Arial" w:cs="Arial"/>
                <w:color w:val="000066"/>
                <w:sz w:val="16"/>
                <w:szCs w:val="16"/>
              </w:rPr>
              <w:t>(2,4</w:t>
            </w:r>
            <w:r w:rsidR="006145CC" w:rsidRPr="00CF0B64">
              <w:rPr>
                <w:rFonts w:ascii="Arial" w:hAnsi="Arial" w:cs="Arial"/>
                <w:color w:val="000066"/>
                <w:sz w:val="16"/>
                <w:szCs w:val="16"/>
              </w:rPr>
              <w:t>%</w:t>
            </w:r>
            <w:r w:rsidRPr="00CF0B64">
              <w:rPr>
                <w:rFonts w:ascii="Arial" w:hAnsi="Arial" w:cs="Arial"/>
                <w:color w:val="000066"/>
                <w:sz w:val="16"/>
                <w:szCs w:val="16"/>
              </w:rPr>
              <w:t>)</w:t>
            </w:r>
          </w:p>
        </w:tc>
        <w:tc>
          <w:tcPr>
            <w:tcW w:w="1134" w:type="dxa"/>
            <w:shd w:val="clear" w:color="auto" w:fill="F1F3F5"/>
            <w:vAlign w:val="center"/>
          </w:tcPr>
          <w:p w:rsidR="006145CC" w:rsidRPr="00CF0B64" w:rsidRDefault="006145CC" w:rsidP="0044421C">
            <w:pPr>
              <w:jc w:val="center"/>
            </w:pPr>
            <w:r w:rsidRPr="00CF0B64">
              <w:rPr>
                <w:rFonts w:ascii="Arial" w:hAnsi="Arial" w:cs="Arial"/>
                <w:color w:val="000066"/>
                <w:sz w:val="16"/>
                <w:szCs w:val="16"/>
              </w:rPr>
              <w:t>€</w:t>
            </w:r>
            <w:r w:rsidR="00C51A77" w:rsidRPr="00CF0B64">
              <w:rPr>
                <w:rFonts w:ascii="Arial" w:hAnsi="Arial" w:cs="Arial"/>
                <w:color w:val="000066"/>
                <w:sz w:val="16"/>
                <w:szCs w:val="16"/>
              </w:rPr>
              <w:t>775</w:t>
            </w:r>
            <w:r w:rsidRPr="00CF0B64">
              <w:rPr>
                <w:rFonts w:ascii="Arial" w:hAnsi="Arial" w:cs="Arial"/>
                <w:color w:val="000066"/>
                <w:sz w:val="16"/>
                <w:szCs w:val="16"/>
              </w:rPr>
              <w:t>εκ.</w:t>
            </w:r>
          </w:p>
        </w:tc>
        <w:tc>
          <w:tcPr>
            <w:tcW w:w="1134" w:type="dxa"/>
            <w:shd w:val="clear" w:color="auto" w:fill="F1F3F5"/>
            <w:vAlign w:val="center"/>
          </w:tcPr>
          <w:p w:rsidR="006145CC" w:rsidRPr="00CF0B64" w:rsidRDefault="006145CC" w:rsidP="00827CAD">
            <w:pPr>
              <w:jc w:val="center"/>
            </w:pPr>
            <w:r w:rsidRPr="00CF0B64">
              <w:rPr>
                <w:rFonts w:ascii="Arial" w:hAnsi="Arial" w:cs="Arial"/>
                <w:color w:val="000066"/>
                <w:sz w:val="16"/>
                <w:szCs w:val="16"/>
              </w:rPr>
              <w:t>€</w:t>
            </w:r>
            <w:r w:rsidR="00CF0B64">
              <w:rPr>
                <w:rFonts w:ascii="Arial" w:hAnsi="Arial" w:cs="Arial"/>
                <w:color w:val="000066"/>
                <w:sz w:val="16"/>
                <w:szCs w:val="16"/>
              </w:rPr>
              <w:t>2.636</w:t>
            </w:r>
            <w:r w:rsidRPr="00CF0B64">
              <w:rPr>
                <w:rFonts w:ascii="Arial" w:hAnsi="Arial" w:cs="Arial"/>
                <w:color w:val="000066"/>
                <w:sz w:val="16"/>
                <w:szCs w:val="16"/>
              </w:rPr>
              <w:t>εκ.</w:t>
            </w:r>
            <w:r w:rsidR="00CF0B64">
              <w:rPr>
                <w:rFonts w:ascii="Arial" w:hAnsi="Arial" w:cs="Arial"/>
                <w:color w:val="000066"/>
                <w:sz w:val="16"/>
                <w:szCs w:val="16"/>
              </w:rPr>
              <w:t xml:space="preserve"> </w:t>
            </w:r>
          </w:p>
        </w:tc>
        <w:tc>
          <w:tcPr>
            <w:tcW w:w="1134" w:type="dxa"/>
            <w:shd w:val="clear" w:color="auto" w:fill="F1F3F5"/>
            <w:vAlign w:val="center"/>
          </w:tcPr>
          <w:p w:rsidR="006145CC" w:rsidRPr="00CF0B64" w:rsidRDefault="00CF0B64" w:rsidP="00827CAD">
            <w:pPr>
              <w:jc w:val="center"/>
            </w:pPr>
            <w:r>
              <w:rPr>
                <w:rFonts w:ascii="Arial" w:hAnsi="Arial" w:cs="Arial"/>
                <w:color w:val="000066"/>
                <w:sz w:val="16"/>
                <w:szCs w:val="16"/>
              </w:rPr>
              <w:t>(70,6</w:t>
            </w:r>
            <w:r w:rsidR="006145CC" w:rsidRPr="00CF0B64">
              <w:rPr>
                <w:rFonts w:ascii="Arial" w:hAnsi="Arial" w:cs="Arial"/>
                <w:color w:val="000066"/>
                <w:sz w:val="16"/>
                <w:szCs w:val="16"/>
              </w:rPr>
              <w:t>%</w:t>
            </w:r>
            <w:r w:rsidR="00C51A77" w:rsidRPr="00CF0B64">
              <w:rPr>
                <w:rFonts w:ascii="Arial" w:hAnsi="Arial" w:cs="Arial"/>
                <w:color w:val="000066"/>
                <w:sz w:val="16"/>
                <w:szCs w:val="16"/>
              </w:rPr>
              <w:t>)</w:t>
            </w:r>
          </w:p>
        </w:tc>
      </w:tr>
      <w:tr w:rsidR="006145CC" w:rsidRPr="002A1856" w:rsidTr="006C7FDB">
        <w:trPr>
          <w:trHeight w:hRule="exact" w:val="403"/>
        </w:trPr>
        <w:tc>
          <w:tcPr>
            <w:tcW w:w="2988" w:type="dxa"/>
            <w:shd w:val="clear" w:color="auto" w:fill="F1F3F5"/>
            <w:tcMar>
              <w:top w:w="58" w:type="dxa"/>
              <w:left w:w="58" w:type="dxa"/>
              <w:bottom w:w="58" w:type="dxa"/>
              <w:right w:w="58" w:type="dxa"/>
            </w:tcMar>
            <w:vAlign w:val="center"/>
          </w:tcPr>
          <w:p w:rsidR="006145CC" w:rsidRPr="00F65694" w:rsidRDefault="006145CC" w:rsidP="00F65694">
            <w:pPr>
              <w:widowControl w:val="0"/>
              <w:rPr>
                <w:rFonts w:ascii="Arial" w:hAnsi="Arial" w:cs="Arial"/>
                <w:color w:val="000080"/>
                <w:sz w:val="16"/>
                <w:szCs w:val="16"/>
              </w:rPr>
            </w:pPr>
            <w:r w:rsidRPr="00B915BB">
              <w:rPr>
                <w:rFonts w:ascii="Arial" w:hAnsi="Arial" w:cs="Arial"/>
                <w:color w:val="000080"/>
                <w:sz w:val="16"/>
                <w:szCs w:val="16"/>
              </w:rPr>
              <w:t>Καθαρ</w:t>
            </w:r>
            <w:r>
              <w:rPr>
                <w:rFonts w:ascii="Arial" w:hAnsi="Arial" w:cs="Arial"/>
                <w:color w:val="000080"/>
                <w:sz w:val="16"/>
                <w:szCs w:val="16"/>
              </w:rPr>
              <w:t xml:space="preserve">ό Αποτέλεσμα </w:t>
            </w:r>
            <w:r w:rsidRPr="00B915BB">
              <w:rPr>
                <w:rFonts w:ascii="Arial" w:hAnsi="Arial" w:cs="Arial"/>
                <w:color w:val="000080"/>
                <w:sz w:val="16"/>
                <w:szCs w:val="16"/>
              </w:rPr>
              <w:t xml:space="preserve">μετά </w:t>
            </w:r>
            <w:r>
              <w:rPr>
                <w:rFonts w:ascii="Arial" w:hAnsi="Arial" w:cs="Arial"/>
                <w:color w:val="000080"/>
                <w:sz w:val="16"/>
                <w:szCs w:val="16"/>
              </w:rPr>
              <w:t>από φόρους</w:t>
            </w:r>
          </w:p>
        </w:tc>
        <w:tc>
          <w:tcPr>
            <w:tcW w:w="1134" w:type="dxa"/>
            <w:shd w:val="clear" w:color="auto" w:fill="F1F3F5"/>
            <w:vAlign w:val="center"/>
          </w:tcPr>
          <w:p w:rsidR="006145CC" w:rsidRDefault="006145CC" w:rsidP="0044421C">
            <w:pPr>
              <w:jc w:val="center"/>
            </w:pPr>
            <w:r>
              <w:rPr>
                <w:rFonts w:ascii="Arial" w:hAnsi="Arial" w:cs="Arial"/>
                <w:color w:val="000066"/>
                <w:sz w:val="16"/>
                <w:szCs w:val="16"/>
              </w:rPr>
              <w:t>€</w:t>
            </w:r>
            <w:r w:rsidR="009F6559">
              <w:rPr>
                <w:rFonts w:ascii="Arial" w:hAnsi="Arial" w:cs="Arial"/>
                <w:color w:val="000066"/>
                <w:sz w:val="16"/>
                <w:szCs w:val="16"/>
              </w:rPr>
              <w:t>38</w:t>
            </w:r>
            <w:r w:rsidRPr="00197178">
              <w:rPr>
                <w:rFonts w:ascii="Arial" w:hAnsi="Arial" w:cs="Arial"/>
                <w:color w:val="000066"/>
                <w:sz w:val="16"/>
                <w:szCs w:val="16"/>
              </w:rPr>
              <w:t>εκ.</w:t>
            </w:r>
          </w:p>
        </w:tc>
        <w:tc>
          <w:tcPr>
            <w:tcW w:w="1134" w:type="dxa"/>
            <w:shd w:val="clear" w:color="auto" w:fill="F1F3F5"/>
            <w:vAlign w:val="center"/>
          </w:tcPr>
          <w:p w:rsidR="006145CC" w:rsidRDefault="006145CC" w:rsidP="00827CAD">
            <w:pPr>
              <w:jc w:val="center"/>
            </w:pPr>
            <w:r>
              <w:rPr>
                <w:rFonts w:ascii="Arial" w:hAnsi="Arial" w:cs="Arial"/>
                <w:color w:val="000066"/>
                <w:sz w:val="16"/>
                <w:szCs w:val="16"/>
              </w:rPr>
              <w:t>€85</w:t>
            </w:r>
            <w:r w:rsidRPr="00197178">
              <w:rPr>
                <w:rFonts w:ascii="Arial" w:hAnsi="Arial" w:cs="Arial"/>
                <w:color w:val="000066"/>
                <w:sz w:val="16"/>
                <w:szCs w:val="16"/>
              </w:rPr>
              <w:t>εκ.</w:t>
            </w:r>
          </w:p>
        </w:tc>
        <w:tc>
          <w:tcPr>
            <w:tcW w:w="993" w:type="dxa"/>
            <w:shd w:val="clear" w:color="auto" w:fill="F1F3F5"/>
            <w:vAlign w:val="center"/>
          </w:tcPr>
          <w:p w:rsidR="006145CC" w:rsidRPr="00711F2A" w:rsidRDefault="009F6559" w:rsidP="00316B8A">
            <w:pPr>
              <w:widowControl w:val="0"/>
              <w:jc w:val="center"/>
              <w:rPr>
                <w:rFonts w:ascii="Arial" w:hAnsi="Arial" w:cs="Arial"/>
                <w:color w:val="000066"/>
                <w:sz w:val="16"/>
                <w:szCs w:val="16"/>
              </w:rPr>
            </w:pPr>
            <w:r>
              <w:rPr>
                <w:rFonts w:ascii="Arial" w:hAnsi="Arial" w:cs="Arial"/>
                <w:color w:val="000066"/>
                <w:sz w:val="16"/>
                <w:szCs w:val="16"/>
              </w:rPr>
              <w:t>(55,1</w:t>
            </w:r>
            <w:r w:rsidR="006145CC">
              <w:rPr>
                <w:rFonts w:ascii="Arial" w:hAnsi="Arial" w:cs="Arial"/>
                <w:color w:val="000066"/>
                <w:sz w:val="16"/>
                <w:szCs w:val="16"/>
              </w:rPr>
              <w:t>%</w:t>
            </w:r>
            <w:r>
              <w:rPr>
                <w:rFonts w:ascii="Arial" w:hAnsi="Arial" w:cs="Arial"/>
                <w:color w:val="000066"/>
                <w:sz w:val="16"/>
                <w:szCs w:val="16"/>
              </w:rPr>
              <w:t>)</w:t>
            </w:r>
          </w:p>
        </w:tc>
        <w:tc>
          <w:tcPr>
            <w:tcW w:w="1134" w:type="dxa"/>
            <w:shd w:val="clear" w:color="auto" w:fill="F1F3F5"/>
            <w:vAlign w:val="center"/>
          </w:tcPr>
          <w:p w:rsidR="006145CC" w:rsidRDefault="006145CC" w:rsidP="0044421C">
            <w:pPr>
              <w:jc w:val="center"/>
            </w:pPr>
            <w:r>
              <w:rPr>
                <w:rFonts w:ascii="Arial" w:hAnsi="Arial" w:cs="Arial"/>
                <w:color w:val="000066"/>
                <w:sz w:val="16"/>
                <w:szCs w:val="16"/>
              </w:rPr>
              <w:t>€</w:t>
            </w:r>
            <w:r w:rsidR="00C51A77">
              <w:rPr>
                <w:rFonts w:ascii="Arial" w:hAnsi="Arial" w:cs="Arial"/>
                <w:color w:val="000066"/>
                <w:sz w:val="16"/>
                <w:szCs w:val="16"/>
              </w:rPr>
              <w:t>230</w:t>
            </w:r>
            <w:r w:rsidRPr="00197178">
              <w:rPr>
                <w:rFonts w:ascii="Arial" w:hAnsi="Arial" w:cs="Arial"/>
                <w:color w:val="000066"/>
                <w:sz w:val="16"/>
                <w:szCs w:val="16"/>
              </w:rPr>
              <w:t>εκ.</w:t>
            </w:r>
          </w:p>
        </w:tc>
        <w:tc>
          <w:tcPr>
            <w:tcW w:w="1134" w:type="dxa"/>
            <w:shd w:val="clear" w:color="auto" w:fill="F1F3F5"/>
            <w:vAlign w:val="center"/>
          </w:tcPr>
          <w:p w:rsidR="006145CC" w:rsidRDefault="00C51A77" w:rsidP="00827CAD">
            <w:pPr>
              <w:jc w:val="center"/>
            </w:pPr>
            <w:r>
              <w:rPr>
                <w:rFonts w:ascii="Arial" w:hAnsi="Arial" w:cs="Arial"/>
                <w:color w:val="000066"/>
                <w:sz w:val="16"/>
                <w:szCs w:val="16"/>
              </w:rPr>
              <w:t>(1.181</w:t>
            </w:r>
            <w:r w:rsidR="006145CC">
              <w:rPr>
                <w:rFonts w:ascii="Arial" w:hAnsi="Arial" w:cs="Arial"/>
                <w:color w:val="000066"/>
                <w:sz w:val="16"/>
                <w:szCs w:val="16"/>
              </w:rPr>
              <w:t>€</w:t>
            </w:r>
            <w:r w:rsidR="006145CC" w:rsidRPr="00197178">
              <w:rPr>
                <w:rFonts w:ascii="Arial" w:hAnsi="Arial" w:cs="Arial"/>
                <w:color w:val="000066"/>
                <w:sz w:val="16"/>
                <w:szCs w:val="16"/>
              </w:rPr>
              <w:t>εκ.</w:t>
            </w:r>
            <w:r>
              <w:rPr>
                <w:rFonts w:ascii="Arial" w:hAnsi="Arial" w:cs="Arial"/>
                <w:color w:val="000066"/>
                <w:sz w:val="16"/>
                <w:szCs w:val="16"/>
              </w:rPr>
              <w:t>)</w:t>
            </w:r>
          </w:p>
        </w:tc>
        <w:tc>
          <w:tcPr>
            <w:tcW w:w="1134" w:type="dxa"/>
            <w:shd w:val="clear" w:color="auto" w:fill="F1F3F5"/>
            <w:vAlign w:val="center"/>
          </w:tcPr>
          <w:p w:rsidR="006145CC" w:rsidRPr="00711F2A" w:rsidRDefault="006145CC" w:rsidP="00827CAD">
            <w:pPr>
              <w:widowControl w:val="0"/>
              <w:jc w:val="center"/>
              <w:rPr>
                <w:rFonts w:ascii="Arial" w:hAnsi="Arial" w:cs="Arial"/>
                <w:color w:val="000066"/>
                <w:sz w:val="16"/>
                <w:szCs w:val="16"/>
              </w:rPr>
            </w:pPr>
          </w:p>
        </w:tc>
      </w:tr>
    </w:tbl>
    <w:p w:rsidR="00F40322" w:rsidRPr="003D3383" w:rsidRDefault="00F40322" w:rsidP="00F40322">
      <w:pPr>
        <w:ind w:left="-540" w:right="1652"/>
        <w:jc w:val="both"/>
        <w:rPr>
          <w:rFonts w:ascii="Arial" w:hAnsi="Arial" w:cs="Arial"/>
          <w:sz w:val="15"/>
          <w:szCs w:val="15"/>
        </w:rPr>
      </w:pPr>
    </w:p>
    <w:p w:rsidR="00F40322" w:rsidRPr="003D3383" w:rsidRDefault="00F40322" w:rsidP="00F40322">
      <w:pPr>
        <w:rPr>
          <w:color w:val="auto"/>
          <w:kern w:val="0"/>
          <w:sz w:val="22"/>
          <w:szCs w:val="22"/>
        </w:rPr>
      </w:pPr>
      <w:r>
        <w:rPr>
          <w:noProof/>
        </w:rPr>
        <w:pict>
          <v:roundrect id="_x0000_s1058" style="position:absolute;margin-left:-42.6pt;margin-top:6.8pt;width:499.6pt;height:169.6pt;z-index:-251672064;visibility:visible;mso-wrap-edited:f;mso-wrap-distance-left:2.88pt;mso-wrap-distance-top:2.88pt;mso-wrap-distance-right:2.88pt;mso-wrap-distance-bottom:2.88pt" arcsize="3468f" fillcolor="#f1f3f5" strokecolor="#006" strokeweight="2pt" insetpen="t" o:cliptowrap="t">
            <v:shadow color="#ccc"/>
            <o:lock v:ext="edit" shapetype="t"/>
            <v:textbox inset="2.88pt,2.88pt,2.88pt,2.88pt"/>
          </v:roundrect>
        </w:pict>
      </w:r>
      <w:r>
        <w:rPr>
          <w:noProof/>
        </w:rPr>
        <w:pict>
          <v:shapetype id="_x0000_t201" coordsize="21600,21600" o:spt="201" path="m,l,21600r21600,l21600,xe">
            <v:stroke joinstyle="miter"/>
            <v:path shadowok="f" o:extrusionok="f" strokeok="f" fillok="f" o:connecttype="rect"/>
            <o:lock v:ext="edit" shapetype="t"/>
          </v:shapetype>
          <v:shape id="_x0000_s1060" type="#_x0000_t201" style="position:absolute;margin-left:55.9pt;margin-top:348.9pt;width:481.15pt;height:179.4pt;z-index:251645440;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9787" w:type="dxa"/>
        <w:tblInd w:w="-72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left w:w="0" w:type="dxa"/>
          <w:right w:w="0" w:type="dxa"/>
        </w:tblCellMar>
        <w:tblLook w:val="0000"/>
      </w:tblPr>
      <w:tblGrid>
        <w:gridCol w:w="4747"/>
        <w:gridCol w:w="2520"/>
        <w:gridCol w:w="2520"/>
      </w:tblGrid>
      <w:tr w:rsidR="007A5889" w:rsidRPr="002A1856" w:rsidTr="007A5889">
        <w:trPr>
          <w:trHeight w:hRule="exact" w:val="315"/>
        </w:trPr>
        <w:tc>
          <w:tcPr>
            <w:tcW w:w="4747" w:type="dxa"/>
            <w:tcBorders>
              <w:top w:val="single" w:sz="4" w:space="0" w:color="003366"/>
              <w:left w:val="nil"/>
            </w:tcBorders>
            <w:shd w:val="clear" w:color="auto" w:fill="F1F3F5"/>
            <w:tcMar>
              <w:top w:w="58" w:type="dxa"/>
              <w:left w:w="58" w:type="dxa"/>
              <w:bottom w:w="58" w:type="dxa"/>
              <w:right w:w="58" w:type="dxa"/>
            </w:tcMar>
            <w:vAlign w:val="center"/>
          </w:tcPr>
          <w:p w:rsidR="007A5889" w:rsidRPr="002A1856" w:rsidRDefault="007A5889" w:rsidP="00C238BC">
            <w:pPr>
              <w:widowControl w:val="0"/>
              <w:rPr>
                <w:rFonts w:ascii="Arial" w:hAnsi="Arial" w:cs="Arial"/>
                <w:b/>
                <w:bCs/>
                <w:color w:val="800000"/>
                <w:sz w:val="16"/>
                <w:szCs w:val="16"/>
              </w:rPr>
            </w:pPr>
            <w:r>
              <w:rPr>
                <w:rFonts w:ascii="Arial" w:hAnsi="Arial" w:cs="Arial"/>
                <w:b/>
                <w:bCs/>
                <w:color w:val="800000"/>
                <w:sz w:val="16"/>
                <w:szCs w:val="16"/>
              </w:rPr>
              <w:t>Στοιχεία Ισολογισμού</w:t>
            </w:r>
            <w:r w:rsidRPr="00921C0F">
              <w:rPr>
                <w:rFonts w:ascii="Arial" w:hAnsi="Arial" w:cs="Arial"/>
                <w:b/>
                <w:bCs/>
                <w:color w:val="800000"/>
                <w:sz w:val="16"/>
                <w:szCs w:val="16"/>
              </w:rPr>
              <w:t xml:space="preserve"> </w:t>
            </w:r>
          </w:p>
        </w:tc>
        <w:tc>
          <w:tcPr>
            <w:tcW w:w="2520" w:type="dxa"/>
            <w:tcBorders>
              <w:top w:val="single" w:sz="4" w:space="0" w:color="003366"/>
            </w:tcBorders>
            <w:shd w:val="clear" w:color="auto" w:fill="F1F3F5"/>
            <w:vAlign w:val="center"/>
          </w:tcPr>
          <w:p w:rsidR="007A5889" w:rsidRPr="00C75F4A" w:rsidRDefault="007A5889" w:rsidP="004A4648">
            <w:pPr>
              <w:widowControl w:val="0"/>
              <w:jc w:val="center"/>
              <w:rPr>
                <w:rFonts w:ascii="Arial" w:hAnsi="Arial" w:cs="Arial"/>
                <w:b/>
                <w:bCs/>
                <w:color w:val="800000"/>
                <w:sz w:val="16"/>
                <w:szCs w:val="16"/>
              </w:rPr>
            </w:pPr>
            <w:r>
              <w:rPr>
                <w:rFonts w:ascii="Arial" w:hAnsi="Arial" w:cs="Arial"/>
                <w:b/>
                <w:bCs/>
                <w:color w:val="800000"/>
                <w:sz w:val="16"/>
                <w:szCs w:val="16"/>
              </w:rPr>
              <w:t>2016</w:t>
            </w:r>
          </w:p>
          <w:p w:rsidR="007A5889" w:rsidRPr="00C159A9" w:rsidDel="002215F3" w:rsidRDefault="007A5889" w:rsidP="004A4648">
            <w:pPr>
              <w:widowControl w:val="0"/>
              <w:jc w:val="center"/>
              <w:rPr>
                <w:rFonts w:ascii="Arial" w:hAnsi="Arial" w:cs="Arial"/>
                <w:b/>
                <w:bCs/>
                <w:color w:val="800000"/>
                <w:sz w:val="16"/>
                <w:szCs w:val="16"/>
              </w:rPr>
            </w:pPr>
          </w:p>
        </w:tc>
        <w:tc>
          <w:tcPr>
            <w:tcW w:w="2520" w:type="dxa"/>
            <w:tcBorders>
              <w:top w:val="single" w:sz="4" w:space="0" w:color="003366"/>
            </w:tcBorders>
            <w:shd w:val="clear" w:color="auto" w:fill="F1F3F5"/>
            <w:vAlign w:val="center"/>
          </w:tcPr>
          <w:p w:rsidR="007A5889" w:rsidRPr="00C75F4A" w:rsidRDefault="007442CA" w:rsidP="00827CAD">
            <w:pPr>
              <w:widowControl w:val="0"/>
              <w:jc w:val="center"/>
              <w:rPr>
                <w:rFonts w:ascii="Arial" w:hAnsi="Arial" w:cs="Arial"/>
                <w:b/>
                <w:bCs/>
                <w:color w:val="800000"/>
                <w:sz w:val="16"/>
                <w:szCs w:val="16"/>
              </w:rPr>
            </w:pPr>
            <w:r>
              <w:rPr>
                <w:rFonts w:ascii="Arial" w:hAnsi="Arial" w:cs="Arial"/>
                <w:b/>
                <w:bCs/>
                <w:color w:val="800000"/>
                <w:sz w:val="16"/>
                <w:szCs w:val="16"/>
              </w:rPr>
              <w:t>2015</w:t>
            </w:r>
          </w:p>
          <w:p w:rsidR="007A5889" w:rsidRPr="00C159A9" w:rsidDel="002215F3" w:rsidRDefault="007A5889" w:rsidP="00827CAD">
            <w:pPr>
              <w:widowControl w:val="0"/>
              <w:jc w:val="center"/>
              <w:rPr>
                <w:rFonts w:ascii="Arial" w:hAnsi="Arial" w:cs="Arial"/>
                <w:b/>
                <w:bCs/>
                <w:color w:val="800000"/>
                <w:sz w:val="16"/>
                <w:szCs w:val="16"/>
              </w:rPr>
            </w:pPr>
          </w:p>
        </w:tc>
      </w:tr>
      <w:tr w:rsidR="007A5889" w:rsidRPr="002A1856" w:rsidTr="007A5889">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7A5889" w:rsidRPr="00176DF9" w:rsidRDefault="007A5889" w:rsidP="00C53ADE">
            <w:pPr>
              <w:widowControl w:val="0"/>
              <w:rPr>
                <w:color w:val="000066"/>
                <w:sz w:val="16"/>
                <w:szCs w:val="16"/>
              </w:rPr>
            </w:pPr>
            <w:r w:rsidRPr="002A1856">
              <w:rPr>
                <w:rFonts w:ascii="Arial" w:hAnsi="Arial" w:cs="Arial"/>
                <w:color w:val="000066"/>
                <w:sz w:val="16"/>
                <w:szCs w:val="16"/>
              </w:rPr>
              <w:t>Καταναλωτικά Δάνει</w:t>
            </w:r>
            <w:r w:rsidRPr="00176DF9">
              <w:rPr>
                <w:rFonts w:ascii="Arial" w:hAnsi="Arial" w:cs="Arial"/>
                <w:color w:val="000066"/>
                <w:sz w:val="16"/>
                <w:szCs w:val="16"/>
              </w:rPr>
              <w:t>α</w:t>
            </w:r>
          </w:p>
        </w:tc>
        <w:tc>
          <w:tcPr>
            <w:tcW w:w="2520" w:type="dxa"/>
            <w:shd w:val="clear" w:color="auto" w:fill="F1F3F5"/>
            <w:vAlign w:val="center"/>
          </w:tcPr>
          <w:p w:rsidR="007A5889" w:rsidRPr="009E616D" w:rsidRDefault="007A5889" w:rsidP="007A5889">
            <w:pPr>
              <w:jc w:val="center"/>
              <w:rPr>
                <w:rFonts w:ascii="Arial" w:hAnsi="Arial" w:cs="Arial"/>
                <w:color w:val="000066"/>
                <w:sz w:val="16"/>
                <w:szCs w:val="16"/>
              </w:rPr>
            </w:pPr>
            <w:r w:rsidRPr="002215F3">
              <w:rPr>
                <w:rFonts w:ascii="Arial" w:hAnsi="Arial" w:cs="Arial"/>
                <w:color w:val="000066"/>
                <w:sz w:val="16"/>
                <w:szCs w:val="16"/>
              </w:rPr>
              <w:t>€</w:t>
            </w:r>
            <w:r w:rsidR="00DC2E7C">
              <w:rPr>
                <w:rFonts w:ascii="Arial" w:hAnsi="Arial" w:cs="Arial"/>
                <w:color w:val="000066"/>
                <w:sz w:val="16"/>
                <w:szCs w:val="16"/>
              </w:rPr>
              <w:t>6.323</w:t>
            </w:r>
            <w:r w:rsidRPr="002215F3">
              <w:rPr>
                <w:rFonts w:ascii="Arial" w:hAnsi="Arial" w:cs="Arial"/>
                <w:color w:val="000066"/>
                <w:sz w:val="16"/>
                <w:szCs w:val="16"/>
              </w:rPr>
              <w:t>εκ.</w:t>
            </w:r>
          </w:p>
        </w:tc>
        <w:tc>
          <w:tcPr>
            <w:tcW w:w="2520" w:type="dxa"/>
            <w:shd w:val="clear" w:color="auto" w:fill="F1F3F5"/>
            <w:vAlign w:val="center"/>
          </w:tcPr>
          <w:p w:rsidR="007A5889" w:rsidRPr="009E616D" w:rsidRDefault="007A5889" w:rsidP="007442CA">
            <w:pPr>
              <w:jc w:val="center"/>
              <w:rPr>
                <w:rFonts w:ascii="Arial" w:hAnsi="Arial" w:cs="Arial"/>
                <w:color w:val="000066"/>
                <w:sz w:val="16"/>
                <w:szCs w:val="16"/>
              </w:rPr>
            </w:pPr>
            <w:r w:rsidRPr="002215F3">
              <w:rPr>
                <w:rFonts w:ascii="Arial" w:hAnsi="Arial" w:cs="Arial"/>
                <w:color w:val="000066"/>
                <w:sz w:val="16"/>
                <w:szCs w:val="16"/>
              </w:rPr>
              <w:t>€</w:t>
            </w:r>
            <w:r>
              <w:rPr>
                <w:rFonts w:ascii="Arial" w:hAnsi="Arial" w:cs="Arial"/>
                <w:color w:val="000066"/>
                <w:sz w:val="16"/>
                <w:szCs w:val="16"/>
              </w:rPr>
              <w:t>6.</w:t>
            </w:r>
            <w:r w:rsidR="007442CA">
              <w:rPr>
                <w:rFonts w:ascii="Arial" w:hAnsi="Arial" w:cs="Arial"/>
                <w:color w:val="000066"/>
                <w:sz w:val="16"/>
                <w:szCs w:val="16"/>
              </w:rPr>
              <w:t>565</w:t>
            </w:r>
            <w:r w:rsidRPr="002215F3">
              <w:rPr>
                <w:rFonts w:ascii="Arial" w:hAnsi="Arial" w:cs="Arial"/>
                <w:color w:val="000066"/>
                <w:sz w:val="16"/>
                <w:szCs w:val="16"/>
              </w:rPr>
              <w:t>εκ.</w:t>
            </w:r>
          </w:p>
        </w:tc>
      </w:tr>
      <w:tr w:rsidR="007A5889" w:rsidRPr="002A1856" w:rsidTr="007A5889">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7A5889" w:rsidRPr="00176DF9" w:rsidRDefault="007A5889" w:rsidP="00C53ADE">
            <w:pPr>
              <w:widowControl w:val="0"/>
              <w:rPr>
                <w:color w:val="000066"/>
                <w:sz w:val="16"/>
                <w:szCs w:val="16"/>
              </w:rPr>
            </w:pPr>
            <w:r w:rsidRPr="00176DF9">
              <w:rPr>
                <w:rFonts w:ascii="Arial" w:hAnsi="Arial" w:cs="Arial"/>
                <w:color w:val="000066"/>
                <w:sz w:val="16"/>
                <w:szCs w:val="16"/>
              </w:rPr>
              <w:t>Στεγαστικ</w:t>
            </w:r>
            <w:r w:rsidRPr="002A1856">
              <w:rPr>
                <w:rFonts w:ascii="Arial" w:hAnsi="Arial" w:cs="Arial"/>
                <w:color w:val="000066"/>
                <w:sz w:val="16"/>
                <w:szCs w:val="16"/>
              </w:rPr>
              <w:t>ά</w:t>
            </w:r>
            <w:r w:rsidRPr="00176DF9">
              <w:rPr>
                <w:rFonts w:ascii="Arial" w:hAnsi="Arial" w:cs="Arial"/>
                <w:color w:val="000066"/>
                <w:sz w:val="16"/>
                <w:szCs w:val="16"/>
              </w:rPr>
              <w:t xml:space="preserve"> Δ</w:t>
            </w:r>
            <w:r w:rsidRPr="002A1856">
              <w:rPr>
                <w:rFonts w:ascii="Arial" w:hAnsi="Arial" w:cs="Arial"/>
                <w:color w:val="000066"/>
                <w:sz w:val="16"/>
                <w:szCs w:val="16"/>
              </w:rPr>
              <w:t>ά</w:t>
            </w:r>
            <w:r w:rsidRPr="00176DF9">
              <w:rPr>
                <w:rFonts w:ascii="Arial" w:hAnsi="Arial" w:cs="Arial"/>
                <w:color w:val="000066"/>
                <w:sz w:val="16"/>
                <w:szCs w:val="16"/>
              </w:rPr>
              <w:t>νεια</w:t>
            </w:r>
          </w:p>
        </w:tc>
        <w:tc>
          <w:tcPr>
            <w:tcW w:w="2520" w:type="dxa"/>
            <w:shd w:val="clear" w:color="auto" w:fill="F1F3F5"/>
            <w:vAlign w:val="center"/>
          </w:tcPr>
          <w:p w:rsidR="007A5889" w:rsidRDefault="007A5889" w:rsidP="007A5889">
            <w:pPr>
              <w:jc w:val="center"/>
            </w:pPr>
            <w:r w:rsidRPr="002215F3">
              <w:rPr>
                <w:rFonts w:ascii="Arial" w:hAnsi="Arial" w:cs="Arial"/>
                <w:color w:val="000066"/>
                <w:sz w:val="16"/>
                <w:szCs w:val="16"/>
              </w:rPr>
              <w:t>€</w:t>
            </w:r>
            <w:r w:rsidR="00DC2E7C">
              <w:rPr>
                <w:rFonts w:ascii="Arial" w:hAnsi="Arial" w:cs="Arial"/>
                <w:color w:val="000066"/>
                <w:sz w:val="16"/>
                <w:szCs w:val="16"/>
              </w:rPr>
              <w:t>17.835</w:t>
            </w:r>
            <w:r w:rsidRPr="002215F3">
              <w:rPr>
                <w:rFonts w:ascii="Arial" w:hAnsi="Arial" w:cs="Arial"/>
                <w:color w:val="000066"/>
                <w:sz w:val="16"/>
                <w:szCs w:val="16"/>
              </w:rPr>
              <w:t>εκ.</w:t>
            </w:r>
          </w:p>
        </w:tc>
        <w:tc>
          <w:tcPr>
            <w:tcW w:w="2520" w:type="dxa"/>
            <w:shd w:val="clear" w:color="auto" w:fill="F1F3F5"/>
            <w:vAlign w:val="center"/>
          </w:tcPr>
          <w:p w:rsidR="007A5889" w:rsidRDefault="007A5889" w:rsidP="007442CA">
            <w:pPr>
              <w:jc w:val="center"/>
            </w:pPr>
            <w:r w:rsidRPr="002215F3">
              <w:rPr>
                <w:rFonts w:ascii="Arial" w:hAnsi="Arial" w:cs="Arial"/>
                <w:color w:val="000066"/>
                <w:sz w:val="16"/>
                <w:szCs w:val="16"/>
              </w:rPr>
              <w:t>€</w:t>
            </w:r>
            <w:r>
              <w:rPr>
                <w:rFonts w:ascii="Arial" w:hAnsi="Arial" w:cs="Arial"/>
                <w:color w:val="000066"/>
                <w:sz w:val="16"/>
                <w:szCs w:val="16"/>
              </w:rPr>
              <w:t>1</w:t>
            </w:r>
            <w:r w:rsidR="007442CA">
              <w:rPr>
                <w:rFonts w:ascii="Arial" w:hAnsi="Arial" w:cs="Arial"/>
                <w:color w:val="000066"/>
                <w:sz w:val="16"/>
                <w:szCs w:val="16"/>
              </w:rPr>
              <w:t>8.249</w:t>
            </w:r>
            <w:r w:rsidRPr="002215F3">
              <w:rPr>
                <w:rFonts w:ascii="Arial" w:hAnsi="Arial" w:cs="Arial"/>
                <w:color w:val="000066"/>
                <w:sz w:val="16"/>
                <w:szCs w:val="16"/>
              </w:rPr>
              <w:t>εκ.</w:t>
            </w:r>
          </w:p>
        </w:tc>
      </w:tr>
      <w:tr w:rsidR="007A5889" w:rsidRPr="002A1856" w:rsidTr="007A5889">
        <w:trPr>
          <w:trHeight w:hRule="exact" w:val="340"/>
        </w:trPr>
        <w:tc>
          <w:tcPr>
            <w:tcW w:w="4747" w:type="dxa"/>
            <w:tcBorders>
              <w:left w:val="nil"/>
            </w:tcBorders>
            <w:tcMar>
              <w:top w:w="58" w:type="dxa"/>
              <w:left w:w="58" w:type="dxa"/>
              <w:bottom w:w="58" w:type="dxa"/>
              <w:right w:w="58" w:type="dxa"/>
            </w:tcMar>
            <w:vAlign w:val="center"/>
          </w:tcPr>
          <w:p w:rsidR="007A5889" w:rsidRPr="002A1856" w:rsidRDefault="007A5889" w:rsidP="00C53ADE">
            <w:pPr>
              <w:widowControl w:val="0"/>
              <w:rPr>
                <w:color w:val="000066"/>
                <w:sz w:val="16"/>
                <w:szCs w:val="16"/>
              </w:rPr>
            </w:pPr>
            <w:r w:rsidRPr="002A1856">
              <w:rPr>
                <w:rFonts w:ascii="Arial" w:hAnsi="Arial" w:cs="Arial"/>
                <w:color w:val="000066"/>
                <w:sz w:val="16"/>
                <w:szCs w:val="16"/>
              </w:rPr>
              <w:t>Δάνεια προς Μικρές Επιχειρήσεις</w:t>
            </w:r>
          </w:p>
        </w:tc>
        <w:tc>
          <w:tcPr>
            <w:tcW w:w="2520" w:type="dxa"/>
            <w:vAlign w:val="center"/>
          </w:tcPr>
          <w:p w:rsidR="007A5889" w:rsidRDefault="007A5889" w:rsidP="007A5889">
            <w:pPr>
              <w:jc w:val="center"/>
            </w:pPr>
            <w:r w:rsidRPr="00527F18">
              <w:rPr>
                <w:rFonts w:ascii="Arial" w:hAnsi="Arial" w:cs="Arial"/>
                <w:color w:val="000066"/>
                <w:sz w:val="16"/>
                <w:szCs w:val="16"/>
              </w:rPr>
              <w:t>€</w:t>
            </w:r>
            <w:r w:rsidR="00DC2E7C">
              <w:rPr>
                <w:rFonts w:ascii="Arial" w:hAnsi="Arial" w:cs="Arial"/>
                <w:color w:val="000066"/>
                <w:sz w:val="16"/>
                <w:szCs w:val="16"/>
              </w:rPr>
              <w:t>7.149</w:t>
            </w:r>
            <w:r>
              <w:rPr>
                <w:rFonts w:ascii="Arial" w:hAnsi="Arial" w:cs="Arial"/>
                <w:color w:val="000066"/>
                <w:sz w:val="16"/>
                <w:szCs w:val="16"/>
              </w:rPr>
              <w:t>ε</w:t>
            </w:r>
            <w:r w:rsidRPr="00633BD1">
              <w:rPr>
                <w:rFonts w:ascii="Arial" w:hAnsi="Arial" w:cs="Arial"/>
                <w:color w:val="000066"/>
                <w:sz w:val="16"/>
                <w:szCs w:val="16"/>
                <w:lang w:val="en-US"/>
              </w:rPr>
              <w:t>κ.</w:t>
            </w:r>
          </w:p>
        </w:tc>
        <w:tc>
          <w:tcPr>
            <w:tcW w:w="2520" w:type="dxa"/>
            <w:vAlign w:val="center"/>
          </w:tcPr>
          <w:p w:rsidR="007A5889" w:rsidRDefault="007A5889" w:rsidP="00827CAD">
            <w:pPr>
              <w:jc w:val="center"/>
            </w:pPr>
            <w:r w:rsidRPr="00527F18">
              <w:rPr>
                <w:rFonts w:ascii="Arial" w:hAnsi="Arial" w:cs="Arial"/>
                <w:color w:val="000066"/>
                <w:sz w:val="16"/>
                <w:szCs w:val="16"/>
              </w:rPr>
              <w:t>€</w:t>
            </w:r>
            <w:r w:rsidR="007442CA">
              <w:rPr>
                <w:rFonts w:ascii="Arial" w:hAnsi="Arial" w:cs="Arial"/>
                <w:color w:val="000066"/>
                <w:sz w:val="16"/>
                <w:szCs w:val="16"/>
              </w:rPr>
              <w:t>7.246</w:t>
            </w:r>
            <w:r>
              <w:rPr>
                <w:rFonts w:ascii="Arial" w:hAnsi="Arial" w:cs="Arial"/>
                <w:color w:val="000066"/>
                <w:sz w:val="16"/>
                <w:szCs w:val="16"/>
              </w:rPr>
              <w:t>ε</w:t>
            </w:r>
            <w:r w:rsidRPr="00633BD1">
              <w:rPr>
                <w:rFonts w:ascii="Arial" w:hAnsi="Arial" w:cs="Arial"/>
                <w:color w:val="000066"/>
                <w:sz w:val="16"/>
                <w:szCs w:val="16"/>
                <w:lang w:val="en-US"/>
              </w:rPr>
              <w:t>κ.</w:t>
            </w:r>
          </w:p>
        </w:tc>
      </w:tr>
      <w:tr w:rsidR="007A5889" w:rsidRPr="002A1856" w:rsidTr="007A5889">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7A5889" w:rsidRPr="002A1856" w:rsidRDefault="007A5889" w:rsidP="00C53ADE">
            <w:pPr>
              <w:widowControl w:val="0"/>
              <w:rPr>
                <w:color w:val="000066"/>
                <w:sz w:val="16"/>
                <w:szCs w:val="16"/>
              </w:rPr>
            </w:pPr>
            <w:r w:rsidRPr="002A1856">
              <w:rPr>
                <w:rFonts w:ascii="Arial" w:hAnsi="Arial" w:cs="Arial"/>
                <w:color w:val="000066"/>
                <w:sz w:val="16"/>
                <w:szCs w:val="16"/>
              </w:rPr>
              <w:t>Δάνεια προς Μεσαίες</w:t>
            </w:r>
            <w:r>
              <w:rPr>
                <w:rFonts w:ascii="Arial" w:hAnsi="Arial" w:cs="Arial"/>
                <w:color w:val="000066"/>
                <w:sz w:val="16"/>
                <w:szCs w:val="16"/>
              </w:rPr>
              <w:t xml:space="preserve"> &amp; Μεγάλες</w:t>
            </w:r>
            <w:r w:rsidRPr="002A1856">
              <w:rPr>
                <w:rFonts w:ascii="Arial" w:hAnsi="Arial" w:cs="Arial"/>
                <w:color w:val="000066"/>
                <w:sz w:val="16"/>
                <w:szCs w:val="16"/>
              </w:rPr>
              <w:t xml:space="preserve"> Επιχειρήσεις</w:t>
            </w:r>
          </w:p>
        </w:tc>
        <w:tc>
          <w:tcPr>
            <w:tcW w:w="2520" w:type="dxa"/>
            <w:shd w:val="clear" w:color="auto" w:fill="F1F3F5"/>
            <w:vAlign w:val="center"/>
          </w:tcPr>
          <w:p w:rsidR="007A5889" w:rsidRPr="002F7BF4" w:rsidRDefault="007A5889" w:rsidP="007A5889">
            <w:pPr>
              <w:jc w:val="center"/>
              <w:rPr>
                <w:rFonts w:ascii="Arial" w:hAnsi="Arial" w:cs="Arial"/>
                <w:color w:val="000066"/>
                <w:sz w:val="16"/>
                <w:szCs w:val="16"/>
              </w:rPr>
            </w:pPr>
            <w:r w:rsidRPr="002F7BF4">
              <w:rPr>
                <w:rFonts w:ascii="Arial" w:hAnsi="Arial" w:cs="Arial"/>
                <w:color w:val="000066"/>
                <w:sz w:val="16"/>
                <w:szCs w:val="16"/>
              </w:rPr>
              <w:t>€</w:t>
            </w:r>
            <w:r w:rsidR="00DC2E7C">
              <w:rPr>
                <w:rFonts w:ascii="Arial" w:hAnsi="Arial" w:cs="Arial"/>
                <w:color w:val="000066"/>
                <w:sz w:val="16"/>
                <w:szCs w:val="16"/>
              </w:rPr>
              <w:t>19.314</w:t>
            </w:r>
            <w:r>
              <w:rPr>
                <w:rFonts w:ascii="Arial" w:hAnsi="Arial" w:cs="Arial"/>
                <w:color w:val="000066"/>
                <w:sz w:val="16"/>
                <w:szCs w:val="16"/>
              </w:rPr>
              <w:t>ε</w:t>
            </w:r>
            <w:r w:rsidRPr="002F7BF4">
              <w:rPr>
                <w:rFonts w:ascii="Arial" w:hAnsi="Arial" w:cs="Arial"/>
                <w:color w:val="000066"/>
                <w:sz w:val="16"/>
                <w:szCs w:val="16"/>
              </w:rPr>
              <w:t>κ.</w:t>
            </w:r>
          </w:p>
        </w:tc>
        <w:tc>
          <w:tcPr>
            <w:tcW w:w="2520" w:type="dxa"/>
            <w:shd w:val="clear" w:color="auto" w:fill="F1F3F5"/>
            <w:vAlign w:val="center"/>
          </w:tcPr>
          <w:p w:rsidR="007A5889" w:rsidRPr="002F7BF4" w:rsidRDefault="007A5889" w:rsidP="00827CAD">
            <w:pPr>
              <w:jc w:val="center"/>
              <w:rPr>
                <w:rFonts w:ascii="Arial" w:hAnsi="Arial" w:cs="Arial"/>
                <w:color w:val="000066"/>
                <w:sz w:val="16"/>
                <w:szCs w:val="16"/>
              </w:rPr>
            </w:pPr>
            <w:r w:rsidRPr="002F7BF4">
              <w:rPr>
                <w:rFonts w:ascii="Arial" w:hAnsi="Arial" w:cs="Arial"/>
                <w:color w:val="000066"/>
                <w:sz w:val="16"/>
                <w:szCs w:val="16"/>
              </w:rPr>
              <w:t>€</w:t>
            </w:r>
            <w:r w:rsidR="007442CA">
              <w:rPr>
                <w:rFonts w:ascii="Arial" w:hAnsi="Arial" w:cs="Arial"/>
                <w:color w:val="000066"/>
                <w:sz w:val="16"/>
                <w:szCs w:val="16"/>
              </w:rPr>
              <w:t>19.584</w:t>
            </w:r>
            <w:r>
              <w:rPr>
                <w:rFonts w:ascii="Arial" w:hAnsi="Arial" w:cs="Arial"/>
                <w:color w:val="000066"/>
                <w:sz w:val="16"/>
                <w:szCs w:val="16"/>
              </w:rPr>
              <w:t>ε</w:t>
            </w:r>
            <w:r w:rsidRPr="002F7BF4">
              <w:rPr>
                <w:rFonts w:ascii="Arial" w:hAnsi="Arial" w:cs="Arial"/>
                <w:color w:val="000066"/>
                <w:sz w:val="16"/>
                <w:szCs w:val="16"/>
              </w:rPr>
              <w:t>κ.</w:t>
            </w:r>
          </w:p>
        </w:tc>
      </w:tr>
      <w:tr w:rsidR="007A5889" w:rsidRPr="002A1856" w:rsidTr="007A5889">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7A5889" w:rsidRPr="00C238BC" w:rsidRDefault="007A5889" w:rsidP="00C329F2">
            <w:pPr>
              <w:widowControl w:val="0"/>
              <w:rPr>
                <w:rFonts w:ascii="Arial" w:hAnsi="Arial" w:cs="Arial"/>
                <w:color w:val="000066"/>
                <w:sz w:val="16"/>
                <w:szCs w:val="16"/>
              </w:rPr>
            </w:pPr>
            <w:r>
              <w:rPr>
                <w:rFonts w:ascii="Arial" w:hAnsi="Arial" w:cs="Arial"/>
                <w:color w:val="000066"/>
                <w:sz w:val="16"/>
                <w:szCs w:val="16"/>
              </w:rPr>
              <w:t>Σ</w:t>
            </w:r>
            <w:r w:rsidRPr="00C238BC">
              <w:rPr>
                <w:rFonts w:ascii="Arial" w:hAnsi="Arial" w:cs="Arial"/>
                <w:color w:val="000066"/>
                <w:sz w:val="16"/>
                <w:szCs w:val="16"/>
              </w:rPr>
              <w:t xml:space="preserve">ύνολο Χορηγήσεων (προ </w:t>
            </w:r>
            <w:r>
              <w:rPr>
                <w:rFonts w:ascii="Arial" w:hAnsi="Arial" w:cs="Arial"/>
                <w:color w:val="000066"/>
                <w:sz w:val="16"/>
                <w:szCs w:val="16"/>
              </w:rPr>
              <w:t>π</w:t>
            </w:r>
            <w:r w:rsidRPr="00C238BC">
              <w:rPr>
                <w:rFonts w:ascii="Arial" w:hAnsi="Arial" w:cs="Arial"/>
                <w:color w:val="000066"/>
                <w:sz w:val="16"/>
                <w:szCs w:val="16"/>
              </w:rPr>
              <w:t>ροβλέψεων)</w:t>
            </w:r>
          </w:p>
        </w:tc>
        <w:tc>
          <w:tcPr>
            <w:tcW w:w="2520" w:type="dxa"/>
            <w:shd w:val="clear" w:color="auto" w:fill="F1F3F5"/>
            <w:vAlign w:val="center"/>
          </w:tcPr>
          <w:p w:rsidR="007A5889" w:rsidRPr="002F7BF4" w:rsidRDefault="007A5889" w:rsidP="007A5889">
            <w:pPr>
              <w:jc w:val="center"/>
              <w:rPr>
                <w:rFonts w:ascii="Arial" w:hAnsi="Arial" w:cs="Arial"/>
                <w:color w:val="000066"/>
                <w:sz w:val="16"/>
                <w:szCs w:val="16"/>
              </w:rPr>
            </w:pPr>
            <w:r w:rsidRPr="002F7BF4">
              <w:rPr>
                <w:rFonts w:ascii="Arial" w:hAnsi="Arial" w:cs="Arial"/>
                <w:color w:val="000066"/>
                <w:sz w:val="16"/>
                <w:szCs w:val="16"/>
              </w:rPr>
              <w:t>€</w:t>
            </w:r>
            <w:r w:rsidR="00DC2E7C">
              <w:rPr>
                <w:rFonts w:ascii="Arial" w:hAnsi="Arial" w:cs="Arial"/>
                <w:color w:val="000066"/>
                <w:sz w:val="16"/>
                <w:szCs w:val="16"/>
              </w:rPr>
              <w:t>50.655</w:t>
            </w:r>
            <w:r w:rsidRPr="002F7BF4">
              <w:rPr>
                <w:rFonts w:ascii="Arial" w:hAnsi="Arial" w:cs="Arial"/>
                <w:color w:val="000066"/>
                <w:sz w:val="16"/>
                <w:szCs w:val="16"/>
              </w:rPr>
              <w:t>εκ.</w:t>
            </w:r>
          </w:p>
        </w:tc>
        <w:tc>
          <w:tcPr>
            <w:tcW w:w="2520" w:type="dxa"/>
            <w:shd w:val="clear" w:color="auto" w:fill="F1F3F5"/>
            <w:vAlign w:val="center"/>
          </w:tcPr>
          <w:p w:rsidR="007A5889" w:rsidRPr="002F7BF4" w:rsidRDefault="007A5889" w:rsidP="00827CAD">
            <w:pPr>
              <w:jc w:val="center"/>
              <w:rPr>
                <w:rFonts w:ascii="Arial" w:hAnsi="Arial" w:cs="Arial"/>
                <w:color w:val="000066"/>
                <w:sz w:val="16"/>
                <w:szCs w:val="16"/>
              </w:rPr>
            </w:pPr>
            <w:r w:rsidRPr="002F7BF4">
              <w:rPr>
                <w:rFonts w:ascii="Arial" w:hAnsi="Arial" w:cs="Arial"/>
                <w:color w:val="000066"/>
                <w:sz w:val="16"/>
                <w:szCs w:val="16"/>
              </w:rPr>
              <w:t>€</w:t>
            </w:r>
            <w:r w:rsidR="007442CA">
              <w:rPr>
                <w:rFonts w:ascii="Arial" w:hAnsi="Arial" w:cs="Arial"/>
                <w:color w:val="000066"/>
                <w:sz w:val="16"/>
                <w:szCs w:val="16"/>
              </w:rPr>
              <w:t>51.683</w:t>
            </w:r>
            <w:r w:rsidRPr="002F7BF4">
              <w:rPr>
                <w:rFonts w:ascii="Arial" w:hAnsi="Arial" w:cs="Arial"/>
                <w:color w:val="000066"/>
                <w:sz w:val="16"/>
                <w:szCs w:val="16"/>
              </w:rPr>
              <w:t>εκ.</w:t>
            </w:r>
          </w:p>
        </w:tc>
      </w:tr>
      <w:tr w:rsidR="007A5889" w:rsidRPr="002A1856" w:rsidTr="007A5889">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7A5889" w:rsidRPr="00C238BC" w:rsidRDefault="007A5889" w:rsidP="00FE0057">
            <w:pPr>
              <w:widowControl w:val="0"/>
              <w:rPr>
                <w:rFonts w:ascii="Arial" w:hAnsi="Arial" w:cs="Arial"/>
                <w:color w:val="000066"/>
                <w:sz w:val="16"/>
                <w:szCs w:val="16"/>
              </w:rPr>
            </w:pPr>
            <w:r w:rsidRPr="00C238BC">
              <w:rPr>
                <w:rFonts w:ascii="Arial" w:hAnsi="Arial" w:cs="Arial"/>
                <w:color w:val="000066"/>
                <w:sz w:val="16"/>
                <w:szCs w:val="16"/>
              </w:rPr>
              <w:t xml:space="preserve">Σύνολο Καταθέσεων </w:t>
            </w:r>
          </w:p>
        </w:tc>
        <w:tc>
          <w:tcPr>
            <w:tcW w:w="2520" w:type="dxa"/>
            <w:shd w:val="clear" w:color="auto" w:fill="F1F3F5"/>
            <w:vAlign w:val="center"/>
          </w:tcPr>
          <w:p w:rsidR="007A5889" w:rsidRPr="002F7BF4" w:rsidRDefault="007A5889" w:rsidP="007A5889">
            <w:pPr>
              <w:jc w:val="center"/>
              <w:rPr>
                <w:rFonts w:ascii="Arial" w:hAnsi="Arial" w:cs="Arial"/>
                <w:color w:val="000066"/>
                <w:sz w:val="16"/>
                <w:szCs w:val="16"/>
              </w:rPr>
            </w:pPr>
            <w:r w:rsidRPr="002F7BF4">
              <w:rPr>
                <w:rFonts w:ascii="Arial" w:hAnsi="Arial" w:cs="Arial"/>
                <w:color w:val="000066"/>
                <w:sz w:val="16"/>
                <w:szCs w:val="16"/>
              </w:rPr>
              <w:t>€</w:t>
            </w:r>
            <w:r w:rsidR="00DC2E7C">
              <w:rPr>
                <w:rFonts w:ascii="Arial" w:hAnsi="Arial" w:cs="Arial"/>
                <w:color w:val="000066"/>
                <w:sz w:val="16"/>
                <w:szCs w:val="16"/>
              </w:rPr>
              <w:t>34.031</w:t>
            </w:r>
            <w:r>
              <w:rPr>
                <w:rFonts w:ascii="Arial" w:hAnsi="Arial" w:cs="Arial"/>
                <w:color w:val="000066"/>
                <w:sz w:val="16"/>
                <w:szCs w:val="16"/>
              </w:rPr>
              <w:t>ε</w:t>
            </w:r>
            <w:r w:rsidRPr="002F7BF4">
              <w:rPr>
                <w:rFonts w:ascii="Arial" w:hAnsi="Arial" w:cs="Arial"/>
                <w:color w:val="000066"/>
                <w:sz w:val="16"/>
                <w:szCs w:val="16"/>
              </w:rPr>
              <w:t>κ.</w:t>
            </w:r>
          </w:p>
        </w:tc>
        <w:tc>
          <w:tcPr>
            <w:tcW w:w="2520" w:type="dxa"/>
            <w:shd w:val="clear" w:color="auto" w:fill="F1F3F5"/>
            <w:vAlign w:val="center"/>
          </w:tcPr>
          <w:p w:rsidR="007A5889" w:rsidRPr="002F7BF4" w:rsidRDefault="007A5889" w:rsidP="00827CAD">
            <w:pPr>
              <w:jc w:val="center"/>
              <w:rPr>
                <w:rFonts w:ascii="Arial" w:hAnsi="Arial" w:cs="Arial"/>
                <w:color w:val="000066"/>
                <w:sz w:val="16"/>
                <w:szCs w:val="16"/>
              </w:rPr>
            </w:pPr>
            <w:r w:rsidRPr="002F7BF4">
              <w:rPr>
                <w:rFonts w:ascii="Arial" w:hAnsi="Arial" w:cs="Arial"/>
                <w:color w:val="000066"/>
                <w:sz w:val="16"/>
                <w:szCs w:val="16"/>
              </w:rPr>
              <w:t>€</w:t>
            </w:r>
            <w:r w:rsidR="007442CA">
              <w:rPr>
                <w:rFonts w:ascii="Arial" w:hAnsi="Arial" w:cs="Arial"/>
                <w:color w:val="000066"/>
                <w:sz w:val="16"/>
                <w:szCs w:val="16"/>
              </w:rPr>
              <w:t>31.446</w:t>
            </w:r>
            <w:r>
              <w:rPr>
                <w:rFonts w:ascii="Arial" w:hAnsi="Arial" w:cs="Arial"/>
                <w:color w:val="000066"/>
                <w:sz w:val="16"/>
                <w:szCs w:val="16"/>
              </w:rPr>
              <w:t>ε</w:t>
            </w:r>
            <w:r w:rsidRPr="002F7BF4">
              <w:rPr>
                <w:rFonts w:ascii="Arial" w:hAnsi="Arial" w:cs="Arial"/>
                <w:color w:val="000066"/>
                <w:sz w:val="16"/>
                <w:szCs w:val="16"/>
              </w:rPr>
              <w:t>κ.</w:t>
            </w:r>
          </w:p>
        </w:tc>
      </w:tr>
      <w:tr w:rsidR="007A5889" w:rsidRPr="002A1856" w:rsidTr="007A5889">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7A5889" w:rsidRPr="00C238BC" w:rsidRDefault="007A5889" w:rsidP="00FE0057">
            <w:pPr>
              <w:widowControl w:val="0"/>
              <w:rPr>
                <w:rFonts w:ascii="Arial" w:hAnsi="Arial" w:cs="Arial"/>
                <w:color w:val="000066"/>
                <w:sz w:val="16"/>
                <w:szCs w:val="16"/>
              </w:rPr>
            </w:pPr>
            <w:r w:rsidRPr="00C238BC">
              <w:rPr>
                <w:rFonts w:ascii="Arial" w:hAnsi="Arial" w:cs="Arial"/>
                <w:color w:val="000066"/>
                <w:sz w:val="16"/>
                <w:szCs w:val="16"/>
              </w:rPr>
              <w:t>Σύνολο Ενεργητικού</w:t>
            </w:r>
          </w:p>
        </w:tc>
        <w:tc>
          <w:tcPr>
            <w:tcW w:w="2520" w:type="dxa"/>
            <w:shd w:val="clear" w:color="auto" w:fill="F1F3F5"/>
            <w:vAlign w:val="center"/>
          </w:tcPr>
          <w:p w:rsidR="007A5889" w:rsidRPr="002F7BF4" w:rsidRDefault="007A5889" w:rsidP="007A5889">
            <w:pPr>
              <w:jc w:val="center"/>
              <w:rPr>
                <w:rFonts w:ascii="Arial" w:hAnsi="Arial" w:cs="Arial"/>
                <w:color w:val="000066"/>
                <w:sz w:val="16"/>
                <w:szCs w:val="16"/>
              </w:rPr>
            </w:pPr>
            <w:r w:rsidRPr="002F7BF4">
              <w:rPr>
                <w:rFonts w:ascii="Arial" w:hAnsi="Arial" w:cs="Arial"/>
                <w:color w:val="000066"/>
                <w:sz w:val="16"/>
                <w:szCs w:val="16"/>
              </w:rPr>
              <w:t>€</w:t>
            </w:r>
            <w:r w:rsidR="00DC2E7C">
              <w:rPr>
                <w:rFonts w:ascii="Arial" w:hAnsi="Arial" w:cs="Arial"/>
                <w:color w:val="000066"/>
                <w:sz w:val="16"/>
                <w:szCs w:val="16"/>
              </w:rPr>
              <w:t>66.393</w:t>
            </w:r>
            <w:r>
              <w:rPr>
                <w:rFonts w:ascii="Arial" w:hAnsi="Arial" w:cs="Arial"/>
                <w:color w:val="000066"/>
                <w:sz w:val="16"/>
                <w:szCs w:val="16"/>
              </w:rPr>
              <w:t>ε</w:t>
            </w:r>
            <w:r w:rsidRPr="002F7BF4">
              <w:rPr>
                <w:rFonts w:ascii="Arial" w:hAnsi="Arial" w:cs="Arial"/>
                <w:color w:val="000066"/>
                <w:sz w:val="16"/>
                <w:szCs w:val="16"/>
              </w:rPr>
              <w:t>κ.</w:t>
            </w:r>
          </w:p>
        </w:tc>
        <w:tc>
          <w:tcPr>
            <w:tcW w:w="2520" w:type="dxa"/>
            <w:shd w:val="clear" w:color="auto" w:fill="F1F3F5"/>
            <w:vAlign w:val="center"/>
          </w:tcPr>
          <w:p w:rsidR="007A5889" w:rsidRPr="002F7BF4" w:rsidRDefault="007A5889" w:rsidP="00827CAD">
            <w:pPr>
              <w:jc w:val="center"/>
              <w:rPr>
                <w:rFonts w:ascii="Arial" w:hAnsi="Arial" w:cs="Arial"/>
                <w:color w:val="000066"/>
                <w:sz w:val="16"/>
                <w:szCs w:val="16"/>
              </w:rPr>
            </w:pPr>
            <w:r w:rsidRPr="002F7BF4">
              <w:rPr>
                <w:rFonts w:ascii="Arial" w:hAnsi="Arial" w:cs="Arial"/>
                <w:color w:val="000066"/>
                <w:sz w:val="16"/>
                <w:szCs w:val="16"/>
              </w:rPr>
              <w:t>€</w:t>
            </w:r>
            <w:r w:rsidR="007442CA">
              <w:rPr>
                <w:rFonts w:ascii="Arial" w:hAnsi="Arial" w:cs="Arial"/>
                <w:color w:val="000066"/>
                <w:sz w:val="16"/>
                <w:szCs w:val="16"/>
              </w:rPr>
              <w:t>73.553</w:t>
            </w:r>
            <w:r>
              <w:rPr>
                <w:rFonts w:ascii="Arial" w:hAnsi="Arial" w:cs="Arial"/>
                <w:color w:val="000066"/>
                <w:sz w:val="16"/>
                <w:szCs w:val="16"/>
              </w:rPr>
              <w:t>ε</w:t>
            </w:r>
            <w:r w:rsidRPr="002F7BF4">
              <w:rPr>
                <w:rFonts w:ascii="Arial" w:hAnsi="Arial" w:cs="Arial"/>
                <w:color w:val="000066"/>
                <w:sz w:val="16"/>
                <w:szCs w:val="16"/>
              </w:rPr>
              <w:t>κ.</w:t>
            </w:r>
          </w:p>
        </w:tc>
      </w:tr>
    </w:tbl>
    <w:p w:rsidR="00F40322" w:rsidRPr="003D3383" w:rsidRDefault="00F40322" w:rsidP="00F40322">
      <w:pPr>
        <w:ind w:right="1652"/>
        <w:jc w:val="both"/>
        <w:rPr>
          <w:rFonts w:ascii="Arial" w:hAnsi="Arial" w:cs="Arial"/>
          <w:sz w:val="18"/>
          <w:szCs w:val="18"/>
        </w:rPr>
      </w:pPr>
    </w:p>
    <w:tbl>
      <w:tblPr>
        <w:tblpPr w:leftFromText="180" w:rightFromText="180" w:vertAnchor="text" w:horzAnchor="margin" w:tblpX="-651" w:tblpY="344"/>
        <w:tblW w:w="984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left w:w="0" w:type="dxa"/>
          <w:right w:w="0" w:type="dxa"/>
        </w:tblCellMar>
        <w:tblLook w:val="0000"/>
      </w:tblPr>
      <w:tblGrid>
        <w:gridCol w:w="4736"/>
        <w:gridCol w:w="2552"/>
        <w:gridCol w:w="2552"/>
      </w:tblGrid>
      <w:tr w:rsidR="007A5889" w:rsidRPr="002A1856" w:rsidTr="007A5889">
        <w:trPr>
          <w:trHeight w:hRule="exact" w:val="285"/>
        </w:trPr>
        <w:tc>
          <w:tcPr>
            <w:tcW w:w="4736" w:type="dxa"/>
            <w:tcBorders>
              <w:left w:val="nil"/>
            </w:tcBorders>
            <w:shd w:val="clear" w:color="auto" w:fill="F1F3F5"/>
            <w:tcMar>
              <w:top w:w="58" w:type="dxa"/>
              <w:left w:w="58" w:type="dxa"/>
              <w:bottom w:w="58" w:type="dxa"/>
              <w:right w:w="58" w:type="dxa"/>
            </w:tcMar>
          </w:tcPr>
          <w:p w:rsidR="007A5889" w:rsidRPr="002A1856" w:rsidRDefault="007A5889" w:rsidP="007A5889">
            <w:pPr>
              <w:widowControl w:val="0"/>
              <w:rPr>
                <w:rFonts w:ascii="Arial" w:hAnsi="Arial" w:cs="Arial"/>
                <w:color w:val="800000"/>
                <w:sz w:val="16"/>
                <w:szCs w:val="16"/>
              </w:rPr>
            </w:pPr>
            <w:r w:rsidRPr="002A1856">
              <w:rPr>
                <w:rFonts w:ascii="Arial" w:hAnsi="Arial" w:cs="Arial"/>
                <w:b/>
                <w:bCs/>
                <w:color w:val="800000"/>
                <w:sz w:val="16"/>
                <w:szCs w:val="16"/>
                <w:lang w:val="en-GB"/>
              </w:rPr>
              <w:t>Χρηματοοικονομικοί Δείκτες</w:t>
            </w:r>
            <w:r>
              <w:rPr>
                <w:rFonts w:ascii="Arial" w:hAnsi="Arial" w:cs="Arial"/>
                <w:b/>
                <w:bCs/>
                <w:color w:val="800000"/>
                <w:sz w:val="16"/>
                <w:szCs w:val="16"/>
              </w:rPr>
              <w:t xml:space="preserve"> </w:t>
            </w:r>
          </w:p>
          <w:p w:rsidR="007A5889" w:rsidRPr="002A1856" w:rsidRDefault="007A5889" w:rsidP="007A5889">
            <w:pPr>
              <w:widowControl w:val="0"/>
              <w:rPr>
                <w:rFonts w:ascii="Arial" w:hAnsi="Arial" w:cs="Arial"/>
                <w:b/>
                <w:bCs/>
                <w:color w:val="800000"/>
                <w:sz w:val="16"/>
                <w:szCs w:val="16"/>
                <w:lang w:val="en-GB"/>
              </w:rPr>
            </w:pPr>
          </w:p>
        </w:tc>
        <w:tc>
          <w:tcPr>
            <w:tcW w:w="2552" w:type="dxa"/>
            <w:shd w:val="clear" w:color="auto" w:fill="F1F3F5"/>
            <w:vAlign w:val="center"/>
          </w:tcPr>
          <w:p w:rsidR="007A5889" w:rsidRPr="00C159A9" w:rsidDel="002215F3" w:rsidRDefault="007A5889" w:rsidP="007A5889">
            <w:pPr>
              <w:widowControl w:val="0"/>
              <w:jc w:val="center"/>
              <w:rPr>
                <w:rFonts w:ascii="Arial" w:hAnsi="Arial" w:cs="Arial"/>
                <w:b/>
                <w:bCs/>
                <w:color w:val="800000"/>
                <w:sz w:val="16"/>
                <w:szCs w:val="16"/>
              </w:rPr>
            </w:pPr>
            <w:r>
              <w:rPr>
                <w:rFonts w:ascii="Arial" w:hAnsi="Arial" w:cs="Arial"/>
                <w:b/>
                <w:bCs/>
                <w:color w:val="800000"/>
                <w:sz w:val="16"/>
                <w:szCs w:val="16"/>
              </w:rPr>
              <w:t>2016</w:t>
            </w:r>
          </w:p>
        </w:tc>
        <w:tc>
          <w:tcPr>
            <w:tcW w:w="2552" w:type="dxa"/>
            <w:shd w:val="clear" w:color="auto" w:fill="F1F3F5"/>
            <w:vAlign w:val="center"/>
          </w:tcPr>
          <w:p w:rsidR="007A5889" w:rsidRPr="00C159A9" w:rsidDel="002215F3" w:rsidRDefault="00E036DD" w:rsidP="007A5889">
            <w:pPr>
              <w:widowControl w:val="0"/>
              <w:jc w:val="center"/>
              <w:rPr>
                <w:rFonts w:ascii="Arial" w:hAnsi="Arial" w:cs="Arial"/>
                <w:b/>
                <w:bCs/>
                <w:color w:val="800000"/>
                <w:sz w:val="16"/>
                <w:szCs w:val="16"/>
              </w:rPr>
            </w:pPr>
            <w:r>
              <w:rPr>
                <w:rFonts w:ascii="Arial" w:hAnsi="Arial" w:cs="Arial"/>
                <w:b/>
                <w:bCs/>
                <w:color w:val="800000"/>
                <w:sz w:val="16"/>
                <w:szCs w:val="16"/>
              </w:rPr>
              <w:t>2015</w:t>
            </w:r>
          </w:p>
        </w:tc>
      </w:tr>
      <w:tr w:rsidR="007A5889" w:rsidRPr="002A1856" w:rsidTr="007A5889">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7A5889" w:rsidRPr="00EA58A5" w:rsidRDefault="007A5889" w:rsidP="007A5889">
            <w:pPr>
              <w:widowControl w:val="0"/>
              <w:rPr>
                <w:rFonts w:ascii="Arial" w:hAnsi="Arial" w:cs="Arial"/>
                <w:color w:val="000066"/>
                <w:sz w:val="16"/>
                <w:szCs w:val="16"/>
              </w:rPr>
            </w:pPr>
            <w:r w:rsidRPr="00EA58A5">
              <w:rPr>
                <w:rFonts w:ascii="Arial" w:hAnsi="Arial" w:cs="Arial"/>
                <w:color w:val="000066"/>
                <w:sz w:val="16"/>
                <w:szCs w:val="16"/>
              </w:rPr>
              <w:t>Καθαρό Περιθώριο Επιτοκίου</w:t>
            </w:r>
          </w:p>
          <w:p w:rsidR="007A5889" w:rsidRPr="002A1856" w:rsidRDefault="007A5889" w:rsidP="007A5889">
            <w:pPr>
              <w:widowControl w:val="0"/>
              <w:rPr>
                <w:rFonts w:ascii="Arial" w:hAnsi="Arial" w:cs="Arial"/>
                <w:sz w:val="16"/>
                <w:szCs w:val="16"/>
              </w:rPr>
            </w:pPr>
          </w:p>
          <w:p w:rsidR="007A5889" w:rsidRPr="00176DF9" w:rsidRDefault="007A5889" w:rsidP="007A5889">
            <w:pPr>
              <w:widowControl w:val="0"/>
              <w:rPr>
                <w:rFonts w:ascii="Arial" w:hAnsi="Arial" w:cs="Arial"/>
                <w:b/>
                <w:bCs/>
                <w:color w:val="800000"/>
                <w:sz w:val="16"/>
                <w:szCs w:val="16"/>
              </w:rPr>
            </w:pPr>
          </w:p>
        </w:tc>
        <w:tc>
          <w:tcPr>
            <w:tcW w:w="2552" w:type="dxa"/>
            <w:shd w:val="clear" w:color="auto" w:fill="F1F3F5"/>
          </w:tcPr>
          <w:p w:rsidR="007A5889" w:rsidRDefault="009651B1" w:rsidP="00E036DD">
            <w:pPr>
              <w:widowControl w:val="0"/>
              <w:jc w:val="center"/>
              <w:rPr>
                <w:rFonts w:ascii="Arial" w:hAnsi="Arial" w:cs="Arial"/>
                <w:color w:val="000066"/>
                <w:sz w:val="16"/>
                <w:szCs w:val="16"/>
              </w:rPr>
            </w:pPr>
            <w:r>
              <w:rPr>
                <w:rFonts w:ascii="Arial" w:hAnsi="Arial" w:cs="Arial"/>
                <w:color w:val="000066"/>
                <w:sz w:val="16"/>
                <w:szCs w:val="16"/>
              </w:rPr>
              <w:t>2,</w:t>
            </w:r>
            <w:r w:rsidR="00E036DD">
              <w:rPr>
                <w:rFonts w:ascii="Arial" w:hAnsi="Arial" w:cs="Arial"/>
                <w:color w:val="000066"/>
                <w:sz w:val="16"/>
                <w:szCs w:val="16"/>
              </w:rPr>
              <w:t>25</w:t>
            </w:r>
            <w:r w:rsidR="007A5889">
              <w:rPr>
                <w:rFonts w:ascii="Arial" w:hAnsi="Arial" w:cs="Arial"/>
                <w:color w:val="000066"/>
                <w:sz w:val="16"/>
                <w:szCs w:val="16"/>
              </w:rPr>
              <w:t>%</w:t>
            </w:r>
          </w:p>
        </w:tc>
        <w:tc>
          <w:tcPr>
            <w:tcW w:w="2552" w:type="dxa"/>
            <w:shd w:val="clear" w:color="auto" w:fill="F1F3F5"/>
          </w:tcPr>
          <w:p w:rsidR="007A5889" w:rsidRDefault="007A5889" w:rsidP="00E036DD">
            <w:pPr>
              <w:widowControl w:val="0"/>
              <w:jc w:val="center"/>
              <w:rPr>
                <w:rFonts w:ascii="Arial" w:hAnsi="Arial" w:cs="Arial"/>
                <w:color w:val="000066"/>
                <w:sz w:val="16"/>
                <w:szCs w:val="16"/>
              </w:rPr>
            </w:pPr>
            <w:r>
              <w:rPr>
                <w:rFonts w:ascii="Arial" w:hAnsi="Arial" w:cs="Arial"/>
                <w:color w:val="000066"/>
                <w:sz w:val="16"/>
                <w:szCs w:val="16"/>
              </w:rPr>
              <w:t>2,</w:t>
            </w:r>
            <w:r w:rsidR="00E036DD">
              <w:rPr>
                <w:rFonts w:ascii="Arial" w:hAnsi="Arial" w:cs="Arial"/>
                <w:color w:val="000066"/>
                <w:sz w:val="16"/>
                <w:szCs w:val="16"/>
              </w:rPr>
              <w:t>02</w:t>
            </w:r>
            <w:r>
              <w:rPr>
                <w:rFonts w:ascii="Arial" w:hAnsi="Arial" w:cs="Arial"/>
                <w:color w:val="000066"/>
                <w:sz w:val="16"/>
                <w:szCs w:val="16"/>
              </w:rPr>
              <w:t>%</w:t>
            </w:r>
          </w:p>
        </w:tc>
      </w:tr>
      <w:tr w:rsidR="007A5889" w:rsidRPr="002A1856" w:rsidTr="007A5889">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7A5889" w:rsidRPr="00EA58A5" w:rsidRDefault="007A5889" w:rsidP="007A5889">
            <w:pPr>
              <w:widowControl w:val="0"/>
              <w:rPr>
                <w:rFonts w:ascii="Arial" w:hAnsi="Arial" w:cs="Arial"/>
                <w:color w:val="000066"/>
                <w:sz w:val="16"/>
                <w:szCs w:val="16"/>
              </w:rPr>
            </w:pPr>
            <w:r w:rsidRPr="00EA58A5">
              <w:rPr>
                <w:rFonts w:ascii="Arial" w:hAnsi="Arial" w:cs="Arial"/>
                <w:color w:val="000066"/>
                <w:sz w:val="16"/>
                <w:szCs w:val="16"/>
              </w:rPr>
              <w:t xml:space="preserve">Δείκτης Κόστους προς </w:t>
            </w:r>
            <w:r w:rsidRPr="002A1856">
              <w:rPr>
                <w:rFonts w:ascii="Arial" w:hAnsi="Arial" w:cs="Arial"/>
                <w:color w:val="000066"/>
                <w:sz w:val="16"/>
                <w:szCs w:val="16"/>
              </w:rPr>
              <w:t>Έ</w:t>
            </w:r>
            <w:r w:rsidRPr="00EA58A5">
              <w:rPr>
                <w:rFonts w:ascii="Arial" w:hAnsi="Arial" w:cs="Arial"/>
                <w:color w:val="000066"/>
                <w:sz w:val="16"/>
                <w:szCs w:val="16"/>
              </w:rPr>
              <w:t>σοδα</w:t>
            </w:r>
          </w:p>
          <w:p w:rsidR="007A5889" w:rsidRPr="002A1856" w:rsidRDefault="007A5889" w:rsidP="007A5889">
            <w:pPr>
              <w:widowControl w:val="0"/>
              <w:rPr>
                <w:rFonts w:ascii="Arial" w:hAnsi="Arial" w:cs="Arial"/>
                <w:sz w:val="16"/>
                <w:szCs w:val="16"/>
              </w:rPr>
            </w:pPr>
          </w:p>
          <w:p w:rsidR="007A5889" w:rsidRPr="00176DF9" w:rsidRDefault="007A5889" w:rsidP="007A5889">
            <w:pPr>
              <w:widowControl w:val="0"/>
              <w:rPr>
                <w:rFonts w:ascii="Arial" w:hAnsi="Arial" w:cs="Arial"/>
                <w:b/>
                <w:bCs/>
                <w:color w:val="800000"/>
                <w:sz w:val="16"/>
                <w:szCs w:val="16"/>
              </w:rPr>
            </w:pPr>
          </w:p>
        </w:tc>
        <w:tc>
          <w:tcPr>
            <w:tcW w:w="2552" w:type="dxa"/>
            <w:shd w:val="clear" w:color="auto" w:fill="F1F3F5"/>
          </w:tcPr>
          <w:p w:rsidR="007A5889" w:rsidRPr="00101725" w:rsidRDefault="009651B1" w:rsidP="00E036DD">
            <w:pPr>
              <w:widowControl w:val="0"/>
              <w:jc w:val="center"/>
              <w:rPr>
                <w:rFonts w:ascii="Arial" w:hAnsi="Arial" w:cs="Arial"/>
                <w:color w:val="000066"/>
                <w:sz w:val="16"/>
                <w:szCs w:val="16"/>
              </w:rPr>
            </w:pPr>
            <w:r>
              <w:rPr>
                <w:rFonts w:ascii="Arial" w:hAnsi="Arial" w:cs="Arial"/>
                <w:color w:val="000066"/>
                <w:sz w:val="16"/>
                <w:szCs w:val="16"/>
              </w:rPr>
              <w:t>4</w:t>
            </w:r>
            <w:r w:rsidR="00D36761">
              <w:rPr>
                <w:rFonts w:ascii="Arial" w:hAnsi="Arial" w:cs="Arial"/>
                <w:color w:val="000066"/>
                <w:sz w:val="16"/>
                <w:szCs w:val="16"/>
              </w:rPr>
              <w:t>8,</w:t>
            </w:r>
            <w:r w:rsidR="00D36761">
              <w:rPr>
                <w:rFonts w:ascii="Arial" w:hAnsi="Arial" w:cs="Arial"/>
                <w:color w:val="000066"/>
                <w:sz w:val="16"/>
                <w:szCs w:val="16"/>
                <w:lang w:val="en-US"/>
              </w:rPr>
              <w:t>1</w:t>
            </w:r>
            <w:r w:rsidR="007A5889" w:rsidRPr="00101725">
              <w:rPr>
                <w:rFonts w:ascii="Arial" w:hAnsi="Arial" w:cs="Arial"/>
                <w:color w:val="000066"/>
                <w:sz w:val="16"/>
                <w:szCs w:val="16"/>
              </w:rPr>
              <w:t>%</w:t>
            </w:r>
          </w:p>
        </w:tc>
        <w:tc>
          <w:tcPr>
            <w:tcW w:w="2552" w:type="dxa"/>
            <w:shd w:val="clear" w:color="auto" w:fill="F1F3F5"/>
          </w:tcPr>
          <w:p w:rsidR="007A5889" w:rsidRPr="00101725" w:rsidRDefault="00BF0AC1" w:rsidP="007A5889">
            <w:pPr>
              <w:widowControl w:val="0"/>
              <w:jc w:val="center"/>
              <w:rPr>
                <w:rFonts w:ascii="Arial" w:hAnsi="Arial" w:cs="Arial"/>
                <w:color w:val="000066"/>
                <w:sz w:val="16"/>
                <w:szCs w:val="16"/>
              </w:rPr>
            </w:pPr>
            <w:r>
              <w:rPr>
                <w:rFonts w:ascii="Arial" w:hAnsi="Arial" w:cs="Arial"/>
                <w:color w:val="000066"/>
                <w:sz w:val="16"/>
                <w:szCs w:val="16"/>
              </w:rPr>
              <w:t>5</w:t>
            </w:r>
            <w:r w:rsidR="00CF0B64">
              <w:rPr>
                <w:rFonts w:ascii="Arial" w:hAnsi="Arial" w:cs="Arial"/>
                <w:color w:val="000066"/>
                <w:sz w:val="16"/>
                <w:szCs w:val="16"/>
              </w:rPr>
              <w:t>8,7</w:t>
            </w:r>
            <w:r w:rsidR="007A5889" w:rsidRPr="00101725">
              <w:rPr>
                <w:rFonts w:ascii="Arial" w:hAnsi="Arial" w:cs="Arial"/>
                <w:color w:val="000066"/>
                <w:sz w:val="16"/>
                <w:szCs w:val="16"/>
              </w:rPr>
              <w:t>%</w:t>
            </w:r>
            <w:r w:rsidR="00CF0B64">
              <w:rPr>
                <w:rStyle w:val="a7"/>
                <w:rFonts w:ascii="Arial" w:hAnsi="Arial" w:cs="Arial"/>
                <w:color w:val="000066"/>
                <w:sz w:val="16"/>
                <w:szCs w:val="16"/>
              </w:rPr>
              <w:footnoteReference w:id="6"/>
            </w:r>
          </w:p>
        </w:tc>
      </w:tr>
      <w:tr w:rsidR="009651B1" w:rsidRPr="002A1856" w:rsidTr="007A5889">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9651B1" w:rsidRPr="009651B1" w:rsidRDefault="009651B1" w:rsidP="009651B1">
            <w:pPr>
              <w:widowControl w:val="0"/>
              <w:rPr>
                <w:rFonts w:ascii="Arial" w:hAnsi="Arial" w:cs="Arial"/>
                <w:color w:val="000066"/>
                <w:sz w:val="16"/>
                <w:szCs w:val="16"/>
                <w:lang w:val="en-US"/>
              </w:rPr>
            </w:pPr>
            <w:r>
              <w:rPr>
                <w:rFonts w:ascii="Arial" w:hAnsi="Arial" w:cs="Arial"/>
                <w:color w:val="000066"/>
                <w:sz w:val="16"/>
                <w:szCs w:val="16"/>
              </w:rPr>
              <w:t>Μη Εξυπηρετούμενα Ανοίγματα (</w:t>
            </w:r>
            <w:r>
              <w:rPr>
                <w:rFonts w:ascii="Arial" w:hAnsi="Arial" w:cs="Arial"/>
                <w:color w:val="000066"/>
                <w:sz w:val="16"/>
                <w:szCs w:val="16"/>
                <w:lang w:val="en-US"/>
              </w:rPr>
              <w:t>NPEs)</w:t>
            </w:r>
          </w:p>
        </w:tc>
        <w:tc>
          <w:tcPr>
            <w:tcW w:w="2552" w:type="dxa"/>
            <w:shd w:val="clear" w:color="auto" w:fill="F1F3F5"/>
          </w:tcPr>
          <w:p w:rsidR="009651B1" w:rsidRDefault="009651B1" w:rsidP="009651B1">
            <w:pPr>
              <w:widowControl w:val="0"/>
              <w:jc w:val="center"/>
              <w:rPr>
                <w:rFonts w:ascii="Arial" w:hAnsi="Arial" w:cs="Arial"/>
                <w:color w:val="000066"/>
                <w:sz w:val="16"/>
                <w:szCs w:val="16"/>
              </w:rPr>
            </w:pPr>
            <w:r>
              <w:rPr>
                <w:rFonts w:ascii="Arial" w:hAnsi="Arial" w:cs="Arial"/>
                <w:color w:val="000066"/>
                <w:sz w:val="16"/>
                <w:szCs w:val="16"/>
              </w:rPr>
              <w:t>45,2%</w:t>
            </w:r>
          </w:p>
        </w:tc>
        <w:tc>
          <w:tcPr>
            <w:tcW w:w="2552" w:type="dxa"/>
            <w:shd w:val="clear" w:color="auto" w:fill="F1F3F5"/>
          </w:tcPr>
          <w:p w:rsidR="009651B1" w:rsidRDefault="009651B1" w:rsidP="00E036DD">
            <w:pPr>
              <w:widowControl w:val="0"/>
              <w:jc w:val="center"/>
              <w:rPr>
                <w:rFonts w:ascii="Arial" w:hAnsi="Arial" w:cs="Arial"/>
                <w:color w:val="000066"/>
                <w:sz w:val="16"/>
                <w:szCs w:val="16"/>
              </w:rPr>
            </w:pPr>
            <w:r>
              <w:rPr>
                <w:rFonts w:ascii="Arial" w:hAnsi="Arial" w:cs="Arial"/>
                <w:color w:val="000066"/>
                <w:sz w:val="16"/>
                <w:szCs w:val="16"/>
              </w:rPr>
              <w:t>4</w:t>
            </w:r>
            <w:r w:rsidR="00E036DD">
              <w:rPr>
                <w:rFonts w:ascii="Arial" w:hAnsi="Arial" w:cs="Arial"/>
                <w:color w:val="000066"/>
                <w:sz w:val="16"/>
                <w:szCs w:val="16"/>
              </w:rPr>
              <w:t>3,8</w:t>
            </w:r>
            <w:r>
              <w:rPr>
                <w:rFonts w:ascii="Arial" w:hAnsi="Arial" w:cs="Arial"/>
                <w:color w:val="000066"/>
                <w:sz w:val="16"/>
                <w:szCs w:val="16"/>
              </w:rPr>
              <w:t>%</w:t>
            </w:r>
          </w:p>
        </w:tc>
      </w:tr>
      <w:tr w:rsidR="009651B1" w:rsidRPr="002A1856" w:rsidTr="007A5889">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9651B1" w:rsidRPr="00EA58A5" w:rsidRDefault="009651B1" w:rsidP="009651B1">
            <w:pPr>
              <w:widowControl w:val="0"/>
              <w:rPr>
                <w:rFonts w:ascii="Arial" w:hAnsi="Arial" w:cs="Arial"/>
                <w:color w:val="000066"/>
                <w:sz w:val="16"/>
                <w:szCs w:val="16"/>
              </w:rPr>
            </w:pPr>
            <w:r>
              <w:rPr>
                <w:rFonts w:ascii="Arial" w:hAnsi="Arial" w:cs="Arial"/>
                <w:color w:val="000066"/>
                <w:sz w:val="16"/>
                <w:szCs w:val="16"/>
              </w:rPr>
              <w:t>Δάνεια σε Καθυστέρηση άνω των 90 ημερών</w:t>
            </w:r>
          </w:p>
        </w:tc>
        <w:tc>
          <w:tcPr>
            <w:tcW w:w="2552" w:type="dxa"/>
            <w:shd w:val="clear" w:color="auto" w:fill="F1F3F5"/>
          </w:tcPr>
          <w:p w:rsidR="009651B1" w:rsidRPr="00D41662" w:rsidRDefault="009651B1" w:rsidP="009651B1">
            <w:pPr>
              <w:widowControl w:val="0"/>
              <w:jc w:val="center"/>
              <w:rPr>
                <w:rFonts w:ascii="Arial" w:hAnsi="Arial" w:cs="Arial"/>
                <w:color w:val="000066"/>
                <w:sz w:val="16"/>
                <w:szCs w:val="16"/>
                <w:lang w:val="en-US"/>
              </w:rPr>
            </w:pPr>
            <w:r>
              <w:rPr>
                <w:rFonts w:ascii="Arial" w:hAnsi="Arial" w:cs="Arial"/>
                <w:color w:val="000066"/>
                <w:sz w:val="16"/>
                <w:szCs w:val="16"/>
              </w:rPr>
              <w:t>34,7</w:t>
            </w:r>
            <w:r>
              <w:rPr>
                <w:rFonts w:ascii="Arial" w:hAnsi="Arial" w:cs="Arial"/>
                <w:color w:val="000066"/>
                <w:sz w:val="16"/>
                <w:szCs w:val="16"/>
                <w:lang w:val="en-US"/>
              </w:rPr>
              <w:t>%</w:t>
            </w:r>
          </w:p>
        </w:tc>
        <w:tc>
          <w:tcPr>
            <w:tcW w:w="2552" w:type="dxa"/>
            <w:shd w:val="clear" w:color="auto" w:fill="F1F3F5"/>
          </w:tcPr>
          <w:p w:rsidR="009651B1" w:rsidRPr="00D41662" w:rsidRDefault="009651B1" w:rsidP="00E036DD">
            <w:pPr>
              <w:widowControl w:val="0"/>
              <w:jc w:val="center"/>
              <w:rPr>
                <w:rFonts w:ascii="Arial" w:hAnsi="Arial" w:cs="Arial"/>
                <w:color w:val="000066"/>
                <w:sz w:val="16"/>
                <w:szCs w:val="16"/>
                <w:lang w:val="en-US"/>
              </w:rPr>
            </w:pPr>
            <w:r>
              <w:rPr>
                <w:rFonts w:ascii="Arial" w:hAnsi="Arial" w:cs="Arial"/>
                <w:color w:val="000066"/>
                <w:sz w:val="16"/>
                <w:szCs w:val="16"/>
              </w:rPr>
              <w:t>3</w:t>
            </w:r>
            <w:r w:rsidR="00E036DD">
              <w:rPr>
                <w:rFonts w:ascii="Arial" w:hAnsi="Arial" w:cs="Arial"/>
                <w:color w:val="000066"/>
                <w:sz w:val="16"/>
                <w:szCs w:val="16"/>
              </w:rPr>
              <w:t>5,2</w:t>
            </w:r>
            <w:r>
              <w:rPr>
                <w:rFonts w:ascii="Arial" w:hAnsi="Arial" w:cs="Arial"/>
                <w:color w:val="000066"/>
                <w:sz w:val="16"/>
                <w:szCs w:val="16"/>
                <w:lang w:val="en-US"/>
              </w:rPr>
              <w:t>%</w:t>
            </w:r>
          </w:p>
        </w:tc>
      </w:tr>
      <w:tr w:rsidR="009651B1" w:rsidRPr="002A1856" w:rsidTr="007A5889">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9651B1" w:rsidRDefault="009651B1" w:rsidP="009651B1">
            <w:pPr>
              <w:widowControl w:val="0"/>
              <w:rPr>
                <w:rFonts w:ascii="Arial" w:hAnsi="Arial" w:cs="Arial"/>
                <w:color w:val="000066"/>
                <w:sz w:val="16"/>
                <w:szCs w:val="16"/>
              </w:rPr>
            </w:pPr>
            <w:r w:rsidRPr="002A1856">
              <w:rPr>
                <w:rFonts w:ascii="Arial" w:hAnsi="Arial" w:cs="Arial"/>
                <w:color w:val="000066"/>
                <w:sz w:val="16"/>
                <w:szCs w:val="16"/>
              </w:rPr>
              <w:t>Δείκτης Κάλυψη</w:t>
            </w:r>
            <w:r>
              <w:rPr>
                <w:rFonts w:ascii="Arial" w:hAnsi="Arial" w:cs="Arial"/>
                <w:color w:val="000066"/>
                <w:sz w:val="16"/>
                <w:szCs w:val="16"/>
              </w:rPr>
              <w:t>ς Μη εξυπηρετούμενων Ανοιγμάτων</w:t>
            </w:r>
          </w:p>
        </w:tc>
        <w:tc>
          <w:tcPr>
            <w:tcW w:w="2552" w:type="dxa"/>
            <w:shd w:val="clear" w:color="auto" w:fill="F1F3F5"/>
          </w:tcPr>
          <w:p w:rsidR="009651B1" w:rsidRDefault="009651B1" w:rsidP="009651B1">
            <w:pPr>
              <w:widowControl w:val="0"/>
              <w:jc w:val="center"/>
              <w:rPr>
                <w:rFonts w:ascii="Arial" w:hAnsi="Arial" w:cs="Arial"/>
                <w:color w:val="000066"/>
                <w:sz w:val="16"/>
                <w:szCs w:val="16"/>
              </w:rPr>
            </w:pPr>
            <w:r>
              <w:rPr>
                <w:rFonts w:ascii="Arial" w:hAnsi="Arial" w:cs="Arial"/>
                <w:color w:val="000066"/>
                <w:sz w:val="16"/>
                <w:szCs w:val="16"/>
              </w:rPr>
              <w:t>50,7%</w:t>
            </w:r>
          </w:p>
        </w:tc>
        <w:tc>
          <w:tcPr>
            <w:tcW w:w="2552" w:type="dxa"/>
            <w:shd w:val="clear" w:color="auto" w:fill="F1F3F5"/>
          </w:tcPr>
          <w:p w:rsidR="009651B1" w:rsidRDefault="009651B1" w:rsidP="00E036DD">
            <w:pPr>
              <w:widowControl w:val="0"/>
              <w:jc w:val="center"/>
              <w:rPr>
                <w:rFonts w:ascii="Arial" w:hAnsi="Arial" w:cs="Arial"/>
                <w:color w:val="000066"/>
                <w:sz w:val="16"/>
                <w:szCs w:val="16"/>
              </w:rPr>
            </w:pPr>
            <w:r>
              <w:rPr>
                <w:rFonts w:ascii="Arial" w:hAnsi="Arial" w:cs="Arial"/>
                <w:color w:val="000066"/>
                <w:sz w:val="16"/>
                <w:szCs w:val="16"/>
              </w:rPr>
              <w:t>5</w:t>
            </w:r>
            <w:r w:rsidR="00E036DD">
              <w:rPr>
                <w:rFonts w:ascii="Arial" w:hAnsi="Arial" w:cs="Arial"/>
                <w:color w:val="000066"/>
                <w:sz w:val="16"/>
                <w:szCs w:val="16"/>
              </w:rPr>
              <w:t>2,1</w:t>
            </w:r>
            <w:r>
              <w:rPr>
                <w:rFonts w:ascii="Arial" w:hAnsi="Arial" w:cs="Arial"/>
                <w:color w:val="000066"/>
                <w:sz w:val="16"/>
                <w:szCs w:val="16"/>
              </w:rPr>
              <w:t>%</w:t>
            </w:r>
          </w:p>
        </w:tc>
      </w:tr>
      <w:tr w:rsidR="009651B1" w:rsidRPr="002A1856" w:rsidTr="007A5889">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9651B1" w:rsidRPr="002A1856" w:rsidRDefault="009651B1" w:rsidP="009651B1">
            <w:pPr>
              <w:widowControl w:val="0"/>
              <w:rPr>
                <w:rFonts w:ascii="Arial" w:hAnsi="Arial" w:cs="Arial"/>
                <w:color w:val="000066"/>
                <w:sz w:val="16"/>
                <w:szCs w:val="16"/>
              </w:rPr>
            </w:pPr>
            <w:r w:rsidRPr="002A1856">
              <w:rPr>
                <w:rFonts w:ascii="Arial" w:hAnsi="Arial" w:cs="Arial"/>
                <w:color w:val="000066"/>
                <w:sz w:val="16"/>
                <w:szCs w:val="16"/>
              </w:rPr>
              <w:t xml:space="preserve">Δείκτης Κάλυψης </w:t>
            </w:r>
            <w:r>
              <w:rPr>
                <w:rFonts w:ascii="Arial" w:hAnsi="Arial" w:cs="Arial"/>
                <w:color w:val="000066"/>
                <w:sz w:val="16"/>
                <w:szCs w:val="16"/>
              </w:rPr>
              <w:t>Δανείων σε Καθυστέρηση άνω των 90 ημερών</w:t>
            </w:r>
          </w:p>
          <w:p w:rsidR="009651B1" w:rsidRPr="002A1856" w:rsidRDefault="009651B1" w:rsidP="009651B1">
            <w:pPr>
              <w:widowControl w:val="0"/>
              <w:rPr>
                <w:rFonts w:ascii="Arial" w:hAnsi="Arial" w:cs="Arial"/>
                <w:sz w:val="16"/>
                <w:szCs w:val="16"/>
              </w:rPr>
            </w:pPr>
          </w:p>
          <w:p w:rsidR="009651B1" w:rsidRPr="00EA58A5" w:rsidRDefault="009651B1" w:rsidP="009651B1">
            <w:pPr>
              <w:widowControl w:val="0"/>
              <w:rPr>
                <w:rFonts w:ascii="Arial" w:hAnsi="Arial" w:cs="Arial"/>
                <w:color w:val="000066"/>
                <w:sz w:val="16"/>
                <w:szCs w:val="16"/>
              </w:rPr>
            </w:pPr>
          </w:p>
        </w:tc>
        <w:tc>
          <w:tcPr>
            <w:tcW w:w="2552" w:type="dxa"/>
            <w:shd w:val="clear" w:color="auto" w:fill="F1F3F5"/>
          </w:tcPr>
          <w:p w:rsidR="009651B1" w:rsidRPr="00D41662" w:rsidRDefault="009651B1" w:rsidP="009651B1">
            <w:pPr>
              <w:widowControl w:val="0"/>
              <w:jc w:val="center"/>
              <w:rPr>
                <w:rFonts w:ascii="Arial" w:hAnsi="Arial" w:cs="Arial"/>
                <w:color w:val="000066"/>
                <w:sz w:val="16"/>
                <w:szCs w:val="16"/>
                <w:lang w:val="en-US"/>
              </w:rPr>
            </w:pPr>
            <w:r>
              <w:rPr>
                <w:rFonts w:ascii="Arial" w:hAnsi="Arial" w:cs="Arial"/>
                <w:color w:val="000066"/>
                <w:sz w:val="16"/>
                <w:szCs w:val="16"/>
              </w:rPr>
              <w:t>66,1</w:t>
            </w:r>
            <w:r>
              <w:rPr>
                <w:rFonts w:ascii="Arial" w:hAnsi="Arial" w:cs="Arial"/>
                <w:color w:val="000066"/>
                <w:sz w:val="16"/>
                <w:szCs w:val="16"/>
                <w:lang w:val="en-US"/>
              </w:rPr>
              <w:t>%</w:t>
            </w:r>
          </w:p>
        </w:tc>
        <w:tc>
          <w:tcPr>
            <w:tcW w:w="2552" w:type="dxa"/>
            <w:shd w:val="clear" w:color="auto" w:fill="F1F3F5"/>
          </w:tcPr>
          <w:p w:rsidR="009651B1" w:rsidRPr="00D41662" w:rsidRDefault="009651B1" w:rsidP="00E036DD">
            <w:pPr>
              <w:widowControl w:val="0"/>
              <w:jc w:val="center"/>
              <w:rPr>
                <w:rFonts w:ascii="Arial" w:hAnsi="Arial" w:cs="Arial"/>
                <w:color w:val="000066"/>
                <w:sz w:val="16"/>
                <w:szCs w:val="16"/>
                <w:lang w:val="en-US"/>
              </w:rPr>
            </w:pPr>
            <w:r>
              <w:rPr>
                <w:rFonts w:ascii="Arial" w:hAnsi="Arial" w:cs="Arial"/>
                <w:color w:val="000066"/>
                <w:sz w:val="16"/>
                <w:szCs w:val="16"/>
              </w:rPr>
              <w:t>6</w:t>
            </w:r>
            <w:r w:rsidR="00E036DD">
              <w:rPr>
                <w:rFonts w:ascii="Arial" w:hAnsi="Arial" w:cs="Arial"/>
                <w:color w:val="000066"/>
                <w:sz w:val="16"/>
                <w:szCs w:val="16"/>
              </w:rPr>
              <w:t>4,8</w:t>
            </w:r>
            <w:r>
              <w:rPr>
                <w:rFonts w:ascii="Arial" w:hAnsi="Arial" w:cs="Arial"/>
                <w:color w:val="000066"/>
                <w:sz w:val="16"/>
                <w:szCs w:val="16"/>
                <w:lang w:val="en-US"/>
              </w:rPr>
              <w:t>%</w:t>
            </w:r>
          </w:p>
        </w:tc>
      </w:tr>
      <w:tr w:rsidR="009651B1" w:rsidRPr="002A1856" w:rsidTr="009651B1">
        <w:trPr>
          <w:trHeight w:hRule="exact" w:val="285"/>
        </w:trPr>
        <w:tc>
          <w:tcPr>
            <w:tcW w:w="4736" w:type="dxa"/>
            <w:tcBorders>
              <w:left w:val="nil"/>
              <w:bottom w:val="single" w:sz="4" w:space="0" w:color="003366"/>
            </w:tcBorders>
            <w:shd w:val="clear" w:color="auto" w:fill="F1F3F5"/>
            <w:tcMar>
              <w:top w:w="58" w:type="dxa"/>
              <w:left w:w="58" w:type="dxa"/>
              <w:bottom w:w="58" w:type="dxa"/>
              <w:right w:w="58" w:type="dxa"/>
            </w:tcMar>
            <w:vAlign w:val="center"/>
          </w:tcPr>
          <w:p w:rsidR="009651B1" w:rsidRPr="002A1856" w:rsidRDefault="009651B1" w:rsidP="009651B1">
            <w:pPr>
              <w:widowControl w:val="0"/>
              <w:rPr>
                <w:rFonts w:ascii="Arial" w:hAnsi="Arial" w:cs="Arial"/>
                <w:sz w:val="16"/>
                <w:szCs w:val="16"/>
              </w:rPr>
            </w:pPr>
            <w:r>
              <w:rPr>
                <w:rFonts w:ascii="Arial" w:hAnsi="Arial" w:cs="Arial"/>
                <w:color w:val="000066"/>
                <w:sz w:val="16"/>
                <w:szCs w:val="16"/>
              </w:rPr>
              <w:t>Προ</w:t>
            </w:r>
            <w:r w:rsidRPr="002A1856">
              <w:rPr>
                <w:rFonts w:ascii="Arial" w:hAnsi="Arial" w:cs="Arial"/>
                <w:color w:val="000066"/>
                <w:sz w:val="16"/>
                <w:szCs w:val="16"/>
                <w:lang w:val="en-GB"/>
              </w:rPr>
              <w:t>βλ</w:t>
            </w:r>
            <w:r>
              <w:rPr>
                <w:rFonts w:ascii="Arial" w:hAnsi="Arial" w:cs="Arial"/>
                <w:color w:val="000066"/>
                <w:sz w:val="16"/>
                <w:szCs w:val="16"/>
              </w:rPr>
              <w:t>έψεις</w:t>
            </w:r>
            <w:r w:rsidRPr="002A1856">
              <w:rPr>
                <w:rFonts w:ascii="Arial" w:hAnsi="Arial" w:cs="Arial"/>
                <w:color w:val="000066"/>
                <w:sz w:val="16"/>
                <w:szCs w:val="16"/>
                <w:lang w:val="en-GB"/>
              </w:rPr>
              <w:t xml:space="preserve"> προς </w:t>
            </w:r>
            <w:r w:rsidRPr="002A1856">
              <w:rPr>
                <w:rFonts w:ascii="Arial" w:hAnsi="Arial" w:cs="Arial"/>
                <w:color w:val="000066"/>
                <w:sz w:val="16"/>
                <w:szCs w:val="16"/>
              </w:rPr>
              <w:t>Δά</w:t>
            </w:r>
            <w:r w:rsidRPr="002A1856">
              <w:rPr>
                <w:rFonts w:ascii="Arial" w:hAnsi="Arial" w:cs="Arial"/>
                <w:color w:val="000066"/>
                <w:sz w:val="16"/>
                <w:szCs w:val="16"/>
                <w:lang w:val="en-GB"/>
              </w:rPr>
              <w:t xml:space="preserve">νεια </w:t>
            </w:r>
          </w:p>
          <w:p w:rsidR="009651B1" w:rsidRPr="00EA58A5" w:rsidRDefault="009651B1" w:rsidP="009651B1">
            <w:pPr>
              <w:widowControl w:val="0"/>
              <w:rPr>
                <w:rFonts w:ascii="Arial" w:hAnsi="Arial" w:cs="Arial"/>
                <w:color w:val="000066"/>
                <w:sz w:val="16"/>
                <w:szCs w:val="16"/>
              </w:rPr>
            </w:pPr>
          </w:p>
        </w:tc>
        <w:tc>
          <w:tcPr>
            <w:tcW w:w="2552" w:type="dxa"/>
            <w:tcBorders>
              <w:bottom w:val="single" w:sz="4" w:space="0" w:color="003366"/>
            </w:tcBorders>
            <w:shd w:val="clear" w:color="auto" w:fill="F1F3F5"/>
          </w:tcPr>
          <w:p w:rsidR="009651B1" w:rsidRPr="00D41662" w:rsidRDefault="00E036DD" w:rsidP="009651B1">
            <w:pPr>
              <w:widowControl w:val="0"/>
              <w:jc w:val="center"/>
              <w:rPr>
                <w:rFonts w:ascii="Arial" w:hAnsi="Arial" w:cs="Arial"/>
                <w:color w:val="000066"/>
                <w:sz w:val="16"/>
                <w:szCs w:val="16"/>
                <w:lang w:val="en-US"/>
              </w:rPr>
            </w:pPr>
            <w:r>
              <w:rPr>
                <w:rFonts w:ascii="Arial" w:hAnsi="Arial" w:cs="Arial"/>
                <w:color w:val="000066"/>
                <w:sz w:val="16"/>
                <w:szCs w:val="16"/>
              </w:rPr>
              <w:t>1,96</w:t>
            </w:r>
            <w:r w:rsidR="009651B1">
              <w:rPr>
                <w:rFonts w:ascii="Arial" w:hAnsi="Arial" w:cs="Arial"/>
                <w:color w:val="000066"/>
                <w:sz w:val="16"/>
                <w:szCs w:val="16"/>
                <w:lang w:val="en-US"/>
              </w:rPr>
              <w:t>%</w:t>
            </w:r>
          </w:p>
        </w:tc>
        <w:tc>
          <w:tcPr>
            <w:tcW w:w="2552" w:type="dxa"/>
            <w:tcBorders>
              <w:bottom w:val="single" w:sz="4" w:space="0" w:color="003366"/>
            </w:tcBorders>
            <w:shd w:val="clear" w:color="auto" w:fill="F1F3F5"/>
          </w:tcPr>
          <w:p w:rsidR="009651B1" w:rsidRPr="00D41662" w:rsidRDefault="00BF0AC1" w:rsidP="009651B1">
            <w:pPr>
              <w:widowControl w:val="0"/>
              <w:jc w:val="center"/>
              <w:rPr>
                <w:rFonts w:ascii="Arial" w:hAnsi="Arial" w:cs="Arial"/>
                <w:color w:val="000066"/>
                <w:sz w:val="16"/>
                <w:szCs w:val="16"/>
                <w:lang w:val="en-US"/>
              </w:rPr>
            </w:pPr>
            <w:r>
              <w:rPr>
                <w:rFonts w:ascii="Arial" w:hAnsi="Arial" w:cs="Arial"/>
                <w:color w:val="000066"/>
                <w:sz w:val="16"/>
                <w:szCs w:val="16"/>
              </w:rPr>
              <w:t>6,</w:t>
            </w:r>
            <w:r>
              <w:rPr>
                <w:rFonts w:ascii="Arial" w:hAnsi="Arial" w:cs="Arial"/>
                <w:color w:val="000066"/>
                <w:sz w:val="16"/>
                <w:szCs w:val="16"/>
                <w:lang w:val="en-US"/>
              </w:rPr>
              <w:t>43</w:t>
            </w:r>
            <w:r w:rsidR="009651B1">
              <w:rPr>
                <w:rFonts w:ascii="Arial" w:hAnsi="Arial" w:cs="Arial"/>
                <w:color w:val="000066"/>
                <w:sz w:val="16"/>
                <w:szCs w:val="16"/>
                <w:lang w:val="en-US"/>
              </w:rPr>
              <w:t>%</w:t>
            </w:r>
          </w:p>
        </w:tc>
      </w:tr>
      <w:tr w:rsidR="009651B1" w:rsidRPr="002A1856" w:rsidTr="007A5889">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9651B1" w:rsidRPr="006C7C2E" w:rsidRDefault="009651B1" w:rsidP="009651B1">
            <w:pPr>
              <w:widowControl w:val="0"/>
              <w:rPr>
                <w:rFonts w:ascii="Arial" w:hAnsi="Arial" w:cs="Arial"/>
                <w:color w:val="000066"/>
                <w:sz w:val="16"/>
                <w:szCs w:val="16"/>
              </w:rPr>
            </w:pPr>
            <w:r>
              <w:rPr>
                <w:rFonts w:ascii="Arial" w:hAnsi="Arial" w:cs="Arial"/>
                <w:color w:val="000066"/>
                <w:sz w:val="16"/>
                <w:szCs w:val="16"/>
              </w:rPr>
              <w:t>Κεφάλαια</w:t>
            </w:r>
            <w:r w:rsidRPr="006C7C2E">
              <w:rPr>
                <w:rFonts w:ascii="Arial" w:hAnsi="Arial" w:cs="Arial"/>
                <w:color w:val="000066"/>
                <w:sz w:val="16"/>
                <w:szCs w:val="16"/>
              </w:rPr>
              <w:t xml:space="preserve"> </w:t>
            </w:r>
            <w:r>
              <w:rPr>
                <w:rFonts w:ascii="Arial" w:hAnsi="Arial" w:cs="Arial"/>
                <w:color w:val="000066"/>
                <w:sz w:val="16"/>
                <w:szCs w:val="16"/>
              </w:rPr>
              <w:t>Κοινών Μετοχών Κατηγορίας Ι (</w:t>
            </w:r>
            <w:r>
              <w:rPr>
                <w:rFonts w:ascii="Arial" w:hAnsi="Arial" w:cs="Arial"/>
                <w:color w:val="000066"/>
                <w:sz w:val="16"/>
                <w:szCs w:val="16"/>
                <w:lang w:val="en-US"/>
              </w:rPr>
              <w:t>CET</w:t>
            </w:r>
            <w:r w:rsidRPr="006F77B2">
              <w:rPr>
                <w:rFonts w:ascii="Arial" w:hAnsi="Arial" w:cs="Arial"/>
                <w:color w:val="000066"/>
                <w:sz w:val="16"/>
                <w:szCs w:val="16"/>
              </w:rPr>
              <w:t>1</w:t>
            </w:r>
            <w:r w:rsidRPr="006C7C2E">
              <w:rPr>
                <w:rFonts w:ascii="Arial" w:hAnsi="Arial" w:cs="Arial"/>
                <w:color w:val="000066"/>
                <w:sz w:val="16"/>
                <w:szCs w:val="16"/>
              </w:rPr>
              <w:t>)</w:t>
            </w:r>
          </w:p>
        </w:tc>
        <w:tc>
          <w:tcPr>
            <w:tcW w:w="2552" w:type="dxa"/>
            <w:shd w:val="clear" w:color="auto" w:fill="F1F3F5"/>
            <w:vAlign w:val="center"/>
          </w:tcPr>
          <w:p w:rsidR="009651B1" w:rsidRPr="0099567C" w:rsidRDefault="00915902" w:rsidP="009651B1">
            <w:pPr>
              <w:widowControl w:val="0"/>
              <w:jc w:val="center"/>
              <w:rPr>
                <w:rFonts w:ascii="Arial" w:hAnsi="Arial" w:cs="Arial"/>
                <w:color w:val="000066"/>
                <w:sz w:val="16"/>
                <w:szCs w:val="16"/>
              </w:rPr>
            </w:pPr>
            <w:r>
              <w:rPr>
                <w:rFonts w:ascii="Arial" w:hAnsi="Arial" w:cs="Arial"/>
                <w:color w:val="000066"/>
                <w:sz w:val="16"/>
                <w:szCs w:val="16"/>
              </w:rPr>
              <w:t>17,</w:t>
            </w:r>
            <w:r>
              <w:rPr>
                <w:rFonts w:ascii="Arial" w:hAnsi="Arial" w:cs="Arial"/>
                <w:color w:val="000066"/>
                <w:sz w:val="16"/>
                <w:szCs w:val="16"/>
                <w:lang w:val="en-US"/>
              </w:rPr>
              <w:t>6</w:t>
            </w:r>
            <w:r w:rsidR="009651B1">
              <w:rPr>
                <w:rFonts w:ascii="Arial" w:hAnsi="Arial" w:cs="Arial"/>
                <w:color w:val="000066"/>
                <w:sz w:val="16"/>
                <w:szCs w:val="16"/>
                <w:lang w:val="en-US"/>
              </w:rPr>
              <w:t>%</w:t>
            </w:r>
          </w:p>
        </w:tc>
        <w:tc>
          <w:tcPr>
            <w:tcW w:w="2552" w:type="dxa"/>
            <w:shd w:val="clear" w:color="auto" w:fill="F1F3F5"/>
            <w:vAlign w:val="center"/>
          </w:tcPr>
          <w:p w:rsidR="009651B1" w:rsidRPr="0099567C" w:rsidRDefault="009651B1" w:rsidP="009651B1">
            <w:pPr>
              <w:widowControl w:val="0"/>
              <w:jc w:val="center"/>
              <w:rPr>
                <w:rFonts w:ascii="Arial" w:hAnsi="Arial" w:cs="Arial"/>
                <w:color w:val="000066"/>
                <w:sz w:val="16"/>
                <w:szCs w:val="16"/>
              </w:rPr>
            </w:pPr>
            <w:r>
              <w:rPr>
                <w:rFonts w:ascii="Arial" w:hAnsi="Arial" w:cs="Arial"/>
                <w:color w:val="000066"/>
                <w:sz w:val="16"/>
                <w:szCs w:val="16"/>
              </w:rPr>
              <w:t>1</w:t>
            </w:r>
            <w:r>
              <w:rPr>
                <w:rFonts w:ascii="Arial" w:hAnsi="Arial" w:cs="Arial"/>
                <w:color w:val="000066"/>
                <w:sz w:val="16"/>
                <w:szCs w:val="16"/>
                <w:lang w:val="en-US"/>
              </w:rPr>
              <w:t>7,</w:t>
            </w:r>
            <w:r w:rsidR="00E036DD">
              <w:rPr>
                <w:rFonts w:ascii="Arial" w:hAnsi="Arial" w:cs="Arial"/>
                <w:color w:val="000066"/>
                <w:sz w:val="16"/>
                <w:szCs w:val="16"/>
              </w:rPr>
              <w:t>0</w:t>
            </w:r>
            <w:r>
              <w:rPr>
                <w:rFonts w:ascii="Arial" w:hAnsi="Arial" w:cs="Arial"/>
                <w:color w:val="000066"/>
                <w:sz w:val="16"/>
                <w:szCs w:val="16"/>
                <w:lang w:val="en-US"/>
              </w:rPr>
              <w:t>%</w:t>
            </w:r>
          </w:p>
        </w:tc>
      </w:tr>
    </w:tbl>
    <w:p w:rsidR="00F40322" w:rsidRDefault="00F40322" w:rsidP="00F40322">
      <w:r>
        <w:rPr>
          <w:noProof/>
        </w:rPr>
        <w:pict>
          <v:roundrect id="_x0000_s1057" style="position:absolute;margin-left:-39.3pt;margin-top:7.45pt;width:498.9pt;height:169.35pt;z-index:-251673088;visibility:visible;mso-wrap-edited:f;mso-wrap-distance-left:2.88pt;mso-wrap-distance-top:2.88pt;mso-wrap-distance-right:2.88pt;mso-wrap-distance-bottom:2.88pt;mso-position-horizontal-relative:text;mso-position-vertical-relative:text" arcsize="3468f" fillcolor="#f1f3f5" strokecolor="#006" strokeweight="2pt" insetpen="t" o:cliptowrap="t">
            <v:shadow color="#ccc"/>
            <o:lock v:ext="edit" shapetype="t"/>
            <v:textbox inset="2.88pt,2.88pt,2.88pt,2.88pt"/>
          </v:roundrect>
        </w:pict>
      </w:r>
      <w:r>
        <w:rPr>
          <w:noProof/>
        </w:rPr>
        <w:pict>
          <v:shape id="_x0000_s1061" type="#_x0000_t201" style="position:absolute;margin-left:56.55pt;margin-top:560.8pt;width:478.95pt;height:210.75pt;z-index:25164646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bookmarkStart w:id="3" w:name="_Hlk262047241"/>
    </w:p>
    <w:p w:rsidR="00F40322" w:rsidRDefault="00F40322" w:rsidP="00F40322">
      <w:pPr>
        <w:ind w:right="1652"/>
        <w:jc w:val="both"/>
      </w:pPr>
    </w:p>
    <w:bookmarkEnd w:id="3"/>
    <w:p w:rsidR="00F40322" w:rsidRDefault="00F40322" w:rsidP="00A97525">
      <w:pPr>
        <w:spacing w:line="360" w:lineRule="auto"/>
        <w:ind w:right="-691"/>
        <w:rPr>
          <w:rFonts w:ascii="Arial" w:hAnsi="Arial" w:cs="Arial"/>
          <w:noProof/>
          <w:color w:val="000080"/>
          <w:sz w:val="18"/>
          <w:szCs w:val="18"/>
          <w:lang w:val="en-US"/>
        </w:rPr>
      </w:pPr>
    </w:p>
    <w:p w:rsidR="00017377" w:rsidRDefault="00017377" w:rsidP="00A97525">
      <w:pPr>
        <w:spacing w:line="360" w:lineRule="auto"/>
        <w:ind w:right="-691"/>
        <w:rPr>
          <w:rFonts w:ascii="Arial" w:hAnsi="Arial" w:cs="Arial"/>
          <w:noProof/>
          <w:color w:val="000080"/>
          <w:sz w:val="18"/>
          <w:szCs w:val="18"/>
          <w:lang w:val="en-US"/>
        </w:rPr>
      </w:pPr>
    </w:p>
    <w:p w:rsidR="00017377" w:rsidRPr="00017377" w:rsidRDefault="00017377" w:rsidP="00017377">
      <w:pPr>
        <w:ind w:right="1652" w:firstLine="720"/>
        <w:jc w:val="center"/>
        <w:rPr>
          <w:rFonts w:ascii="Arial" w:hAnsi="Arial" w:cs="Arial"/>
          <w:b/>
          <w:color w:val="000080"/>
          <w:sz w:val="22"/>
          <w:szCs w:val="18"/>
          <w:u w:val="single"/>
        </w:rPr>
      </w:pPr>
      <w:r w:rsidRPr="00017377">
        <w:rPr>
          <w:rFonts w:ascii="Arial" w:hAnsi="Arial" w:cs="Arial"/>
          <w:b/>
          <w:color w:val="000080"/>
          <w:sz w:val="22"/>
          <w:szCs w:val="18"/>
          <w:u w:val="single"/>
        </w:rPr>
        <w:lastRenderedPageBreak/>
        <w:t>Ορολογία</w:t>
      </w:r>
    </w:p>
    <w:p w:rsidR="00017377" w:rsidRPr="00017377" w:rsidRDefault="00017377" w:rsidP="00017377">
      <w:pPr>
        <w:rPr>
          <w:rFonts w:ascii="Arial" w:hAnsi="Arial" w:cs="Arial"/>
          <w:sz w:val="22"/>
          <w:szCs w:val="18"/>
        </w:rPr>
      </w:pPr>
    </w:p>
    <w:p w:rsidR="00017377" w:rsidRPr="00017377" w:rsidRDefault="00017377" w:rsidP="00017377">
      <w:pPr>
        <w:rPr>
          <w:rFonts w:ascii="Arial" w:hAnsi="Arial" w:cs="Arial"/>
          <w:sz w:val="22"/>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Έσοδα από αμοιβές και προμήθειες</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Το σύνολο των καθαρών εσόδων από τραπεζικές αμοιβές και προμήθειες και των εσόδων από μη τραπεζικές υπηρεσίες της υπό εξέταση περιόδου</w:t>
      </w:r>
      <w:r>
        <w:rPr>
          <w:rFonts w:ascii="Arial" w:hAnsi="Arial" w:cs="Arial"/>
          <w:color w:val="000080"/>
          <w:sz w:val="18"/>
          <w:szCs w:val="18"/>
        </w:rPr>
        <w:t>.</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Έσοδα από εμπορικές και λοιπές δραστηριότητες</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Το σύνολο των εσόδων από μερίσματα, αποτελέσματα χαρτοφυλακίου συναλλαγών, αποτελέσματα από επενδυτικούς τίτλους και λοιπά λειτουργικά αποτελέσματα της υπό εξέταση περιόδου</w:t>
      </w:r>
      <w:r>
        <w:rPr>
          <w:rFonts w:ascii="Arial" w:hAnsi="Arial" w:cs="Arial"/>
          <w:color w:val="000080"/>
          <w:sz w:val="18"/>
          <w:szCs w:val="18"/>
        </w:rPr>
        <w:t>.</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36893" w:rsidRPr="00036893" w:rsidRDefault="00036893" w:rsidP="00036893">
      <w:pPr>
        <w:kinsoku w:val="0"/>
        <w:overflowPunct w:val="0"/>
        <w:spacing w:before="53" w:line="360" w:lineRule="auto"/>
        <w:jc w:val="both"/>
        <w:textAlignment w:val="baseline"/>
        <w:rPr>
          <w:rFonts w:ascii="Arial" w:hAnsi="Arial" w:cs="Arial"/>
          <w:color w:val="000080"/>
          <w:sz w:val="18"/>
          <w:szCs w:val="18"/>
        </w:rPr>
      </w:pPr>
      <w:r>
        <w:rPr>
          <w:rFonts w:ascii="Arial" w:hAnsi="Arial" w:cs="Arial"/>
          <w:b/>
          <w:color w:val="000080"/>
          <w:sz w:val="18"/>
          <w:szCs w:val="18"/>
        </w:rPr>
        <w:t>Οργανικά</w:t>
      </w:r>
      <w:r w:rsidRPr="00036893">
        <w:rPr>
          <w:rFonts w:ascii="Arial" w:hAnsi="Arial" w:cs="Arial"/>
          <w:b/>
          <w:color w:val="000080"/>
          <w:sz w:val="18"/>
          <w:szCs w:val="18"/>
        </w:rPr>
        <w:t xml:space="preserve"> </w:t>
      </w:r>
      <w:r>
        <w:rPr>
          <w:rFonts w:ascii="Arial" w:hAnsi="Arial" w:cs="Arial"/>
          <w:b/>
          <w:color w:val="000080"/>
          <w:sz w:val="18"/>
          <w:szCs w:val="18"/>
        </w:rPr>
        <w:t>κέρδη</w:t>
      </w:r>
      <w:r w:rsidRPr="00036893">
        <w:rPr>
          <w:rFonts w:ascii="Arial" w:hAnsi="Arial" w:cs="Arial"/>
          <w:b/>
          <w:color w:val="000080"/>
          <w:sz w:val="18"/>
          <w:szCs w:val="18"/>
        </w:rPr>
        <w:t xml:space="preserve"> </w:t>
      </w:r>
      <w:r>
        <w:rPr>
          <w:rFonts w:ascii="Arial" w:hAnsi="Arial" w:cs="Arial"/>
          <w:b/>
          <w:color w:val="000080"/>
          <w:sz w:val="18"/>
          <w:szCs w:val="18"/>
        </w:rPr>
        <w:t>προ</w:t>
      </w:r>
      <w:r w:rsidRPr="00036893">
        <w:rPr>
          <w:rFonts w:ascii="Arial" w:hAnsi="Arial" w:cs="Arial"/>
          <w:b/>
          <w:color w:val="000080"/>
          <w:sz w:val="18"/>
          <w:szCs w:val="18"/>
        </w:rPr>
        <w:t xml:space="preserve"> </w:t>
      </w:r>
      <w:r>
        <w:rPr>
          <w:rFonts w:ascii="Arial" w:hAnsi="Arial" w:cs="Arial"/>
          <w:b/>
          <w:color w:val="000080"/>
          <w:sz w:val="18"/>
          <w:szCs w:val="18"/>
        </w:rPr>
        <w:t>προβλέψεων</w:t>
      </w:r>
      <w:r w:rsidRPr="00036893">
        <w:rPr>
          <w:rFonts w:ascii="Arial" w:hAnsi="Arial" w:cs="Arial"/>
          <w:color w:val="000080"/>
          <w:sz w:val="18"/>
          <w:szCs w:val="18"/>
        </w:rPr>
        <w:t xml:space="preserve">: </w:t>
      </w:r>
      <w:r>
        <w:rPr>
          <w:rFonts w:ascii="Arial" w:hAnsi="Arial" w:cs="Arial"/>
          <w:color w:val="000080"/>
          <w:sz w:val="18"/>
          <w:szCs w:val="18"/>
        </w:rPr>
        <w:t>Το</w:t>
      </w:r>
      <w:r w:rsidRPr="00036893">
        <w:rPr>
          <w:rFonts w:ascii="Arial" w:hAnsi="Arial" w:cs="Arial"/>
          <w:color w:val="000080"/>
          <w:sz w:val="18"/>
          <w:szCs w:val="18"/>
        </w:rPr>
        <w:t xml:space="preserve"> </w:t>
      </w:r>
      <w:r>
        <w:rPr>
          <w:rFonts w:ascii="Arial" w:hAnsi="Arial" w:cs="Arial"/>
          <w:color w:val="000080"/>
          <w:sz w:val="18"/>
          <w:szCs w:val="18"/>
        </w:rPr>
        <w:t>άθροισμα</w:t>
      </w:r>
      <w:r w:rsidRPr="00036893">
        <w:rPr>
          <w:rFonts w:ascii="Arial" w:hAnsi="Arial" w:cs="Arial"/>
          <w:color w:val="000080"/>
          <w:sz w:val="18"/>
          <w:szCs w:val="18"/>
        </w:rPr>
        <w:t xml:space="preserve"> </w:t>
      </w:r>
      <w:r>
        <w:rPr>
          <w:rFonts w:ascii="Arial" w:hAnsi="Arial" w:cs="Arial"/>
          <w:color w:val="000080"/>
          <w:sz w:val="18"/>
          <w:szCs w:val="18"/>
        </w:rPr>
        <w:t>των</w:t>
      </w:r>
      <w:r w:rsidRPr="00036893">
        <w:rPr>
          <w:rFonts w:ascii="Arial" w:hAnsi="Arial" w:cs="Arial"/>
          <w:color w:val="000080"/>
          <w:sz w:val="18"/>
          <w:szCs w:val="18"/>
        </w:rPr>
        <w:t xml:space="preserve"> </w:t>
      </w:r>
      <w:r>
        <w:rPr>
          <w:rFonts w:ascii="Arial" w:hAnsi="Arial" w:cs="Arial"/>
          <w:color w:val="000080"/>
          <w:sz w:val="18"/>
          <w:szCs w:val="18"/>
        </w:rPr>
        <w:t>καθαρών</w:t>
      </w:r>
      <w:r w:rsidRPr="00036893">
        <w:rPr>
          <w:rFonts w:ascii="Arial" w:hAnsi="Arial" w:cs="Arial"/>
          <w:color w:val="000080"/>
          <w:sz w:val="18"/>
          <w:szCs w:val="18"/>
        </w:rPr>
        <w:t xml:space="preserve"> </w:t>
      </w:r>
      <w:r>
        <w:rPr>
          <w:rFonts w:ascii="Arial" w:hAnsi="Arial" w:cs="Arial"/>
          <w:color w:val="000080"/>
          <w:sz w:val="18"/>
          <w:szCs w:val="18"/>
        </w:rPr>
        <w:t>εσόδων</w:t>
      </w:r>
      <w:r w:rsidRPr="00036893">
        <w:rPr>
          <w:rFonts w:ascii="Arial" w:hAnsi="Arial" w:cs="Arial"/>
          <w:color w:val="000080"/>
          <w:sz w:val="18"/>
          <w:szCs w:val="18"/>
        </w:rPr>
        <w:t xml:space="preserve"> </w:t>
      </w:r>
      <w:r>
        <w:rPr>
          <w:rFonts w:ascii="Arial" w:hAnsi="Arial" w:cs="Arial"/>
          <w:color w:val="000080"/>
          <w:sz w:val="18"/>
          <w:szCs w:val="18"/>
        </w:rPr>
        <w:t>από</w:t>
      </w:r>
      <w:r w:rsidRPr="00036893">
        <w:rPr>
          <w:rFonts w:ascii="Arial" w:hAnsi="Arial" w:cs="Arial"/>
          <w:color w:val="000080"/>
          <w:sz w:val="18"/>
          <w:szCs w:val="18"/>
        </w:rPr>
        <w:t xml:space="preserve"> </w:t>
      </w:r>
      <w:r>
        <w:rPr>
          <w:rFonts w:ascii="Arial" w:hAnsi="Arial" w:cs="Arial"/>
          <w:color w:val="000080"/>
          <w:sz w:val="18"/>
          <w:szCs w:val="18"/>
        </w:rPr>
        <w:t>τόκους και</w:t>
      </w:r>
      <w:r w:rsidRPr="00036893">
        <w:rPr>
          <w:rFonts w:ascii="Arial" w:hAnsi="Arial" w:cs="Arial"/>
          <w:color w:val="000080"/>
          <w:sz w:val="18"/>
          <w:szCs w:val="18"/>
        </w:rPr>
        <w:t xml:space="preserve"> </w:t>
      </w:r>
      <w:r>
        <w:rPr>
          <w:rFonts w:ascii="Arial" w:hAnsi="Arial" w:cs="Arial"/>
          <w:color w:val="000080"/>
          <w:sz w:val="18"/>
          <w:szCs w:val="18"/>
        </w:rPr>
        <w:t>καθαρών</w:t>
      </w:r>
      <w:r w:rsidRPr="00036893">
        <w:rPr>
          <w:rFonts w:ascii="Arial" w:hAnsi="Arial" w:cs="Arial"/>
          <w:color w:val="000080"/>
          <w:sz w:val="18"/>
          <w:szCs w:val="18"/>
        </w:rPr>
        <w:t xml:space="preserve"> </w:t>
      </w:r>
      <w:r>
        <w:rPr>
          <w:rFonts w:ascii="Arial" w:hAnsi="Arial" w:cs="Arial"/>
          <w:color w:val="000080"/>
          <w:sz w:val="18"/>
          <w:szCs w:val="18"/>
        </w:rPr>
        <w:t>εσόδων</w:t>
      </w:r>
      <w:r w:rsidRPr="00036893">
        <w:rPr>
          <w:rFonts w:ascii="Arial" w:hAnsi="Arial" w:cs="Arial"/>
          <w:color w:val="000080"/>
          <w:sz w:val="18"/>
          <w:szCs w:val="18"/>
        </w:rPr>
        <w:t xml:space="preserve"> </w:t>
      </w:r>
      <w:r>
        <w:rPr>
          <w:rFonts w:ascii="Arial" w:hAnsi="Arial" w:cs="Arial"/>
          <w:color w:val="000080"/>
          <w:sz w:val="18"/>
          <w:szCs w:val="18"/>
        </w:rPr>
        <w:t>από</w:t>
      </w:r>
      <w:r w:rsidRPr="00036893">
        <w:rPr>
          <w:rFonts w:ascii="Arial" w:hAnsi="Arial" w:cs="Arial"/>
          <w:color w:val="000080"/>
          <w:sz w:val="18"/>
          <w:szCs w:val="18"/>
        </w:rPr>
        <w:t xml:space="preserve"> </w:t>
      </w:r>
      <w:r>
        <w:rPr>
          <w:rFonts w:ascii="Arial" w:hAnsi="Arial" w:cs="Arial"/>
          <w:color w:val="000080"/>
          <w:sz w:val="18"/>
          <w:szCs w:val="18"/>
        </w:rPr>
        <w:t>αμοιβές</w:t>
      </w:r>
      <w:r w:rsidRPr="00036893">
        <w:rPr>
          <w:rFonts w:ascii="Arial" w:hAnsi="Arial" w:cs="Arial"/>
          <w:color w:val="000080"/>
          <w:sz w:val="18"/>
          <w:szCs w:val="18"/>
        </w:rPr>
        <w:t xml:space="preserve"> </w:t>
      </w:r>
      <w:r>
        <w:rPr>
          <w:rFonts w:ascii="Arial" w:hAnsi="Arial" w:cs="Arial"/>
          <w:color w:val="000080"/>
          <w:sz w:val="18"/>
          <w:szCs w:val="18"/>
        </w:rPr>
        <w:t>και</w:t>
      </w:r>
      <w:r w:rsidRPr="00036893">
        <w:rPr>
          <w:rFonts w:ascii="Arial" w:hAnsi="Arial" w:cs="Arial"/>
          <w:color w:val="000080"/>
          <w:sz w:val="18"/>
          <w:szCs w:val="18"/>
        </w:rPr>
        <w:t xml:space="preserve"> </w:t>
      </w:r>
      <w:r>
        <w:rPr>
          <w:rFonts w:ascii="Arial" w:hAnsi="Arial" w:cs="Arial"/>
          <w:color w:val="000080"/>
          <w:sz w:val="18"/>
          <w:szCs w:val="18"/>
        </w:rPr>
        <w:t>προμήθειες</w:t>
      </w:r>
      <w:r w:rsidRPr="00036893">
        <w:rPr>
          <w:rFonts w:ascii="Arial" w:hAnsi="Arial" w:cs="Arial"/>
          <w:color w:val="000080"/>
          <w:sz w:val="18"/>
          <w:szCs w:val="18"/>
        </w:rPr>
        <w:t xml:space="preserve"> </w:t>
      </w:r>
      <w:r>
        <w:rPr>
          <w:rFonts w:ascii="Arial" w:hAnsi="Arial" w:cs="Arial"/>
          <w:color w:val="000080"/>
          <w:sz w:val="18"/>
          <w:szCs w:val="18"/>
        </w:rPr>
        <w:t>μείον</w:t>
      </w:r>
      <w:r w:rsidRPr="00036893">
        <w:rPr>
          <w:rFonts w:ascii="Arial" w:hAnsi="Arial" w:cs="Arial"/>
          <w:color w:val="000080"/>
          <w:sz w:val="18"/>
          <w:szCs w:val="18"/>
        </w:rPr>
        <w:t xml:space="preserve"> </w:t>
      </w:r>
      <w:r>
        <w:rPr>
          <w:rFonts w:ascii="Arial" w:hAnsi="Arial" w:cs="Arial"/>
          <w:color w:val="000080"/>
          <w:sz w:val="18"/>
          <w:szCs w:val="18"/>
        </w:rPr>
        <w:t>τα</w:t>
      </w:r>
      <w:r w:rsidRPr="00036893">
        <w:rPr>
          <w:rFonts w:ascii="Arial" w:hAnsi="Arial" w:cs="Arial"/>
          <w:color w:val="000080"/>
          <w:sz w:val="18"/>
          <w:szCs w:val="18"/>
        </w:rPr>
        <w:t xml:space="preserve"> </w:t>
      </w:r>
      <w:r>
        <w:rPr>
          <w:rFonts w:ascii="Arial" w:hAnsi="Arial" w:cs="Arial"/>
          <w:color w:val="000080"/>
          <w:sz w:val="18"/>
          <w:szCs w:val="18"/>
        </w:rPr>
        <w:t>λειτουργικά</w:t>
      </w:r>
      <w:r w:rsidRPr="00036893">
        <w:rPr>
          <w:rFonts w:ascii="Arial" w:hAnsi="Arial" w:cs="Arial"/>
          <w:color w:val="000080"/>
          <w:sz w:val="18"/>
          <w:szCs w:val="18"/>
        </w:rPr>
        <w:t xml:space="preserve"> </w:t>
      </w:r>
      <w:r>
        <w:rPr>
          <w:rFonts w:ascii="Arial" w:hAnsi="Arial" w:cs="Arial"/>
          <w:color w:val="000080"/>
          <w:sz w:val="18"/>
          <w:szCs w:val="18"/>
        </w:rPr>
        <w:t xml:space="preserve">έξοδα της </w:t>
      </w:r>
      <w:r w:rsidRPr="00036893">
        <w:rPr>
          <w:rFonts w:ascii="Arial" w:hAnsi="Arial" w:cs="Arial"/>
          <w:color w:val="000080"/>
          <w:sz w:val="18"/>
          <w:szCs w:val="18"/>
        </w:rPr>
        <w:t xml:space="preserve"> </w:t>
      </w:r>
      <w:r w:rsidRPr="00017377">
        <w:rPr>
          <w:rFonts w:ascii="Arial" w:hAnsi="Arial" w:cs="Arial"/>
          <w:color w:val="000080"/>
          <w:sz w:val="18"/>
          <w:szCs w:val="18"/>
        </w:rPr>
        <w:t>υπό εξέταση περιόδου</w:t>
      </w:r>
      <w:r w:rsidRPr="00036893">
        <w:rPr>
          <w:rFonts w:ascii="Arial" w:hAnsi="Arial" w:cs="Arial"/>
          <w:color w:val="000080"/>
          <w:sz w:val="18"/>
          <w:szCs w:val="18"/>
        </w:rPr>
        <w:t>.</w:t>
      </w:r>
    </w:p>
    <w:p w:rsidR="00036893" w:rsidRPr="00036893" w:rsidRDefault="00036893" w:rsidP="00017377">
      <w:pPr>
        <w:kinsoku w:val="0"/>
        <w:overflowPunct w:val="0"/>
        <w:spacing w:before="53" w:line="360" w:lineRule="auto"/>
        <w:jc w:val="both"/>
        <w:textAlignment w:val="baseline"/>
        <w:rPr>
          <w:rFonts w:ascii="Arial" w:hAnsi="Arial" w:cs="Arial"/>
          <w:b/>
          <w:color w:val="000080"/>
          <w:sz w:val="18"/>
          <w:szCs w:val="18"/>
        </w:rPr>
      </w:pPr>
    </w:p>
    <w:p w:rsidR="00017377" w:rsidRPr="00017377" w:rsidRDefault="00137DBA" w:rsidP="00017377">
      <w:pPr>
        <w:kinsoku w:val="0"/>
        <w:overflowPunct w:val="0"/>
        <w:spacing w:before="53" w:line="360" w:lineRule="auto"/>
        <w:jc w:val="both"/>
        <w:textAlignment w:val="baseline"/>
        <w:rPr>
          <w:rFonts w:ascii="Arial" w:hAnsi="Arial" w:cs="Arial"/>
          <w:color w:val="000080"/>
          <w:sz w:val="18"/>
          <w:szCs w:val="18"/>
        </w:rPr>
      </w:pPr>
      <w:r>
        <w:rPr>
          <w:rFonts w:ascii="Arial" w:hAnsi="Arial" w:cs="Arial"/>
          <w:b/>
          <w:color w:val="000080"/>
          <w:sz w:val="18"/>
          <w:szCs w:val="18"/>
        </w:rPr>
        <w:t>Κέρδη προ προβλέψεων</w:t>
      </w:r>
      <w:r w:rsidR="00017377" w:rsidRPr="00516E15">
        <w:rPr>
          <w:rFonts w:ascii="Arial" w:hAnsi="Arial" w:cs="Arial"/>
          <w:color w:val="000080"/>
          <w:sz w:val="18"/>
          <w:szCs w:val="18"/>
        </w:rPr>
        <w:t>:</w:t>
      </w:r>
      <w:r w:rsidR="00017377" w:rsidRPr="00017377">
        <w:rPr>
          <w:rFonts w:ascii="Arial" w:hAnsi="Arial" w:cs="Arial"/>
          <w:b/>
          <w:color w:val="000080"/>
          <w:sz w:val="18"/>
          <w:szCs w:val="18"/>
        </w:rPr>
        <w:t xml:space="preserve"> </w:t>
      </w:r>
      <w:r w:rsidR="00017377" w:rsidRPr="00017377">
        <w:rPr>
          <w:rFonts w:ascii="Arial" w:hAnsi="Arial" w:cs="Arial"/>
          <w:color w:val="000080"/>
          <w:sz w:val="18"/>
          <w:szCs w:val="18"/>
        </w:rPr>
        <w:t>Λειτουργικά κέρδη προ απομειώσεων και εξόδων αναδιάρθρωσης όπως γνωστοποιούνται στις οικονομικές κατασ</w:t>
      </w:r>
      <w:r w:rsidR="00017377">
        <w:rPr>
          <w:rFonts w:ascii="Arial" w:hAnsi="Arial" w:cs="Arial"/>
          <w:color w:val="000080"/>
          <w:sz w:val="18"/>
          <w:szCs w:val="18"/>
        </w:rPr>
        <w:t>τάσεις της υπό εξέταση περιόδου.</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Καθαρό Περιθώριο Επιτοκίου (</w:t>
      </w:r>
      <w:r w:rsidRPr="00017377">
        <w:rPr>
          <w:rFonts w:ascii="Arial" w:hAnsi="Arial" w:cs="Arial"/>
          <w:b/>
          <w:color w:val="000080"/>
          <w:sz w:val="18"/>
          <w:szCs w:val="18"/>
          <w:lang w:val="en-GB"/>
        </w:rPr>
        <w:t>NIM</w:t>
      </w:r>
      <w:r w:rsidRPr="00017377">
        <w:rPr>
          <w:rFonts w:ascii="Arial" w:hAnsi="Arial" w:cs="Arial"/>
          <w:b/>
          <w:color w:val="000080"/>
          <w:sz w:val="18"/>
          <w:szCs w:val="18"/>
        </w:rPr>
        <w:t>)</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Ο λόγος των καθαρών εσόδων από τόκους σε ετησιοποιημένη βάση, προς το μέσο υπόλοιπο του συνόλου ενεργητικού (ο αριθμητικός μέσος όρος του συνόλου ενεργητικού στο τέλος της υπό εξέταση περιόδου και στο τέλος του προηγούμενου έτους)</w:t>
      </w:r>
      <w:r>
        <w:rPr>
          <w:rFonts w:ascii="Arial" w:hAnsi="Arial" w:cs="Arial"/>
          <w:color w:val="000080"/>
          <w:sz w:val="18"/>
          <w:szCs w:val="18"/>
        </w:rPr>
        <w:t>.</w:t>
      </w:r>
    </w:p>
    <w:p w:rsidR="00017377" w:rsidRDefault="00017377" w:rsidP="00017377">
      <w:pPr>
        <w:kinsoku w:val="0"/>
        <w:overflowPunct w:val="0"/>
        <w:spacing w:before="53" w:line="360" w:lineRule="auto"/>
        <w:jc w:val="both"/>
        <w:textAlignment w:val="baseline"/>
        <w:rPr>
          <w:rFonts w:ascii="Arial" w:hAnsi="Arial" w:cs="Arial"/>
          <w:color w:val="000080"/>
          <w:sz w:val="18"/>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Δείκτης Κόστους προς Έσοδα</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Ο λόγος των λειτουργικών εξόδων προς τα λειτουργικά έσοδα</w:t>
      </w:r>
      <w:r>
        <w:rPr>
          <w:rFonts w:ascii="Arial" w:hAnsi="Arial" w:cs="Arial"/>
          <w:color w:val="000080"/>
          <w:sz w:val="18"/>
          <w:szCs w:val="18"/>
        </w:rPr>
        <w:t>.</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Δείκτης Προβλέψεων (ζημιές) προς το μέσο υπόλοιπο δανείων (μετά από προβλέψεις)</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Ο λόγος των προβλέψεων (ζημιών) για πιστωτικούς κινδύνους από δάνεια και απαιτήσεις της υπό εξέταση περιόδου σε ετησιοποιημένη βάση, προς το μέσο υπόλοιπο των δανείων και απαιτήσεων από πελάτες μετά από προβλέψεις (ο αριθμητικός μέσος όρος των δανείων και απαιτήσεων από πελάτες μετά από προβλέψεις στο τέλος της υπό εξέταση περιόδου και στ</w:t>
      </w:r>
      <w:r>
        <w:rPr>
          <w:rFonts w:ascii="Arial" w:hAnsi="Arial" w:cs="Arial"/>
          <w:color w:val="000080"/>
          <w:sz w:val="18"/>
          <w:szCs w:val="18"/>
        </w:rPr>
        <w:t>ο τέλος του προηγούμενου έτους).</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Δείκτης Δανείων σε Καθυστέρηση άνω των 90 ημερών</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Ο λόγος των δανείων και απαιτήσεων από πελάτες σε καθυστέρηση άνω των 90 ημερών (προ προβλέψεων)  προς το σύνολο των δανείων και απαιτήσεων από πελάτες (προ προβλέψεων), στο τέλος της υπό εξέταση περιόδου</w:t>
      </w:r>
      <w:r>
        <w:rPr>
          <w:rFonts w:ascii="Arial" w:hAnsi="Arial" w:cs="Arial"/>
          <w:color w:val="000080"/>
          <w:sz w:val="18"/>
          <w:szCs w:val="18"/>
        </w:rPr>
        <w:t>.</w:t>
      </w: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p>
    <w:p w:rsidR="00017377" w:rsidRPr="00017377" w:rsidRDefault="006435DA" w:rsidP="00017377">
      <w:pPr>
        <w:kinsoku w:val="0"/>
        <w:overflowPunct w:val="0"/>
        <w:spacing w:before="53" w:line="360" w:lineRule="auto"/>
        <w:jc w:val="both"/>
        <w:textAlignment w:val="baseline"/>
        <w:rPr>
          <w:rFonts w:ascii="Arial" w:hAnsi="Arial" w:cs="Arial"/>
          <w:color w:val="000080"/>
          <w:sz w:val="18"/>
          <w:szCs w:val="18"/>
        </w:rPr>
      </w:pPr>
      <w:r>
        <w:rPr>
          <w:rFonts w:ascii="Arial" w:hAnsi="Arial" w:cs="Arial"/>
          <w:b/>
          <w:color w:val="000080"/>
          <w:sz w:val="18"/>
          <w:szCs w:val="18"/>
        </w:rPr>
        <w:t xml:space="preserve">Νέα </w:t>
      </w:r>
      <w:r w:rsidR="00017377" w:rsidRPr="00017377">
        <w:rPr>
          <w:rFonts w:ascii="Arial" w:hAnsi="Arial" w:cs="Arial"/>
          <w:b/>
          <w:color w:val="000080"/>
          <w:sz w:val="18"/>
          <w:szCs w:val="18"/>
        </w:rPr>
        <w:t>Δάνεια σε Καθυστέρηση άνω των 90 ημερών (σχηματισμός)</w:t>
      </w:r>
      <w:r w:rsidR="00017377" w:rsidRPr="00516E15">
        <w:rPr>
          <w:rFonts w:ascii="Arial" w:hAnsi="Arial" w:cs="Arial"/>
          <w:color w:val="000080"/>
          <w:sz w:val="18"/>
          <w:szCs w:val="18"/>
        </w:rPr>
        <w:t>:</w:t>
      </w:r>
      <w:r w:rsidR="00017377" w:rsidRPr="00017377">
        <w:rPr>
          <w:rFonts w:ascii="Arial" w:hAnsi="Arial" w:cs="Arial"/>
          <w:b/>
          <w:color w:val="000080"/>
          <w:sz w:val="18"/>
          <w:szCs w:val="18"/>
        </w:rPr>
        <w:t xml:space="preserve"> </w:t>
      </w:r>
      <w:r w:rsidR="00017377" w:rsidRPr="00017377">
        <w:rPr>
          <w:rFonts w:ascii="Arial" w:hAnsi="Arial" w:cs="Arial"/>
          <w:color w:val="000080"/>
          <w:sz w:val="18"/>
          <w:szCs w:val="18"/>
        </w:rPr>
        <w:t>Καθαρή αύξηση/μείωση των δανείων και απαιτήσεων από πελάτες σε καθυστέρηση άνω των 90 ημερών της υπό εξέταση περιόδου με εξαίρεση την επίπτωση από τις διαγραφές δανείων</w:t>
      </w:r>
      <w:r w:rsidR="00017377">
        <w:rPr>
          <w:rFonts w:ascii="Arial" w:hAnsi="Arial" w:cs="Arial"/>
          <w:color w:val="000080"/>
          <w:sz w:val="18"/>
          <w:szCs w:val="18"/>
        </w:rPr>
        <w:t>.</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Δείκτης Κάλυψης Δανείων σε Καθυστέρηση άνω των 90 ημερών</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Ο λόγος των συσσωρευμένων προβλέψεων για πιστωτικούς κινδύνους από δάνεια και απαιτήσεις από πελάτες προς τα δάνεια και απαιτήσεις από πελάτες σε καθυστέρηση άνω των 90 ημερών, στο τέλος της υπό εξέταση περιόδου</w:t>
      </w:r>
      <w:r>
        <w:rPr>
          <w:rFonts w:ascii="Arial" w:hAnsi="Arial" w:cs="Arial"/>
          <w:color w:val="000080"/>
          <w:sz w:val="18"/>
          <w:szCs w:val="18"/>
        </w:rPr>
        <w:t>.</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4E2656" w:rsidRDefault="004E2656" w:rsidP="00017377">
      <w:pPr>
        <w:kinsoku w:val="0"/>
        <w:overflowPunct w:val="0"/>
        <w:spacing w:before="53" w:line="360" w:lineRule="auto"/>
        <w:jc w:val="both"/>
        <w:textAlignment w:val="baseline"/>
        <w:rPr>
          <w:rFonts w:ascii="Arial" w:hAnsi="Arial" w:cs="Arial"/>
          <w:b/>
          <w:color w:val="000080"/>
          <w:sz w:val="18"/>
          <w:szCs w:val="18"/>
          <w:lang w:val="en-US"/>
        </w:rPr>
      </w:pPr>
    </w:p>
    <w:p w:rsidR="004E2656" w:rsidRPr="004E2656" w:rsidRDefault="004E2656" w:rsidP="00017377">
      <w:pPr>
        <w:kinsoku w:val="0"/>
        <w:overflowPunct w:val="0"/>
        <w:spacing w:before="53" w:line="360" w:lineRule="auto"/>
        <w:jc w:val="both"/>
        <w:textAlignment w:val="baseline"/>
        <w:rPr>
          <w:rFonts w:ascii="Arial" w:hAnsi="Arial" w:cs="Arial"/>
          <w:color w:val="000080"/>
          <w:sz w:val="18"/>
          <w:szCs w:val="18"/>
        </w:rPr>
      </w:pPr>
      <w:r w:rsidRPr="004E2656">
        <w:rPr>
          <w:rFonts w:ascii="Arial" w:hAnsi="Arial" w:cs="Arial"/>
          <w:b/>
          <w:color w:val="000080"/>
          <w:sz w:val="18"/>
          <w:szCs w:val="18"/>
        </w:rPr>
        <w:lastRenderedPageBreak/>
        <w:t>Μη Εξυπηρετούμενα Ανοίγματα (</w:t>
      </w:r>
      <w:r>
        <w:rPr>
          <w:rFonts w:ascii="Arial" w:hAnsi="Arial" w:cs="Arial"/>
          <w:b/>
          <w:color w:val="000080"/>
          <w:sz w:val="18"/>
          <w:szCs w:val="18"/>
          <w:lang w:val="en-US"/>
        </w:rPr>
        <w:t>NPEs</w:t>
      </w:r>
      <w:r w:rsidRPr="004E2656">
        <w:rPr>
          <w:rFonts w:ascii="Arial" w:hAnsi="Arial" w:cs="Arial"/>
          <w:b/>
          <w:color w:val="000080"/>
          <w:sz w:val="18"/>
          <w:szCs w:val="18"/>
        </w:rPr>
        <w:t>)</w:t>
      </w:r>
      <w:r w:rsidRPr="00516E15">
        <w:rPr>
          <w:rFonts w:ascii="Arial" w:hAnsi="Arial" w:cs="Arial"/>
          <w:color w:val="000080"/>
          <w:sz w:val="18"/>
          <w:szCs w:val="18"/>
        </w:rPr>
        <w:t>:</w:t>
      </w:r>
      <w:r w:rsidRPr="004E2656">
        <w:rPr>
          <w:rFonts w:ascii="Arial" w:hAnsi="Arial" w:cs="Arial"/>
          <w:b/>
          <w:color w:val="000080"/>
          <w:sz w:val="18"/>
          <w:szCs w:val="18"/>
        </w:rPr>
        <w:t xml:space="preserve"> </w:t>
      </w:r>
      <w:r w:rsidRPr="004E2656">
        <w:rPr>
          <w:rFonts w:ascii="Arial" w:hAnsi="Arial" w:cs="Arial"/>
          <w:color w:val="000080"/>
          <w:sz w:val="18"/>
          <w:szCs w:val="18"/>
        </w:rPr>
        <w:t>Σύμφωνα με το υφιστάμενο πλαίσιο της Ευρωπαϊκής Αρχής Τραπεζών (ΕΑΤ) - European Banking Authority (EBA) -  στα μη εξυπηρετούμενα ανοίγματα περιλαμβάνονται δάνεια με καθυστέρηση μεγαλύτερη των 90 ημερών και δάνεια αβέβαιης είσπραξης, δηλαδή δάνεια  τα οποία θεωρούνται μη εξυπηρετούμενα, παρόλο που είτε είναι ενήμερα, είτε είναι σε καθυστέρηση μέχρι 90 ημέρες, καθώς υπάρχουν ενδείξεις για δυσκολίες πλήρους αποπληρωμής χωρίς τη ρευστοποίηση εξασφάλισης.</w:t>
      </w:r>
    </w:p>
    <w:p w:rsidR="004E2656" w:rsidRPr="004E2656" w:rsidRDefault="004E2656" w:rsidP="00017377">
      <w:pPr>
        <w:kinsoku w:val="0"/>
        <w:overflowPunct w:val="0"/>
        <w:spacing w:before="53" w:line="360" w:lineRule="auto"/>
        <w:jc w:val="both"/>
        <w:textAlignment w:val="baseline"/>
        <w:rPr>
          <w:rFonts w:ascii="Arial" w:hAnsi="Arial" w:cs="Arial"/>
          <w:b/>
          <w:color w:val="000080"/>
          <w:sz w:val="18"/>
          <w:szCs w:val="18"/>
        </w:rPr>
      </w:pPr>
    </w:p>
    <w:p w:rsidR="004E2656" w:rsidRPr="004E2656" w:rsidRDefault="004E2656" w:rsidP="00017377">
      <w:pPr>
        <w:kinsoku w:val="0"/>
        <w:overflowPunct w:val="0"/>
        <w:spacing w:before="53" w:line="360" w:lineRule="auto"/>
        <w:jc w:val="both"/>
        <w:textAlignment w:val="baseline"/>
        <w:rPr>
          <w:rFonts w:ascii="Arial" w:hAnsi="Arial" w:cs="Arial"/>
          <w:color w:val="000080"/>
          <w:sz w:val="18"/>
          <w:szCs w:val="18"/>
        </w:rPr>
      </w:pPr>
      <w:r w:rsidRPr="004E2656">
        <w:rPr>
          <w:rFonts w:ascii="Arial" w:hAnsi="Arial" w:cs="Arial"/>
          <w:b/>
          <w:color w:val="000080"/>
          <w:sz w:val="18"/>
          <w:szCs w:val="18"/>
        </w:rPr>
        <w:t xml:space="preserve">Δείκτης </w:t>
      </w:r>
      <w:r w:rsidR="00CD420E">
        <w:rPr>
          <w:rFonts w:ascii="Arial" w:hAnsi="Arial" w:cs="Arial"/>
          <w:b/>
          <w:color w:val="000080"/>
          <w:sz w:val="18"/>
          <w:szCs w:val="18"/>
          <w:lang w:val="en-GB"/>
        </w:rPr>
        <w:t>NPEs</w:t>
      </w:r>
      <w:r w:rsidRPr="00516E15">
        <w:rPr>
          <w:rFonts w:ascii="Arial" w:hAnsi="Arial" w:cs="Arial"/>
          <w:color w:val="000080"/>
          <w:sz w:val="18"/>
          <w:szCs w:val="18"/>
        </w:rPr>
        <w:t>:</w:t>
      </w:r>
      <w:r w:rsidRPr="004E2656">
        <w:rPr>
          <w:rFonts w:ascii="Arial" w:hAnsi="Arial" w:cs="Arial"/>
          <w:b/>
          <w:color w:val="000080"/>
          <w:sz w:val="18"/>
          <w:szCs w:val="18"/>
        </w:rPr>
        <w:t xml:space="preserve"> </w:t>
      </w:r>
      <w:r w:rsidRPr="004E2656">
        <w:rPr>
          <w:rFonts w:ascii="Arial" w:hAnsi="Arial" w:cs="Arial"/>
          <w:color w:val="000080"/>
          <w:sz w:val="18"/>
          <w:szCs w:val="18"/>
        </w:rPr>
        <w:t>Ο λόγος των μη εξυπηρετούμενων ανοιγμάτων προς το σύνολο των ανοιγμάτων (προ προβλέψεων) στο τέλος της περιόδου αναφοράς.</w:t>
      </w:r>
    </w:p>
    <w:p w:rsidR="004E2656" w:rsidRPr="004E2656" w:rsidRDefault="004E2656" w:rsidP="00017377">
      <w:pPr>
        <w:kinsoku w:val="0"/>
        <w:overflowPunct w:val="0"/>
        <w:spacing w:before="53" w:line="360" w:lineRule="auto"/>
        <w:jc w:val="both"/>
        <w:textAlignment w:val="baseline"/>
        <w:rPr>
          <w:rFonts w:ascii="Arial" w:hAnsi="Arial" w:cs="Arial"/>
          <w:b/>
          <w:color w:val="000080"/>
          <w:sz w:val="18"/>
          <w:szCs w:val="18"/>
        </w:rPr>
      </w:pPr>
    </w:p>
    <w:p w:rsidR="004E2656" w:rsidRPr="004E2656" w:rsidRDefault="004E2656" w:rsidP="00017377">
      <w:pPr>
        <w:kinsoku w:val="0"/>
        <w:overflowPunct w:val="0"/>
        <w:spacing w:before="53" w:line="360" w:lineRule="auto"/>
        <w:jc w:val="both"/>
        <w:textAlignment w:val="baseline"/>
        <w:rPr>
          <w:rFonts w:ascii="Arial" w:hAnsi="Arial" w:cs="Arial"/>
          <w:color w:val="000080"/>
          <w:sz w:val="18"/>
          <w:szCs w:val="18"/>
        </w:rPr>
      </w:pPr>
      <w:r w:rsidRPr="004E2656">
        <w:rPr>
          <w:rFonts w:ascii="Arial" w:hAnsi="Arial" w:cs="Arial"/>
          <w:b/>
          <w:color w:val="000080"/>
          <w:sz w:val="18"/>
          <w:szCs w:val="18"/>
        </w:rPr>
        <w:t xml:space="preserve">Δείκτης κάλυψης </w:t>
      </w:r>
      <w:r w:rsidR="00CD420E">
        <w:rPr>
          <w:rFonts w:ascii="Arial" w:hAnsi="Arial" w:cs="Arial"/>
          <w:b/>
          <w:color w:val="000080"/>
          <w:sz w:val="18"/>
          <w:szCs w:val="18"/>
          <w:lang w:val="en-GB"/>
        </w:rPr>
        <w:t>NPEs</w:t>
      </w:r>
      <w:r w:rsidRPr="00516E15">
        <w:rPr>
          <w:rFonts w:ascii="Arial" w:hAnsi="Arial" w:cs="Arial"/>
          <w:color w:val="000080"/>
          <w:sz w:val="18"/>
          <w:szCs w:val="18"/>
        </w:rPr>
        <w:t>:</w:t>
      </w:r>
      <w:r w:rsidRPr="004E2656">
        <w:rPr>
          <w:rFonts w:ascii="Arial" w:hAnsi="Arial" w:cs="Arial"/>
          <w:b/>
          <w:color w:val="000080"/>
          <w:sz w:val="18"/>
          <w:szCs w:val="18"/>
        </w:rPr>
        <w:t xml:space="preserve"> </w:t>
      </w:r>
      <w:r w:rsidRPr="004E2656">
        <w:rPr>
          <w:rFonts w:ascii="Arial" w:hAnsi="Arial" w:cs="Arial"/>
          <w:color w:val="000080"/>
          <w:sz w:val="18"/>
          <w:szCs w:val="18"/>
        </w:rPr>
        <w:t>Ο λόγος των συσσωρευμένων π</w:t>
      </w:r>
      <w:r w:rsidR="00CD420E">
        <w:rPr>
          <w:rFonts w:ascii="Arial" w:hAnsi="Arial" w:cs="Arial"/>
          <w:color w:val="000080"/>
          <w:sz w:val="18"/>
          <w:szCs w:val="18"/>
        </w:rPr>
        <w:t xml:space="preserve">ροβλέψεων προς το σύνολο των </w:t>
      </w:r>
      <w:r w:rsidR="00CD420E">
        <w:rPr>
          <w:rFonts w:ascii="Arial" w:hAnsi="Arial" w:cs="Arial"/>
          <w:color w:val="000080"/>
          <w:sz w:val="18"/>
          <w:szCs w:val="18"/>
          <w:lang w:val="en-GB"/>
        </w:rPr>
        <w:t>NPEs</w:t>
      </w:r>
      <w:r w:rsidRPr="004E2656">
        <w:rPr>
          <w:rFonts w:ascii="Arial" w:hAnsi="Arial" w:cs="Arial"/>
          <w:color w:val="000080"/>
          <w:sz w:val="18"/>
          <w:szCs w:val="18"/>
        </w:rPr>
        <w:t xml:space="preserve"> στο τέλος της περιόδου αναφοράς.</w:t>
      </w:r>
    </w:p>
    <w:p w:rsidR="004E2656" w:rsidRPr="004E2656" w:rsidRDefault="004E2656" w:rsidP="00017377">
      <w:pPr>
        <w:kinsoku w:val="0"/>
        <w:overflowPunct w:val="0"/>
        <w:spacing w:before="53" w:line="360" w:lineRule="auto"/>
        <w:jc w:val="both"/>
        <w:textAlignment w:val="baseline"/>
        <w:rPr>
          <w:rFonts w:ascii="Arial" w:hAnsi="Arial" w:cs="Arial"/>
          <w:b/>
          <w:color w:val="000080"/>
          <w:sz w:val="18"/>
          <w:szCs w:val="18"/>
        </w:rPr>
      </w:pPr>
    </w:p>
    <w:p w:rsidR="004E2656" w:rsidRPr="004E2656" w:rsidRDefault="004E2656" w:rsidP="00017377">
      <w:pPr>
        <w:kinsoku w:val="0"/>
        <w:overflowPunct w:val="0"/>
        <w:spacing w:before="53" w:line="360" w:lineRule="auto"/>
        <w:jc w:val="both"/>
        <w:textAlignment w:val="baseline"/>
        <w:rPr>
          <w:rFonts w:ascii="Arial" w:hAnsi="Arial" w:cs="Arial"/>
          <w:b/>
          <w:color w:val="000080"/>
          <w:sz w:val="18"/>
          <w:szCs w:val="18"/>
        </w:rPr>
      </w:pPr>
      <w:r w:rsidRPr="004E2656">
        <w:rPr>
          <w:rFonts w:ascii="Arial" w:hAnsi="Arial" w:cs="Arial"/>
          <w:b/>
          <w:color w:val="000080"/>
          <w:sz w:val="18"/>
          <w:szCs w:val="18"/>
        </w:rPr>
        <w:t xml:space="preserve">Σχηματισμός νέων </w:t>
      </w:r>
      <w:r w:rsidR="00CD420E">
        <w:rPr>
          <w:rFonts w:ascii="Arial" w:hAnsi="Arial" w:cs="Arial"/>
          <w:b/>
          <w:color w:val="000080"/>
          <w:sz w:val="18"/>
          <w:szCs w:val="18"/>
          <w:lang w:val="en-GB"/>
        </w:rPr>
        <w:t>NPEs</w:t>
      </w:r>
      <w:r w:rsidRPr="00516E15">
        <w:rPr>
          <w:rFonts w:ascii="Arial" w:hAnsi="Arial" w:cs="Arial"/>
          <w:color w:val="000080"/>
          <w:sz w:val="18"/>
          <w:szCs w:val="18"/>
        </w:rPr>
        <w:t>:</w:t>
      </w:r>
      <w:r w:rsidRPr="004E2656">
        <w:rPr>
          <w:rFonts w:ascii="Arial" w:hAnsi="Arial" w:cs="Arial"/>
          <w:b/>
          <w:color w:val="000080"/>
          <w:sz w:val="18"/>
          <w:szCs w:val="18"/>
        </w:rPr>
        <w:t xml:space="preserve"> </w:t>
      </w:r>
      <w:r w:rsidR="00CD420E">
        <w:rPr>
          <w:rFonts w:ascii="Arial" w:hAnsi="Arial" w:cs="Arial"/>
          <w:color w:val="000080"/>
          <w:sz w:val="18"/>
          <w:szCs w:val="18"/>
        </w:rPr>
        <w:t xml:space="preserve">Καθαρή μεταβολή των </w:t>
      </w:r>
      <w:r w:rsidR="00CD420E">
        <w:rPr>
          <w:rFonts w:ascii="Arial" w:hAnsi="Arial" w:cs="Arial"/>
          <w:color w:val="000080"/>
          <w:sz w:val="18"/>
          <w:szCs w:val="18"/>
          <w:lang w:val="en-GB"/>
        </w:rPr>
        <w:t>NPEs</w:t>
      </w:r>
      <w:r w:rsidRPr="004E2656">
        <w:rPr>
          <w:rFonts w:ascii="Arial" w:hAnsi="Arial" w:cs="Arial"/>
          <w:color w:val="000080"/>
          <w:sz w:val="18"/>
          <w:szCs w:val="18"/>
        </w:rPr>
        <w:t xml:space="preserve"> εξαιρούμενης της επίπτωσης των διαγραφών.</w:t>
      </w:r>
    </w:p>
    <w:p w:rsidR="004E2656" w:rsidRPr="00CD420E" w:rsidRDefault="004E2656" w:rsidP="00017377">
      <w:pPr>
        <w:kinsoku w:val="0"/>
        <w:overflowPunct w:val="0"/>
        <w:spacing w:before="53" w:line="360" w:lineRule="auto"/>
        <w:jc w:val="both"/>
        <w:textAlignment w:val="baseline"/>
        <w:rPr>
          <w:rFonts w:ascii="Arial" w:hAnsi="Arial" w:cs="Arial"/>
          <w:b/>
          <w:color w:val="000080"/>
          <w:sz w:val="18"/>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Δείκτης Δανείων προς Καταθέσεις</w:t>
      </w:r>
      <w:r w:rsidRPr="00516E15">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Ο λόγος των δανείων και απαιτήσεων από πελάτες (μετά από προβλέψεις) προς τις υποχρεώσεις προς πελάτες στο τέλος της υπό εξέταση περιόδου</w:t>
      </w:r>
      <w:r>
        <w:rPr>
          <w:rFonts w:ascii="Arial" w:hAnsi="Arial" w:cs="Arial"/>
          <w:color w:val="000080"/>
          <w:sz w:val="18"/>
          <w:szCs w:val="18"/>
        </w:rPr>
        <w:t>.</w:t>
      </w:r>
      <w:r w:rsidRPr="00017377">
        <w:rPr>
          <w:rFonts w:ascii="Arial" w:hAnsi="Arial" w:cs="Arial"/>
          <w:color w:val="000080"/>
          <w:sz w:val="18"/>
          <w:szCs w:val="18"/>
        </w:rPr>
        <w:t xml:space="preserve"> </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r>
        <w:rPr>
          <w:rFonts w:ascii="Arial" w:hAnsi="Arial" w:cs="Arial"/>
          <w:b/>
          <w:color w:val="000080"/>
          <w:sz w:val="18"/>
          <w:szCs w:val="18"/>
        </w:rPr>
        <w:t>Σ</w:t>
      </w:r>
      <w:r w:rsidRPr="00017377">
        <w:rPr>
          <w:rFonts w:ascii="Arial" w:hAnsi="Arial" w:cs="Arial"/>
          <w:b/>
          <w:color w:val="000080"/>
          <w:sz w:val="18"/>
          <w:szCs w:val="18"/>
        </w:rPr>
        <w:t>ταθμισμένο ενεργητικό</w:t>
      </w:r>
      <w:r>
        <w:rPr>
          <w:rFonts w:ascii="Arial" w:hAnsi="Arial" w:cs="Arial"/>
          <w:b/>
          <w:color w:val="000080"/>
          <w:sz w:val="18"/>
          <w:szCs w:val="18"/>
        </w:rPr>
        <w:t xml:space="preserve"> (</w:t>
      </w:r>
      <w:r>
        <w:rPr>
          <w:rFonts w:ascii="Arial" w:hAnsi="Arial" w:cs="Arial"/>
          <w:b/>
          <w:color w:val="000080"/>
          <w:sz w:val="18"/>
          <w:szCs w:val="18"/>
          <w:lang w:val="en-US"/>
        </w:rPr>
        <w:t>RWAs</w:t>
      </w:r>
      <w:r w:rsidRPr="00017377">
        <w:rPr>
          <w:rFonts w:ascii="Arial" w:hAnsi="Arial" w:cs="Arial"/>
          <w:b/>
          <w:color w:val="000080"/>
          <w:sz w:val="18"/>
          <w:szCs w:val="18"/>
        </w:rPr>
        <w:t>)</w:t>
      </w:r>
      <w:r w:rsidRPr="00017377">
        <w:rPr>
          <w:rFonts w:ascii="Arial" w:hAnsi="Arial" w:cs="Arial"/>
          <w:color w:val="000080"/>
          <w:sz w:val="18"/>
          <w:szCs w:val="18"/>
        </w:rPr>
        <w:t>:</w:t>
      </w:r>
      <w:r w:rsidRPr="00017377">
        <w:rPr>
          <w:rFonts w:ascii="Arial" w:hAnsi="Arial" w:cs="Arial"/>
          <w:b/>
          <w:color w:val="000080"/>
          <w:sz w:val="18"/>
          <w:szCs w:val="18"/>
        </w:rPr>
        <w:t xml:space="preserve"> </w:t>
      </w:r>
      <w:r w:rsidRPr="00017377">
        <w:rPr>
          <w:rFonts w:ascii="Arial" w:hAnsi="Arial" w:cs="Arial"/>
          <w:color w:val="000080"/>
          <w:sz w:val="18"/>
          <w:szCs w:val="18"/>
        </w:rPr>
        <w:t>Είναι το σύνολο του ενεργητικού και των στοιχείων εκτός ισολογισμού του Ομίλου, σταθμισμένα με βάση τους συντελεστές στάθμισης κινδύνου σύμφωνα με τον κανονισμό (ΕΕ) Αρ. 575/2013, λαμβάνοντας υπόψη τον πιστωτικό, λειτουργικό και το κίνδυνο αγοράς.</w:t>
      </w:r>
      <w:r w:rsidRPr="00017377">
        <w:rPr>
          <w:rFonts w:ascii="Arial" w:hAnsi="Arial" w:cs="Arial"/>
          <w:b/>
          <w:color w:val="000080"/>
          <w:sz w:val="18"/>
          <w:szCs w:val="18"/>
        </w:rPr>
        <w:t xml:space="preserve"> </w:t>
      </w:r>
    </w:p>
    <w:p w:rsidR="00017377" w:rsidRDefault="00017377" w:rsidP="00017377">
      <w:pPr>
        <w:kinsoku w:val="0"/>
        <w:overflowPunct w:val="0"/>
        <w:spacing w:before="53" w:line="360" w:lineRule="auto"/>
        <w:jc w:val="both"/>
        <w:textAlignment w:val="baseline"/>
        <w:rPr>
          <w:rFonts w:ascii="Arial" w:hAnsi="Arial" w:cs="Arial"/>
          <w:b/>
          <w:color w:val="000080"/>
          <w:sz w:val="18"/>
          <w:szCs w:val="18"/>
        </w:rPr>
      </w:pPr>
    </w:p>
    <w:p w:rsidR="00017377" w:rsidRPr="00017377" w:rsidRDefault="00017377" w:rsidP="00017377">
      <w:pPr>
        <w:kinsoku w:val="0"/>
        <w:overflowPunct w:val="0"/>
        <w:spacing w:before="53" w:line="360" w:lineRule="auto"/>
        <w:jc w:val="both"/>
        <w:textAlignment w:val="baseline"/>
        <w:rPr>
          <w:rFonts w:ascii="Arial" w:hAnsi="Arial" w:cs="Arial"/>
          <w:color w:val="000080"/>
          <w:sz w:val="18"/>
          <w:szCs w:val="18"/>
        </w:rPr>
      </w:pPr>
      <w:r w:rsidRPr="00017377">
        <w:rPr>
          <w:rFonts w:ascii="Arial" w:hAnsi="Arial" w:cs="Arial"/>
          <w:b/>
          <w:color w:val="000080"/>
          <w:sz w:val="18"/>
          <w:szCs w:val="18"/>
        </w:rPr>
        <w:t>Κεφάλαια κοινών μετοχών κατηγορίας 1 (</w:t>
      </w:r>
      <w:r w:rsidRPr="00017377">
        <w:rPr>
          <w:rFonts w:ascii="Arial" w:hAnsi="Arial" w:cs="Arial"/>
          <w:b/>
          <w:color w:val="000080"/>
          <w:sz w:val="18"/>
          <w:szCs w:val="18"/>
          <w:lang w:val="en-GB"/>
        </w:rPr>
        <w:t>CET</w:t>
      </w:r>
      <w:r w:rsidRPr="00017377">
        <w:rPr>
          <w:rFonts w:ascii="Arial" w:hAnsi="Arial" w:cs="Arial"/>
          <w:b/>
          <w:color w:val="000080"/>
          <w:sz w:val="18"/>
          <w:szCs w:val="18"/>
        </w:rPr>
        <w:t>1</w:t>
      </w:r>
      <w:r w:rsidRPr="00017377">
        <w:rPr>
          <w:rFonts w:ascii="Arial" w:hAnsi="Arial" w:cs="Arial"/>
          <w:color w:val="000080"/>
          <w:sz w:val="18"/>
          <w:szCs w:val="18"/>
        </w:rPr>
        <w:t>): Ο λόγος των κεφαλαίων κοινών μετοχών κατηγορίας 1, όπως ορίζονται με τον κανονισμό (</w:t>
      </w:r>
      <w:r w:rsidRPr="00017377">
        <w:rPr>
          <w:rFonts w:ascii="Arial" w:hAnsi="Arial" w:cs="Arial"/>
          <w:color w:val="000080"/>
          <w:sz w:val="18"/>
          <w:szCs w:val="18"/>
          <w:lang w:val="en-GB"/>
        </w:rPr>
        <w:t>EE</w:t>
      </w:r>
      <w:r w:rsidRPr="00017377">
        <w:rPr>
          <w:rFonts w:ascii="Arial" w:hAnsi="Arial" w:cs="Arial"/>
          <w:color w:val="000080"/>
          <w:sz w:val="18"/>
          <w:szCs w:val="18"/>
        </w:rPr>
        <w:t>) Αρ.575/2013, προς το σύνολο του σταθμισμένου ενεργητικού (</w:t>
      </w:r>
      <w:r w:rsidRPr="00017377">
        <w:rPr>
          <w:rFonts w:ascii="Arial" w:hAnsi="Arial" w:cs="Arial"/>
          <w:color w:val="000080"/>
          <w:sz w:val="18"/>
          <w:szCs w:val="18"/>
          <w:lang w:val="en-GB"/>
        </w:rPr>
        <w:t>Risk</w:t>
      </w:r>
      <w:r w:rsidRPr="00017377">
        <w:rPr>
          <w:rFonts w:ascii="Arial" w:hAnsi="Arial" w:cs="Arial"/>
          <w:color w:val="000080"/>
          <w:sz w:val="18"/>
          <w:szCs w:val="18"/>
        </w:rPr>
        <w:t xml:space="preserve"> </w:t>
      </w:r>
      <w:r w:rsidRPr="00017377">
        <w:rPr>
          <w:rFonts w:ascii="Arial" w:hAnsi="Arial" w:cs="Arial"/>
          <w:color w:val="000080"/>
          <w:sz w:val="18"/>
          <w:szCs w:val="18"/>
          <w:lang w:val="en-GB"/>
        </w:rPr>
        <w:t>Weighted</w:t>
      </w:r>
      <w:r w:rsidRPr="00017377">
        <w:rPr>
          <w:rFonts w:ascii="Arial" w:hAnsi="Arial" w:cs="Arial"/>
          <w:color w:val="000080"/>
          <w:sz w:val="18"/>
          <w:szCs w:val="18"/>
        </w:rPr>
        <w:t xml:space="preserve"> </w:t>
      </w:r>
      <w:r w:rsidRPr="00017377">
        <w:rPr>
          <w:rFonts w:ascii="Arial" w:hAnsi="Arial" w:cs="Arial"/>
          <w:color w:val="000080"/>
          <w:sz w:val="18"/>
          <w:szCs w:val="18"/>
          <w:lang w:val="en-GB"/>
        </w:rPr>
        <w:t>Assets</w:t>
      </w:r>
      <w:r w:rsidRPr="00017377">
        <w:rPr>
          <w:rFonts w:ascii="Arial" w:hAnsi="Arial" w:cs="Arial"/>
          <w:color w:val="000080"/>
          <w:sz w:val="18"/>
          <w:szCs w:val="18"/>
        </w:rPr>
        <w:t xml:space="preserve"> - </w:t>
      </w:r>
      <w:r w:rsidRPr="00017377">
        <w:rPr>
          <w:rFonts w:ascii="Arial" w:hAnsi="Arial" w:cs="Arial"/>
          <w:color w:val="000080"/>
          <w:sz w:val="18"/>
          <w:szCs w:val="18"/>
          <w:lang w:val="en-GB"/>
        </w:rPr>
        <w:t>RWA</w:t>
      </w:r>
      <w:r w:rsidRPr="00017377">
        <w:rPr>
          <w:rFonts w:ascii="Arial" w:hAnsi="Arial" w:cs="Arial"/>
          <w:color w:val="000080"/>
          <w:sz w:val="18"/>
          <w:szCs w:val="18"/>
        </w:rPr>
        <w:t xml:space="preserve">). </w:t>
      </w:r>
    </w:p>
    <w:p w:rsidR="00784360" w:rsidRDefault="00784360" w:rsidP="00017377">
      <w:pPr>
        <w:kinsoku w:val="0"/>
        <w:overflowPunct w:val="0"/>
        <w:spacing w:before="53" w:line="360" w:lineRule="auto"/>
        <w:jc w:val="both"/>
        <w:textAlignment w:val="baseline"/>
        <w:rPr>
          <w:rFonts w:ascii="Arial" w:hAnsi="Arial" w:cs="Arial"/>
          <w:color w:val="000080"/>
          <w:sz w:val="18"/>
          <w:szCs w:val="18"/>
          <w:lang w:val="en-US"/>
        </w:rPr>
      </w:pPr>
    </w:p>
    <w:p w:rsidR="00017377" w:rsidRPr="00017377" w:rsidRDefault="00784360" w:rsidP="00017377">
      <w:pPr>
        <w:kinsoku w:val="0"/>
        <w:overflowPunct w:val="0"/>
        <w:spacing w:before="53" w:line="360" w:lineRule="auto"/>
        <w:jc w:val="both"/>
        <w:textAlignment w:val="baseline"/>
        <w:rPr>
          <w:rFonts w:ascii="Arial" w:hAnsi="Arial" w:cs="Arial"/>
          <w:color w:val="000080"/>
          <w:sz w:val="18"/>
          <w:szCs w:val="18"/>
        </w:rPr>
      </w:pPr>
      <w:r>
        <w:rPr>
          <w:rFonts w:ascii="Arial" w:hAnsi="Arial" w:cs="Arial"/>
          <w:b/>
          <w:color w:val="000080"/>
          <w:sz w:val="18"/>
          <w:szCs w:val="18"/>
        </w:rPr>
        <w:t>Κεφάλαια Κοινών μ</w:t>
      </w:r>
      <w:r w:rsidRPr="00784360">
        <w:rPr>
          <w:rFonts w:ascii="Arial" w:hAnsi="Arial" w:cs="Arial"/>
          <w:b/>
          <w:color w:val="000080"/>
          <w:sz w:val="18"/>
          <w:szCs w:val="18"/>
        </w:rPr>
        <w:t>ετοχών της κατηγορίας 1 (Πλήρης εφαρμογή)</w:t>
      </w:r>
      <w:r w:rsidRPr="00784360">
        <w:rPr>
          <w:rFonts w:ascii="Arial" w:hAnsi="Arial" w:cs="Arial"/>
          <w:color w:val="000080"/>
          <w:sz w:val="18"/>
          <w:szCs w:val="18"/>
        </w:rPr>
        <w:t xml:space="preserve">: Κεφάλαια </w:t>
      </w:r>
      <w:r>
        <w:rPr>
          <w:rFonts w:ascii="Arial" w:hAnsi="Arial" w:cs="Arial"/>
          <w:color w:val="000080"/>
          <w:sz w:val="18"/>
          <w:szCs w:val="18"/>
        </w:rPr>
        <w:t>κ</w:t>
      </w:r>
      <w:r w:rsidRPr="00784360">
        <w:rPr>
          <w:rFonts w:ascii="Arial" w:hAnsi="Arial" w:cs="Arial"/>
          <w:color w:val="000080"/>
          <w:sz w:val="18"/>
          <w:szCs w:val="18"/>
        </w:rPr>
        <w:t xml:space="preserve">οινών </w:t>
      </w:r>
      <w:r>
        <w:rPr>
          <w:rFonts w:ascii="Arial" w:hAnsi="Arial" w:cs="Arial"/>
          <w:color w:val="000080"/>
          <w:sz w:val="18"/>
          <w:szCs w:val="18"/>
        </w:rPr>
        <w:t>μ</w:t>
      </w:r>
      <w:r w:rsidRPr="00784360">
        <w:rPr>
          <w:rFonts w:ascii="Arial" w:hAnsi="Arial" w:cs="Arial"/>
          <w:color w:val="000080"/>
          <w:sz w:val="18"/>
          <w:szCs w:val="18"/>
        </w:rPr>
        <w:t>ετοχών της κατηγορίας 1, όπως ορίζεται από τον Κανονισμό 575/2013 χωρίς την εφαρμογή των σχετικών μεταβατικών διατάξεων δια το σύνολο σταθμισμένου έναντι κινδύνου στοιχείων ενεργητικού.</w:t>
      </w:r>
    </w:p>
    <w:sectPr w:rsidR="00017377" w:rsidRPr="00017377" w:rsidSect="00EC74A8">
      <w:headerReference w:type="default" r:id="rId16"/>
      <w:footerReference w:type="default" r:id="rId17"/>
      <w:pgSz w:w="11906" w:h="16838" w:code="9"/>
      <w:pgMar w:top="1440" w:right="1133"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3E8" w:rsidRDefault="00C923E8">
      <w:r>
        <w:separator/>
      </w:r>
    </w:p>
  </w:endnote>
  <w:endnote w:type="continuationSeparator" w:id="1">
    <w:p w:rsidR="00C923E8" w:rsidRDefault="00C923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Typewriter">
    <w:altName w:val="Consolas"/>
    <w:charset w:val="00"/>
    <w:family w:val="modern"/>
    <w:pitch w:val="fixed"/>
    <w:sig w:usb0="00000003" w:usb1="00000000" w:usb2="00000000" w:usb3="00000000" w:csb0="00000001" w:csb1="00000000"/>
  </w:font>
  <w:font w:name="Tw Cen MT Condensed Extra Bold">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34" w:rsidRPr="00922E1D" w:rsidRDefault="00050234">
    <w:pPr>
      <w:pStyle w:val="a4"/>
      <w:jc w:val="center"/>
      <w:rPr>
        <w:rFonts w:ascii="Arial" w:hAnsi="Arial" w:cs="Arial"/>
        <w:color w:val="365F91"/>
        <w:sz w:val="18"/>
      </w:rPr>
    </w:pPr>
    <w:r w:rsidRPr="00922E1D">
      <w:rPr>
        <w:rFonts w:ascii="Arial" w:hAnsi="Arial" w:cs="Arial"/>
        <w:color w:val="365F91"/>
        <w:sz w:val="18"/>
      </w:rPr>
      <w:fldChar w:fldCharType="begin"/>
    </w:r>
    <w:r w:rsidRPr="00922E1D">
      <w:rPr>
        <w:rFonts w:ascii="Arial" w:hAnsi="Arial" w:cs="Arial"/>
        <w:color w:val="365F91"/>
        <w:sz w:val="18"/>
      </w:rPr>
      <w:instrText xml:space="preserve"> PAGE   \* MERGEFORMAT </w:instrText>
    </w:r>
    <w:r w:rsidRPr="00922E1D">
      <w:rPr>
        <w:rFonts w:ascii="Arial" w:hAnsi="Arial" w:cs="Arial"/>
        <w:color w:val="365F91"/>
        <w:sz w:val="18"/>
      </w:rPr>
      <w:fldChar w:fldCharType="separate"/>
    </w:r>
    <w:r w:rsidR="00FE3BBA">
      <w:rPr>
        <w:rFonts w:ascii="Arial" w:hAnsi="Arial" w:cs="Arial"/>
        <w:noProof/>
        <w:color w:val="365F91"/>
        <w:sz w:val="18"/>
      </w:rPr>
      <w:t>1</w:t>
    </w:r>
    <w:r w:rsidRPr="00922E1D">
      <w:rPr>
        <w:rFonts w:ascii="Arial" w:hAnsi="Arial" w:cs="Arial"/>
        <w:noProof/>
        <w:color w:val="365F91"/>
        <w:sz w:val="18"/>
      </w:rPr>
      <w:fldChar w:fldCharType="end"/>
    </w:r>
  </w:p>
  <w:p w:rsidR="00050234" w:rsidRPr="003D3383" w:rsidRDefault="00050234" w:rsidP="00F62462">
    <w:pPr>
      <w:pStyle w:val="a4"/>
      <w:jc w:val="center"/>
      <w:rPr>
        <w:rFonts w:ascii="Arial" w:hAnsi="Arial" w:cs="Arial"/>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3E8" w:rsidRDefault="00C923E8">
      <w:r>
        <w:separator/>
      </w:r>
    </w:p>
  </w:footnote>
  <w:footnote w:type="continuationSeparator" w:id="1">
    <w:p w:rsidR="00C923E8" w:rsidRDefault="00C923E8">
      <w:r>
        <w:continuationSeparator/>
      </w:r>
    </w:p>
  </w:footnote>
  <w:footnote w:id="2">
    <w:p w:rsidR="000D4C18" w:rsidRPr="00BF0AC1" w:rsidRDefault="000D4C18" w:rsidP="000D4C18">
      <w:pPr>
        <w:pStyle w:val="a6"/>
        <w:jc w:val="both"/>
      </w:pPr>
      <w:r w:rsidRPr="00743313">
        <w:rPr>
          <w:rFonts w:ascii="Arial" w:hAnsi="Arial" w:cs="Arial"/>
          <w:color w:val="000066"/>
          <w:sz w:val="14"/>
          <w:szCs w:val="16"/>
          <w:vertAlign w:val="superscript"/>
        </w:rPr>
        <w:footnoteRef/>
      </w:r>
      <w:r>
        <w:t xml:space="preserve"> </w:t>
      </w:r>
      <w:r>
        <w:rPr>
          <w:rFonts w:ascii="Arial" w:hAnsi="Arial" w:cs="Arial"/>
          <w:color w:val="000066"/>
          <w:sz w:val="12"/>
          <w:szCs w:val="16"/>
        </w:rPr>
        <w:t>Σε συγκρίσιμη β</w:t>
      </w:r>
      <w:r w:rsidRPr="00510E76">
        <w:rPr>
          <w:rFonts w:ascii="Arial" w:hAnsi="Arial" w:cs="Arial"/>
          <w:color w:val="000066"/>
          <w:sz w:val="12"/>
          <w:szCs w:val="16"/>
        </w:rPr>
        <w:t>άση</w:t>
      </w:r>
      <w:r w:rsidRPr="00062FFF">
        <w:rPr>
          <w:rFonts w:ascii="Arial" w:hAnsi="Arial" w:cs="Arial"/>
          <w:color w:val="000066"/>
          <w:sz w:val="12"/>
          <w:szCs w:val="16"/>
        </w:rPr>
        <w:t xml:space="preserve">: </w:t>
      </w:r>
      <w:r w:rsidRPr="00813B83">
        <w:rPr>
          <w:rFonts w:ascii="Arial" w:hAnsi="Arial" w:cs="Arial"/>
          <w:color w:val="000066"/>
          <w:sz w:val="12"/>
          <w:szCs w:val="16"/>
        </w:rPr>
        <w:t>Στις δαπάνες του 2015 περιλαμβ</w:t>
      </w:r>
      <w:r>
        <w:rPr>
          <w:rFonts w:ascii="Arial" w:hAnsi="Arial" w:cs="Arial"/>
          <w:color w:val="000066"/>
          <w:sz w:val="12"/>
          <w:szCs w:val="16"/>
        </w:rPr>
        <w:t xml:space="preserve">άνονται €30εκ. για </w:t>
      </w:r>
      <w:r w:rsidRPr="0065391A">
        <w:rPr>
          <w:rFonts w:ascii="Arial" w:hAnsi="Arial" w:cs="Arial"/>
          <w:color w:val="000066"/>
          <w:sz w:val="12"/>
          <w:szCs w:val="16"/>
        </w:rPr>
        <w:t>την εγγύηση των καταθέσεων στα πλαίσια της κοινοτικής οδηγίας BRRD</w:t>
      </w:r>
      <w:r>
        <w:rPr>
          <w:rFonts w:ascii="Arial" w:hAnsi="Arial" w:cs="Arial"/>
          <w:color w:val="000066"/>
          <w:sz w:val="12"/>
          <w:szCs w:val="16"/>
        </w:rPr>
        <w:t xml:space="preserve"> και </w:t>
      </w:r>
      <w:r w:rsidRPr="00C414AF">
        <w:rPr>
          <w:rFonts w:ascii="Arial" w:hAnsi="Arial" w:cs="Arial"/>
          <w:color w:val="000066"/>
          <w:sz w:val="12"/>
          <w:szCs w:val="16"/>
        </w:rPr>
        <w:t>€</w:t>
      </w:r>
      <w:r>
        <w:rPr>
          <w:rFonts w:ascii="Arial" w:hAnsi="Arial" w:cs="Arial"/>
          <w:color w:val="000066"/>
          <w:sz w:val="12"/>
          <w:szCs w:val="16"/>
        </w:rPr>
        <w:t>2</w:t>
      </w:r>
      <w:r w:rsidR="00D36761" w:rsidRPr="00D36761">
        <w:rPr>
          <w:rFonts w:ascii="Arial" w:hAnsi="Arial" w:cs="Arial"/>
          <w:color w:val="000066"/>
          <w:sz w:val="12"/>
          <w:szCs w:val="16"/>
        </w:rPr>
        <w:t>9</w:t>
      </w:r>
      <w:r w:rsidRPr="00C414AF">
        <w:rPr>
          <w:rFonts w:ascii="Arial" w:hAnsi="Arial" w:cs="Arial"/>
          <w:color w:val="000066"/>
          <w:sz w:val="12"/>
          <w:szCs w:val="16"/>
        </w:rPr>
        <w:t>εκ</w:t>
      </w:r>
      <w:r>
        <w:rPr>
          <w:rFonts w:ascii="Arial" w:hAnsi="Arial" w:cs="Arial"/>
          <w:color w:val="000066"/>
          <w:sz w:val="12"/>
          <w:szCs w:val="16"/>
        </w:rPr>
        <w:t>.λόγω της αναδιάταξης μέρους των δαπανών διαχείρισης των δανείων σε καθυστέρηση από τις προβλέψεις πιστωτικών κινδύνων στις λειτουργικές δαπάνες</w:t>
      </w:r>
      <w:r w:rsidR="00BF0AC1" w:rsidRPr="00BF0AC1">
        <w:rPr>
          <w:rFonts w:ascii="Arial" w:hAnsi="Arial" w:cs="Arial"/>
          <w:color w:val="000066"/>
          <w:sz w:val="12"/>
          <w:szCs w:val="16"/>
        </w:rPr>
        <w:t xml:space="preserve">, </w:t>
      </w:r>
      <w:r w:rsidR="00BF0AC1">
        <w:rPr>
          <w:rFonts w:ascii="Arial" w:hAnsi="Arial" w:cs="Arial"/>
          <w:color w:val="000066"/>
          <w:sz w:val="12"/>
          <w:szCs w:val="16"/>
        </w:rPr>
        <w:t>ενώ εξαιρούνται €12εκ.</w:t>
      </w:r>
      <w:r w:rsidR="00CF12DB" w:rsidRPr="00CF12DB">
        <w:rPr>
          <w:rFonts w:ascii="Arial" w:hAnsi="Arial" w:cs="Arial"/>
          <w:color w:val="000066"/>
          <w:sz w:val="12"/>
          <w:szCs w:val="16"/>
        </w:rPr>
        <w:t xml:space="preserve"> </w:t>
      </w:r>
      <w:r w:rsidR="00CF12DB">
        <w:rPr>
          <w:rFonts w:ascii="Arial" w:hAnsi="Arial" w:cs="Arial"/>
          <w:color w:val="000066"/>
          <w:sz w:val="12"/>
          <w:szCs w:val="16"/>
        </w:rPr>
        <w:t>για την εκκαθάριση συνεταιριστικής τ</w:t>
      </w:r>
      <w:r w:rsidR="00CF12DB" w:rsidRPr="0065391A">
        <w:rPr>
          <w:rFonts w:ascii="Arial" w:hAnsi="Arial" w:cs="Arial"/>
          <w:color w:val="000066"/>
          <w:sz w:val="12"/>
          <w:szCs w:val="16"/>
        </w:rPr>
        <w:t>ράπεζα</w:t>
      </w:r>
      <w:r w:rsidR="00CF12DB">
        <w:rPr>
          <w:rFonts w:ascii="Arial" w:hAnsi="Arial" w:cs="Arial"/>
          <w:color w:val="000066"/>
          <w:sz w:val="12"/>
          <w:szCs w:val="16"/>
        </w:rPr>
        <w:t>ς.</w:t>
      </w:r>
      <w:r w:rsidR="00BF0AC1">
        <w:rPr>
          <w:rFonts w:ascii="Arial" w:hAnsi="Arial" w:cs="Arial"/>
          <w:color w:val="000066"/>
          <w:sz w:val="12"/>
          <w:szCs w:val="16"/>
        </w:rPr>
        <w:t xml:space="preserve"> </w:t>
      </w:r>
    </w:p>
  </w:footnote>
  <w:footnote w:id="3">
    <w:p w:rsidR="00BF0AC1" w:rsidRPr="00BF0AC1" w:rsidRDefault="00BF0AC1">
      <w:pPr>
        <w:pStyle w:val="a6"/>
      </w:pPr>
      <w:r w:rsidRPr="00743313">
        <w:rPr>
          <w:rFonts w:ascii="Arial" w:hAnsi="Arial" w:cs="Arial"/>
          <w:color w:val="000066"/>
          <w:sz w:val="14"/>
          <w:szCs w:val="16"/>
          <w:vertAlign w:val="superscript"/>
        </w:rPr>
        <w:footnoteRef/>
      </w:r>
      <w:r>
        <w:t xml:space="preserve"> </w:t>
      </w:r>
      <w:r w:rsidR="00D506F7">
        <w:rPr>
          <w:rFonts w:ascii="Arial" w:hAnsi="Arial" w:cs="Arial"/>
          <w:color w:val="000066"/>
          <w:sz w:val="12"/>
          <w:szCs w:val="16"/>
        </w:rPr>
        <w:t>Πριν από τις</w:t>
      </w:r>
      <w:r w:rsidR="00137DBA">
        <w:rPr>
          <w:rFonts w:ascii="Arial" w:hAnsi="Arial" w:cs="Arial"/>
          <w:color w:val="000066"/>
          <w:sz w:val="12"/>
          <w:szCs w:val="16"/>
        </w:rPr>
        <w:t xml:space="preserve"> </w:t>
      </w:r>
      <w:r w:rsidR="00CF12DB">
        <w:rPr>
          <w:rFonts w:ascii="Arial" w:hAnsi="Arial" w:cs="Arial"/>
          <w:color w:val="000066"/>
          <w:sz w:val="12"/>
          <w:szCs w:val="16"/>
        </w:rPr>
        <w:t xml:space="preserve">μη </w:t>
      </w:r>
      <w:r w:rsidR="00D506F7">
        <w:rPr>
          <w:rFonts w:ascii="Arial" w:hAnsi="Arial" w:cs="Arial"/>
          <w:color w:val="000066"/>
          <w:sz w:val="12"/>
          <w:szCs w:val="16"/>
        </w:rPr>
        <w:t>συνεχιζόμενες</w:t>
      </w:r>
      <w:r w:rsidR="00CF12DB" w:rsidRPr="00CF12DB">
        <w:rPr>
          <w:rFonts w:ascii="Arial" w:hAnsi="Arial" w:cs="Arial"/>
          <w:color w:val="000066"/>
          <w:sz w:val="12"/>
          <w:szCs w:val="16"/>
        </w:rPr>
        <w:t xml:space="preserve"> </w:t>
      </w:r>
      <w:r w:rsidRPr="00E94586">
        <w:rPr>
          <w:rFonts w:ascii="Arial" w:hAnsi="Arial" w:cs="Arial"/>
          <w:color w:val="000066"/>
          <w:sz w:val="12"/>
          <w:szCs w:val="16"/>
        </w:rPr>
        <w:t>δραστηρι</w:t>
      </w:r>
      <w:r w:rsidR="00D506F7">
        <w:rPr>
          <w:rFonts w:ascii="Arial" w:hAnsi="Arial" w:cs="Arial"/>
          <w:color w:val="000066"/>
          <w:sz w:val="12"/>
          <w:szCs w:val="16"/>
        </w:rPr>
        <w:t>ότητες</w:t>
      </w:r>
      <w:r>
        <w:rPr>
          <w:rFonts w:ascii="Arial" w:hAnsi="Arial" w:cs="Arial"/>
          <w:color w:val="000066"/>
          <w:sz w:val="12"/>
          <w:szCs w:val="16"/>
        </w:rPr>
        <w:t xml:space="preserve"> και</w:t>
      </w:r>
      <w:r w:rsidR="00D506F7">
        <w:rPr>
          <w:rFonts w:ascii="Arial" w:hAnsi="Arial" w:cs="Arial"/>
          <w:color w:val="000066"/>
          <w:sz w:val="12"/>
          <w:szCs w:val="16"/>
        </w:rPr>
        <w:t xml:space="preserve"> έκτακτα αποτελέσματα</w:t>
      </w:r>
      <w:r w:rsidR="00CF12DB">
        <w:rPr>
          <w:rFonts w:ascii="Arial" w:hAnsi="Arial" w:cs="Arial"/>
          <w:color w:val="000066"/>
          <w:sz w:val="12"/>
          <w:szCs w:val="16"/>
        </w:rPr>
        <w:t>.</w:t>
      </w:r>
    </w:p>
  </w:footnote>
  <w:footnote w:id="4">
    <w:p w:rsidR="00CF12DB" w:rsidRDefault="00CF12DB" w:rsidP="00CF12DB">
      <w:pPr>
        <w:pStyle w:val="a6"/>
        <w:jc w:val="both"/>
      </w:pPr>
      <w:r w:rsidRPr="00743313">
        <w:rPr>
          <w:rFonts w:ascii="Arial" w:hAnsi="Arial" w:cs="Arial"/>
          <w:color w:val="000066"/>
          <w:sz w:val="14"/>
          <w:szCs w:val="16"/>
          <w:vertAlign w:val="superscript"/>
        </w:rPr>
        <w:footnoteRef/>
      </w:r>
      <w:r>
        <w:t xml:space="preserve"> </w:t>
      </w:r>
      <w:r>
        <w:rPr>
          <w:rFonts w:ascii="Arial" w:hAnsi="Arial" w:cs="Arial"/>
          <w:color w:val="000066"/>
          <w:sz w:val="12"/>
          <w:szCs w:val="16"/>
        </w:rPr>
        <w:t>Σε συγκρίσιμη β</w:t>
      </w:r>
      <w:r w:rsidRPr="00510E76">
        <w:rPr>
          <w:rFonts w:ascii="Arial" w:hAnsi="Arial" w:cs="Arial"/>
          <w:color w:val="000066"/>
          <w:sz w:val="12"/>
          <w:szCs w:val="16"/>
        </w:rPr>
        <w:t>άση</w:t>
      </w:r>
      <w:r w:rsidRPr="00062FFF">
        <w:rPr>
          <w:rFonts w:ascii="Arial" w:hAnsi="Arial" w:cs="Arial"/>
          <w:color w:val="000066"/>
          <w:sz w:val="12"/>
          <w:szCs w:val="16"/>
        </w:rPr>
        <w:t xml:space="preserve">: </w:t>
      </w:r>
      <w:r w:rsidRPr="00813B83">
        <w:rPr>
          <w:rFonts w:ascii="Arial" w:hAnsi="Arial" w:cs="Arial"/>
          <w:color w:val="000066"/>
          <w:sz w:val="12"/>
          <w:szCs w:val="16"/>
        </w:rPr>
        <w:t>Στις δαπάνες του 2015 περιλαμβ</w:t>
      </w:r>
      <w:r>
        <w:rPr>
          <w:rFonts w:ascii="Arial" w:hAnsi="Arial" w:cs="Arial"/>
          <w:color w:val="000066"/>
          <w:sz w:val="12"/>
          <w:szCs w:val="16"/>
        </w:rPr>
        <w:t xml:space="preserve">άνονται €30εκ. για </w:t>
      </w:r>
      <w:r w:rsidRPr="0065391A">
        <w:rPr>
          <w:rFonts w:ascii="Arial" w:hAnsi="Arial" w:cs="Arial"/>
          <w:color w:val="000066"/>
          <w:sz w:val="12"/>
          <w:szCs w:val="16"/>
        </w:rPr>
        <w:t>την εγγύηση των καταθέσεων στα πλαίσια της κοινοτικής οδηγίας BRRD</w:t>
      </w:r>
      <w:r>
        <w:rPr>
          <w:rFonts w:ascii="Arial" w:hAnsi="Arial" w:cs="Arial"/>
          <w:color w:val="000066"/>
          <w:sz w:val="12"/>
          <w:szCs w:val="16"/>
        </w:rPr>
        <w:t xml:space="preserve"> και </w:t>
      </w:r>
      <w:r w:rsidRPr="00C414AF">
        <w:rPr>
          <w:rFonts w:ascii="Arial" w:hAnsi="Arial" w:cs="Arial"/>
          <w:color w:val="000066"/>
          <w:sz w:val="12"/>
          <w:szCs w:val="16"/>
        </w:rPr>
        <w:t>€</w:t>
      </w:r>
      <w:r>
        <w:rPr>
          <w:rFonts w:ascii="Arial" w:hAnsi="Arial" w:cs="Arial"/>
          <w:color w:val="000066"/>
          <w:sz w:val="12"/>
          <w:szCs w:val="16"/>
        </w:rPr>
        <w:t>2</w:t>
      </w:r>
      <w:r w:rsidRPr="00D36761">
        <w:rPr>
          <w:rFonts w:ascii="Arial" w:hAnsi="Arial" w:cs="Arial"/>
          <w:color w:val="000066"/>
          <w:sz w:val="12"/>
          <w:szCs w:val="16"/>
        </w:rPr>
        <w:t>9</w:t>
      </w:r>
      <w:r w:rsidRPr="00C414AF">
        <w:rPr>
          <w:rFonts w:ascii="Arial" w:hAnsi="Arial" w:cs="Arial"/>
          <w:color w:val="000066"/>
          <w:sz w:val="12"/>
          <w:szCs w:val="16"/>
        </w:rPr>
        <w:t>εκ</w:t>
      </w:r>
      <w:r>
        <w:rPr>
          <w:rFonts w:ascii="Arial" w:hAnsi="Arial" w:cs="Arial"/>
          <w:color w:val="000066"/>
          <w:sz w:val="12"/>
          <w:szCs w:val="16"/>
        </w:rPr>
        <w:t>.λόγω της αναδιάταξης μέρους των δαπανών διαχείρισης των δανείων σε καθυστέρηση από τις προβλέψεις πιστωτικών κινδύνων στις λειτουργικές δαπάνες</w:t>
      </w:r>
      <w:r w:rsidRPr="00BF0AC1">
        <w:rPr>
          <w:rFonts w:ascii="Arial" w:hAnsi="Arial" w:cs="Arial"/>
          <w:color w:val="000066"/>
          <w:sz w:val="12"/>
          <w:szCs w:val="16"/>
        </w:rPr>
        <w:t xml:space="preserve">, </w:t>
      </w:r>
      <w:r>
        <w:rPr>
          <w:rFonts w:ascii="Arial" w:hAnsi="Arial" w:cs="Arial"/>
          <w:color w:val="000066"/>
          <w:sz w:val="12"/>
          <w:szCs w:val="16"/>
        </w:rPr>
        <w:t>ενώ εξαιρούνται €12εκ.</w:t>
      </w:r>
      <w:r w:rsidRPr="00CF12DB">
        <w:rPr>
          <w:rFonts w:ascii="Arial" w:hAnsi="Arial" w:cs="Arial"/>
          <w:color w:val="000066"/>
          <w:sz w:val="12"/>
          <w:szCs w:val="16"/>
        </w:rPr>
        <w:t xml:space="preserve"> </w:t>
      </w:r>
      <w:r>
        <w:rPr>
          <w:rFonts w:ascii="Arial" w:hAnsi="Arial" w:cs="Arial"/>
          <w:color w:val="000066"/>
          <w:sz w:val="12"/>
          <w:szCs w:val="16"/>
        </w:rPr>
        <w:t>για την εκκαθάριση συνεταιριστικής τ</w:t>
      </w:r>
      <w:r w:rsidRPr="0065391A">
        <w:rPr>
          <w:rFonts w:ascii="Arial" w:hAnsi="Arial" w:cs="Arial"/>
          <w:color w:val="000066"/>
          <w:sz w:val="12"/>
          <w:szCs w:val="16"/>
        </w:rPr>
        <w:t>ράπεζα</w:t>
      </w:r>
      <w:r>
        <w:rPr>
          <w:rFonts w:ascii="Arial" w:hAnsi="Arial" w:cs="Arial"/>
          <w:color w:val="000066"/>
          <w:sz w:val="12"/>
          <w:szCs w:val="16"/>
        </w:rPr>
        <w:t>ς.</w:t>
      </w:r>
    </w:p>
  </w:footnote>
  <w:footnote w:id="5">
    <w:p w:rsidR="00E94586" w:rsidRDefault="00E94586">
      <w:pPr>
        <w:pStyle w:val="a6"/>
      </w:pPr>
      <w:r w:rsidRPr="00743313">
        <w:rPr>
          <w:rFonts w:ascii="Arial" w:hAnsi="Arial" w:cs="Arial"/>
          <w:color w:val="000066"/>
          <w:sz w:val="14"/>
          <w:szCs w:val="16"/>
          <w:vertAlign w:val="superscript"/>
        </w:rPr>
        <w:footnoteRef/>
      </w:r>
      <w:r w:rsidRPr="00743313">
        <w:rPr>
          <w:rFonts w:ascii="Arial" w:hAnsi="Arial" w:cs="Arial"/>
        </w:rPr>
        <w:t xml:space="preserve"> </w:t>
      </w:r>
      <w:r w:rsidR="00D506F7">
        <w:rPr>
          <w:rFonts w:ascii="Arial" w:hAnsi="Arial" w:cs="Arial"/>
          <w:color w:val="000066"/>
          <w:sz w:val="12"/>
          <w:szCs w:val="16"/>
        </w:rPr>
        <w:t>Πριν από τις</w:t>
      </w:r>
      <w:r w:rsidR="00CF12DB">
        <w:rPr>
          <w:rFonts w:ascii="Arial" w:hAnsi="Arial" w:cs="Arial"/>
          <w:color w:val="000066"/>
          <w:sz w:val="12"/>
          <w:szCs w:val="16"/>
        </w:rPr>
        <w:t xml:space="preserve"> μη συνεχιζ</w:t>
      </w:r>
      <w:r w:rsidR="00D506F7">
        <w:rPr>
          <w:rFonts w:ascii="Arial" w:hAnsi="Arial" w:cs="Arial"/>
          <w:color w:val="000066"/>
          <w:sz w:val="12"/>
          <w:szCs w:val="16"/>
        </w:rPr>
        <w:t>όμενες δραστηριότητες και έκτακτα αποτελέσματα</w:t>
      </w:r>
      <w:r w:rsidR="00CF12DB">
        <w:rPr>
          <w:rFonts w:ascii="Arial" w:hAnsi="Arial" w:cs="Arial"/>
          <w:color w:val="000066"/>
          <w:sz w:val="12"/>
          <w:szCs w:val="16"/>
        </w:rPr>
        <w:t>.</w:t>
      </w:r>
    </w:p>
  </w:footnote>
  <w:footnote w:id="6">
    <w:p w:rsidR="00CF0B64" w:rsidRDefault="00CF0B64">
      <w:pPr>
        <w:pStyle w:val="a6"/>
      </w:pPr>
      <w:r w:rsidRPr="00743313">
        <w:rPr>
          <w:rFonts w:ascii="Arial" w:hAnsi="Arial" w:cs="Arial"/>
          <w:color w:val="000066"/>
          <w:sz w:val="14"/>
          <w:szCs w:val="16"/>
          <w:vertAlign w:val="superscript"/>
        </w:rPr>
        <w:footnoteRef/>
      </w:r>
      <w:r>
        <w:t xml:space="preserve"> </w:t>
      </w:r>
      <w:r w:rsidRPr="00813B83">
        <w:rPr>
          <w:rFonts w:ascii="Arial" w:hAnsi="Arial" w:cs="Arial"/>
          <w:color w:val="000066"/>
          <w:sz w:val="12"/>
          <w:szCs w:val="16"/>
        </w:rPr>
        <w:t>Στις δαπάνες του 2015 περιλαμβ</w:t>
      </w:r>
      <w:r>
        <w:rPr>
          <w:rFonts w:ascii="Arial" w:hAnsi="Arial" w:cs="Arial"/>
          <w:color w:val="000066"/>
          <w:sz w:val="12"/>
          <w:szCs w:val="16"/>
        </w:rPr>
        <w:t xml:space="preserve">άνονται €30εκ. για </w:t>
      </w:r>
      <w:r w:rsidRPr="0065391A">
        <w:rPr>
          <w:rFonts w:ascii="Arial" w:hAnsi="Arial" w:cs="Arial"/>
          <w:color w:val="000066"/>
          <w:sz w:val="12"/>
          <w:szCs w:val="16"/>
        </w:rPr>
        <w:t>την εγγύηση των καταθέσεων στα πλαίσια της κοινοτικής οδηγίας BRRD</w:t>
      </w:r>
      <w:r>
        <w:rPr>
          <w:rFonts w:ascii="Arial" w:hAnsi="Arial" w:cs="Arial"/>
          <w:color w:val="000066"/>
          <w:sz w:val="12"/>
          <w:szCs w:val="16"/>
        </w:rPr>
        <w:t xml:space="preserve"> και </w:t>
      </w:r>
      <w:r w:rsidRPr="00C414AF">
        <w:rPr>
          <w:rFonts w:ascii="Arial" w:hAnsi="Arial" w:cs="Arial"/>
          <w:color w:val="000066"/>
          <w:sz w:val="12"/>
          <w:szCs w:val="16"/>
        </w:rPr>
        <w:t>€</w:t>
      </w:r>
      <w:r>
        <w:rPr>
          <w:rFonts w:ascii="Arial" w:hAnsi="Arial" w:cs="Arial"/>
          <w:color w:val="000066"/>
          <w:sz w:val="12"/>
          <w:szCs w:val="16"/>
        </w:rPr>
        <w:t>2</w:t>
      </w:r>
      <w:r w:rsidRPr="00D36761">
        <w:rPr>
          <w:rFonts w:ascii="Arial" w:hAnsi="Arial" w:cs="Arial"/>
          <w:color w:val="000066"/>
          <w:sz w:val="12"/>
          <w:szCs w:val="16"/>
        </w:rPr>
        <w:t>9</w:t>
      </w:r>
      <w:r w:rsidRPr="00C414AF">
        <w:rPr>
          <w:rFonts w:ascii="Arial" w:hAnsi="Arial" w:cs="Arial"/>
          <w:color w:val="000066"/>
          <w:sz w:val="12"/>
          <w:szCs w:val="16"/>
        </w:rPr>
        <w:t>εκ</w:t>
      </w:r>
      <w:r>
        <w:rPr>
          <w:rFonts w:ascii="Arial" w:hAnsi="Arial" w:cs="Arial"/>
          <w:color w:val="000066"/>
          <w:sz w:val="12"/>
          <w:szCs w:val="16"/>
        </w:rPr>
        <w:t>.λόγω της αναδιάταξης μέρους των δαπανών διαχείρισης των δανείων σε καθυστέρηση από τις προβλέψεις πιστωτικών κινδύνων στις λειτουργικές δαπάνες</w:t>
      </w:r>
      <w:r w:rsidRPr="00BF0AC1">
        <w:rPr>
          <w:rFonts w:ascii="Arial" w:hAnsi="Arial" w:cs="Arial"/>
          <w:color w:val="000066"/>
          <w:sz w:val="12"/>
          <w:szCs w:val="16"/>
        </w:rPr>
        <w:t xml:space="preserve">, </w:t>
      </w:r>
      <w:r>
        <w:rPr>
          <w:rFonts w:ascii="Arial" w:hAnsi="Arial" w:cs="Arial"/>
          <w:color w:val="000066"/>
          <w:sz w:val="12"/>
          <w:szCs w:val="16"/>
        </w:rPr>
        <w:t>ενώ εξαιρούνται €12εκ.</w:t>
      </w:r>
      <w:r w:rsidRPr="00CF12DB">
        <w:rPr>
          <w:rFonts w:ascii="Arial" w:hAnsi="Arial" w:cs="Arial"/>
          <w:color w:val="000066"/>
          <w:sz w:val="12"/>
          <w:szCs w:val="16"/>
        </w:rPr>
        <w:t xml:space="preserve"> </w:t>
      </w:r>
      <w:r>
        <w:rPr>
          <w:rFonts w:ascii="Arial" w:hAnsi="Arial" w:cs="Arial"/>
          <w:color w:val="000066"/>
          <w:sz w:val="12"/>
          <w:szCs w:val="16"/>
        </w:rPr>
        <w:t>για την εκκαθάριση συνεταιριστικής τ</w:t>
      </w:r>
      <w:r w:rsidRPr="0065391A">
        <w:rPr>
          <w:rFonts w:ascii="Arial" w:hAnsi="Arial" w:cs="Arial"/>
          <w:color w:val="000066"/>
          <w:sz w:val="12"/>
          <w:szCs w:val="16"/>
        </w:rPr>
        <w:t>ράπεζα</w:t>
      </w:r>
      <w:r>
        <w:rPr>
          <w:rFonts w:ascii="Arial" w:hAnsi="Arial" w:cs="Arial"/>
          <w:color w:val="000066"/>
          <w:sz w:val="12"/>
          <w:szCs w:val="16"/>
        </w:rPr>
        <w:t>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34" w:rsidRPr="00227186" w:rsidRDefault="00FE3BBA" w:rsidP="00B76988">
    <w:pPr>
      <w:pStyle w:val="a3"/>
      <w:tabs>
        <w:tab w:val="clear" w:pos="4153"/>
        <w:tab w:val="clear" w:pos="8306"/>
        <w:tab w:val="right" w:pos="8973"/>
      </w:tabs>
      <w:ind w:left="-567" w:right="-99"/>
      <w:rPr>
        <w:rFonts w:ascii="Arial" w:hAnsi="Arial" w:cs="Arial"/>
        <w:color w:val="1F497D"/>
        <w:sz w:val="18"/>
        <w:szCs w:val="18"/>
      </w:rPr>
    </w:pPr>
    <w:r>
      <w:rPr>
        <w:rFonts w:ascii="Cambria" w:hAnsi="Cambria"/>
        <w:noProof/>
        <w:color w:val="auto"/>
        <w:sz w:val="24"/>
        <w:lang w:val="en-US" w:eastAsia="en-US"/>
      </w:rPr>
      <w:drawing>
        <wp:inline distT="0" distB="0" distL="0" distR="0">
          <wp:extent cx="1158875" cy="400685"/>
          <wp:effectExtent l="0" t="0" r="3175" b="0"/>
          <wp:docPr id="8" name="Εικόνα 8" descr="eurobank-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robank-logoRGB"/>
                  <pic:cNvPicPr>
                    <a:picLocks noChangeAspect="1" noChangeArrowheads="1"/>
                  </pic:cNvPicPr>
                </pic:nvPicPr>
                <pic:blipFill>
                  <a:blip r:embed="rId1"/>
                  <a:srcRect/>
                  <a:stretch>
                    <a:fillRect/>
                  </a:stretch>
                </pic:blipFill>
                <pic:spPr bwMode="auto">
                  <a:xfrm>
                    <a:off x="0" y="0"/>
                    <a:ext cx="1158875" cy="400685"/>
                  </a:xfrm>
                  <a:prstGeom prst="rect">
                    <a:avLst/>
                  </a:prstGeom>
                  <a:noFill/>
                  <a:ln w="9525">
                    <a:noFill/>
                    <a:miter lim="800000"/>
                    <a:headEnd/>
                    <a:tailEnd/>
                  </a:ln>
                </pic:spPr>
              </pic:pic>
            </a:graphicData>
          </a:graphic>
        </wp:inline>
      </w:drawing>
    </w:r>
    <w:r w:rsidR="00050234">
      <w:rPr>
        <w:rFonts w:ascii="Cambria" w:hAnsi="Cambria"/>
        <w:color w:val="auto"/>
        <w:sz w:val="24"/>
      </w:rPr>
      <w:t xml:space="preserve">  </w:t>
    </w:r>
    <w:r w:rsidR="00050234" w:rsidRPr="00B76988">
      <w:rPr>
        <w:rFonts w:ascii="Cambria" w:hAnsi="Cambria"/>
        <w:color w:val="auto"/>
        <w:sz w:val="24"/>
        <w:lang w:val="en-US"/>
      </w:rPr>
      <w:tab/>
    </w:r>
    <w:r w:rsidR="00137DBA">
      <w:rPr>
        <w:rFonts w:ascii="Arial" w:hAnsi="Arial" w:cs="Arial"/>
        <w:color w:val="1F497D"/>
        <w:sz w:val="18"/>
        <w:szCs w:val="18"/>
      </w:rPr>
      <w:t>29</w:t>
    </w:r>
    <w:r w:rsidR="00667B68">
      <w:rPr>
        <w:rFonts w:ascii="Arial" w:hAnsi="Arial" w:cs="Arial"/>
        <w:color w:val="1F497D"/>
        <w:sz w:val="18"/>
        <w:szCs w:val="18"/>
        <w:lang w:val="en-GB"/>
      </w:rPr>
      <w:t xml:space="preserve"> </w:t>
    </w:r>
    <w:r w:rsidR="00227186">
      <w:rPr>
        <w:rFonts w:ascii="Arial" w:hAnsi="Arial" w:cs="Arial"/>
        <w:color w:val="1F497D"/>
        <w:sz w:val="18"/>
        <w:szCs w:val="18"/>
      </w:rPr>
      <w:t xml:space="preserve">Μαρτίου </w:t>
    </w:r>
    <w:r w:rsidR="00050234" w:rsidRPr="008C3112">
      <w:rPr>
        <w:rFonts w:ascii="Arial" w:hAnsi="Arial" w:cs="Arial"/>
        <w:color w:val="1F497D"/>
        <w:sz w:val="18"/>
        <w:szCs w:val="18"/>
        <w:lang w:val="en-US"/>
      </w:rPr>
      <w:t>201</w:t>
    </w:r>
    <w:r w:rsidR="00227186">
      <w:rPr>
        <w:rFonts w:ascii="Arial" w:hAnsi="Arial" w:cs="Arial"/>
        <w:color w:val="1F497D"/>
        <w:sz w:val="18"/>
        <w:szCs w:val="18"/>
      </w:rPr>
      <w:t>7</w:t>
    </w:r>
  </w:p>
  <w:p w:rsidR="00050234" w:rsidRPr="00A47D45" w:rsidRDefault="00050234" w:rsidP="00B76988">
    <w:pPr>
      <w:pStyle w:val="a3"/>
      <w:tabs>
        <w:tab w:val="clear" w:pos="4153"/>
        <w:tab w:val="clear" w:pos="8306"/>
        <w:tab w:val="right" w:pos="8973"/>
      </w:tabs>
      <w:ind w:left="-567" w:right="-99"/>
      <w:rPr>
        <w:rFonts w:ascii="Arial" w:hAnsi="Arial" w:cs="Arial"/>
        <w:sz w:val="18"/>
        <w:szCs w:val="18"/>
        <w:lang w:val="en-US"/>
      </w:rPr>
    </w:pPr>
  </w:p>
  <w:p w:rsidR="00050234" w:rsidRDefault="00050234" w:rsidP="00A47D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2CDC"/>
    <w:multiLevelType w:val="hybridMultilevel"/>
    <w:tmpl w:val="40F8F9FA"/>
    <w:lvl w:ilvl="0" w:tplc="627CBF52">
      <w:start w:val="1"/>
      <w:numFmt w:val="bullet"/>
      <w:lvlText w:val=""/>
      <w:lvlJc w:val="left"/>
      <w:pPr>
        <w:tabs>
          <w:tab w:val="num" w:pos="3960"/>
        </w:tabs>
        <w:ind w:left="3960" w:hanging="360"/>
      </w:pPr>
      <w:rPr>
        <w:rFonts w:ascii="Wingdings" w:hAnsi="Wingdings" w:hint="default"/>
        <w:color w:val="000080"/>
      </w:rPr>
    </w:lvl>
    <w:lvl w:ilvl="1" w:tplc="04080003" w:tentative="1">
      <w:start w:val="1"/>
      <w:numFmt w:val="bullet"/>
      <w:lvlText w:val="o"/>
      <w:lvlJc w:val="left"/>
      <w:pPr>
        <w:tabs>
          <w:tab w:val="num" w:pos="3960"/>
        </w:tabs>
        <w:ind w:left="3960" w:hanging="360"/>
      </w:pPr>
      <w:rPr>
        <w:rFonts w:ascii="Courier New" w:hAnsi="Courier New" w:cs="Courier New" w:hint="default"/>
      </w:rPr>
    </w:lvl>
    <w:lvl w:ilvl="2" w:tplc="04080005" w:tentative="1">
      <w:start w:val="1"/>
      <w:numFmt w:val="bullet"/>
      <w:lvlText w:val=""/>
      <w:lvlJc w:val="left"/>
      <w:pPr>
        <w:tabs>
          <w:tab w:val="num" w:pos="4680"/>
        </w:tabs>
        <w:ind w:left="4680" w:hanging="360"/>
      </w:pPr>
      <w:rPr>
        <w:rFonts w:ascii="Wingdings" w:hAnsi="Wingdings" w:hint="default"/>
      </w:rPr>
    </w:lvl>
    <w:lvl w:ilvl="3" w:tplc="04080001">
      <w:start w:val="1"/>
      <w:numFmt w:val="bullet"/>
      <w:lvlText w:val=""/>
      <w:lvlJc w:val="left"/>
      <w:pPr>
        <w:tabs>
          <w:tab w:val="num" w:pos="5400"/>
        </w:tabs>
        <w:ind w:left="5400" w:hanging="360"/>
      </w:pPr>
      <w:rPr>
        <w:rFonts w:ascii="Symbol" w:hAnsi="Symbol" w:hint="default"/>
      </w:rPr>
    </w:lvl>
    <w:lvl w:ilvl="4" w:tplc="04080003" w:tentative="1">
      <w:start w:val="1"/>
      <w:numFmt w:val="bullet"/>
      <w:lvlText w:val="o"/>
      <w:lvlJc w:val="left"/>
      <w:pPr>
        <w:tabs>
          <w:tab w:val="num" w:pos="6120"/>
        </w:tabs>
        <w:ind w:left="6120" w:hanging="360"/>
      </w:pPr>
      <w:rPr>
        <w:rFonts w:ascii="Courier New" w:hAnsi="Courier New" w:cs="Courier New" w:hint="default"/>
      </w:rPr>
    </w:lvl>
    <w:lvl w:ilvl="5" w:tplc="04080005" w:tentative="1">
      <w:start w:val="1"/>
      <w:numFmt w:val="bullet"/>
      <w:lvlText w:val=""/>
      <w:lvlJc w:val="left"/>
      <w:pPr>
        <w:tabs>
          <w:tab w:val="num" w:pos="6840"/>
        </w:tabs>
        <w:ind w:left="6840" w:hanging="360"/>
      </w:pPr>
      <w:rPr>
        <w:rFonts w:ascii="Wingdings" w:hAnsi="Wingdings" w:hint="default"/>
      </w:rPr>
    </w:lvl>
    <w:lvl w:ilvl="6" w:tplc="04080001" w:tentative="1">
      <w:start w:val="1"/>
      <w:numFmt w:val="bullet"/>
      <w:lvlText w:val=""/>
      <w:lvlJc w:val="left"/>
      <w:pPr>
        <w:tabs>
          <w:tab w:val="num" w:pos="7560"/>
        </w:tabs>
        <w:ind w:left="7560" w:hanging="360"/>
      </w:pPr>
      <w:rPr>
        <w:rFonts w:ascii="Symbol" w:hAnsi="Symbol" w:hint="default"/>
      </w:rPr>
    </w:lvl>
    <w:lvl w:ilvl="7" w:tplc="04080003" w:tentative="1">
      <w:start w:val="1"/>
      <w:numFmt w:val="bullet"/>
      <w:lvlText w:val="o"/>
      <w:lvlJc w:val="left"/>
      <w:pPr>
        <w:tabs>
          <w:tab w:val="num" w:pos="8280"/>
        </w:tabs>
        <w:ind w:left="8280" w:hanging="360"/>
      </w:pPr>
      <w:rPr>
        <w:rFonts w:ascii="Courier New" w:hAnsi="Courier New" w:cs="Courier New" w:hint="default"/>
      </w:rPr>
    </w:lvl>
    <w:lvl w:ilvl="8" w:tplc="04080005" w:tentative="1">
      <w:start w:val="1"/>
      <w:numFmt w:val="bullet"/>
      <w:lvlText w:val=""/>
      <w:lvlJc w:val="left"/>
      <w:pPr>
        <w:tabs>
          <w:tab w:val="num" w:pos="9000"/>
        </w:tabs>
        <w:ind w:left="9000" w:hanging="360"/>
      </w:pPr>
      <w:rPr>
        <w:rFonts w:ascii="Wingdings" w:hAnsi="Wingdings" w:hint="default"/>
      </w:rPr>
    </w:lvl>
  </w:abstractNum>
  <w:abstractNum w:abstractNumId="1">
    <w:nsid w:val="17BA5E3D"/>
    <w:multiLevelType w:val="hybridMultilevel"/>
    <w:tmpl w:val="F12EFE70"/>
    <w:lvl w:ilvl="0" w:tplc="0408000B">
      <w:start w:val="1"/>
      <w:numFmt w:val="bullet"/>
      <w:lvlText w:val=""/>
      <w:lvlJc w:val="left"/>
      <w:pPr>
        <w:ind w:left="3272" w:hanging="360"/>
      </w:pPr>
      <w:rPr>
        <w:rFonts w:ascii="Wingdings" w:hAnsi="Wingdings" w:hint="default"/>
      </w:rPr>
    </w:lvl>
    <w:lvl w:ilvl="1" w:tplc="04080003" w:tentative="1">
      <w:start w:val="1"/>
      <w:numFmt w:val="bullet"/>
      <w:lvlText w:val="o"/>
      <w:lvlJc w:val="left"/>
      <w:pPr>
        <w:ind w:left="3992" w:hanging="360"/>
      </w:pPr>
      <w:rPr>
        <w:rFonts w:ascii="Courier New" w:hAnsi="Courier New" w:cs="Courier New" w:hint="default"/>
      </w:rPr>
    </w:lvl>
    <w:lvl w:ilvl="2" w:tplc="04080005" w:tentative="1">
      <w:start w:val="1"/>
      <w:numFmt w:val="bullet"/>
      <w:lvlText w:val=""/>
      <w:lvlJc w:val="left"/>
      <w:pPr>
        <w:ind w:left="4712" w:hanging="360"/>
      </w:pPr>
      <w:rPr>
        <w:rFonts w:ascii="Wingdings" w:hAnsi="Wingdings" w:hint="default"/>
      </w:rPr>
    </w:lvl>
    <w:lvl w:ilvl="3" w:tplc="04080001" w:tentative="1">
      <w:start w:val="1"/>
      <w:numFmt w:val="bullet"/>
      <w:lvlText w:val=""/>
      <w:lvlJc w:val="left"/>
      <w:pPr>
        <w:ind w:left="5432" w:hanging="360"/>
      </w:pPr>
      <w:rPr>
        <w:rFonts w:ascii="Symbol" w:hAnsi="Symbol" w:hint="default"/>
      </w:rPr>
    </w:lvl>
    <w:lvl w:ilvl="4" w:tplc="04080003" w:tentative="1">
      <w:start w:val="1"/>
      <w:numFmt w:val="bullet"/>
      <w:lvlText w:val="o"/>
      <w:lvlJc w:val="left"/>
      <w:pPr>
        <w:ind w:left="6152" w:hanging="360"/>
      </w:pPr>
      <w:rPr>
        <w:rFonts w:ascii="Courier New" w:hAnsi="Courier New" w:cs="Courier New" w:hint="default"/>
      </w:rPr>
    </w:lvl>
    <w:lvl w:ilvl="5" w:tplc="04080005" w:tentative="1">
      <w:start w:val="1"/>
      <w:numFmt w:val="bullet"/>
      <w:lvlText w:val=""/>
      <w:lvlJc w:val="left"/>
      <w:pPr>
        <w:ind w:left="6872" w:hanging="360"/>
      </w:pPr>
      <w:rPr>
        <w:rFonts w:ascii="Wingdings" w:hAnsi="Wingdings" w:hint="default"/>
      </w:rPr>
    </w:lvl>
    <w:lvl w:ilvl="6" w:tplc="04080001" w:tentative="1">
      <w:start w:val="1"/>
      <w:numFmt w:val="bullet"/>
      <w:lvlText w:val=""/>
      <w:lvlJc w:val="left"/>
      <w:pPr>
        <w:ind w:left="7592" w:hanging="360"/>
      </w:pPr>
      <w:rPr>
        <w:rFonts w:ascii="Symbol" w:hAnsi="Symbol" w:hint="default"/>
      </w:rPr>
    </w:lvl>
    <w:lvl w:ilvl="7" w:tplc="04080003" w:tentative="1">
      <w:start w:val="1"/>
      <w:numFmt w:val="bullet"/>
      <w:lvlText w:val="o"/>
      <w:lvlJc w:val="left"/>
      <w:pPr>
        <w:ind w:left="8312" w:hanging="360"/>
      </w:pPr>
      <w:rPr>
        <w:rFonts w:ascii="Courier New" w:hAnsi="Courier New" w:cs="Courier New" w:hint="default"/>
      </w:rPr>
    </w:lvl>
    <w:lvl w:ilvl="8" w:tplc="04080005" w:tentative="1">
      <w:start w:val="1"/>
      <w:numFmt w:val="bullet"/>
      <w:lvlText w:val=""/>
      <w:lvlJc w:val="left"/>
      <w:pPr>
        <w:ind w:left="9032" w:hanging="360"/>
      </w:pPr>
      <w:rPr>
        <w:rFonts w:ascii="Wingdings" w:hAnsi="Wingdings" w:hint="default"/>
      </w:rPr>
    </w:lvl>
  </w:abstractNum>
  <w:abstractNum w:abstractNumId="2">
    <w:nsid w:val="1A1F4EB4"/>
    <w:multiLevelType w:val="hybridMultilevel"/>
    <w:tmpl w:val="0EB6CDE6"/>
    <w:lvl w:ilvl="0" w:tplc="04080001">
      <w:start w:val="1"/>
      <w:numFmt w:val="bullet"/>
      <w:lvlText w:val=""/>
      <w:lvlJc w:val="left"/>
      <w:pPr>
        <w:ind w:left="5541" w:hanging="360"/>
      </w:pPr>
      <w:rPr>
        <w:rFonts w:ascii="Symbol" w:hAnsi="Symbol" w:hint="default"/>
      </w:rPr>
    </w:lvl>
    <w:lvl w:ilvl="1" w:tplc="04080003" w:tentative="1">
      <w:start w:val="1"/>
      <w:numFmt w:val="bullet"/>
      <w:lvlText w:val="o"/>
      <w:lvlJc w:val="left"/>
      <w:pPr>
        <w:ind w:left="6261" w:hanging="360"/>
      </w:pPr>
      <w:rPr>
        <w:rFonts w:ascii="Courier New" w:hAnsi="Courier New" w:cs="Courier New" w:hint="default"/>
      </w:rPr>
    </w:lvl>
    <w:lvl w:ilvl="2" w:tplc="04080005" w:tentative="1">
      <w:start w:val="1"/>
      <w:numFmt w:val="bullet"/>
      <w:lvlText w:val=""/>
      <w:lvlJc w:val="left"/>
      <w:pPr>
        <w:ind w:left="6981" w:hanging="360"/>
      </w:pPr>
      <w:rPr>
        <w:rFonts w:ascii="Wingdings" w:hAnsi="Wingdings" w:hint="default"/>
      </w:rPr>
    </w:lvl>
    <w:lvl w:ilvl="3" w:tplc="04080001" w:tentative="1">
      <w:start w:val="1"/>
      <w:numFmt w:val="bullet"/>
      <w:lvlText w:val=""/>
      <w:lvlJc w:val="left"/>
      <w:pPr>
        <w:ind w:left="7701" w:hanging="360"/>
      </w:pPr>
      <w:rPr>
        <w:rFonts w:ascii="Symbol" w:hAnsi="Symbol" w:hint="default"/>
      </w:rPr>
    </w:lvl>
    <w:lvl w:ilvl="4" w:tplc="04080003" w:tentative="1">
      <w:start w:val="1"/>
      <w:numFmt w:val="bullet"/>
      <w:lvlText w:val="o"/>
      <w:lvlJc w:val="left"/>
      <w:pPr>
        <w:ind w:left="8421" w:hanging="360"/>
      </w:pPr>
      <w:rPr>
        <w:rFonts w:ascii="Courier New" w:hAnsi="Courier New" w:cs="Courier New" w:hint="default"/>
      </w:rPr>
    </w:lvl>
    <w:lvl w:ilvl="5" w:tplc="04080005" w:tentative="1">
      <w:start w:val="1"/>
      <w:numFmt w:val="bullet"/>
      <w:lvlText w:val=""/>
      <w:lvlJc w:val="left"/>
      <w:pPr>
        <w:ind w:left="9141" w:hanging="360"/>
      </w:pPr>
      <w:rPr>
        <w:rFonts w:ascii="Wingdings" w:hAnsi="Wingdings" w:hint="default"/>
      </w:rPr>
    </w:lvl>
    <w:lvl w:ilvl="6" w:tplc="04080001" w:tentative="1">
      <w:start w:val="1"/>
      <w:numFmt w:val="bullet"/>
      <w:lvlText w:val=""/>
      <w:lvlJc w:val="left"/>
      <w:pPr>
        <w:ind w:left="9861" w:hanging="360"/>
      </w:pPr>
      <w:rPr>
        <w:rFonts w:ascii="Symbol" w:hAnsi="Symbol" w:hint="default"/>
      </w:rPr>
    </w:lvl>
    <w:lvl w:ilvl="7" w:tplc="04080003" w:tentative="1">
      <w:start w:val="1"/>
      <w:numFmt w:val="bullet"/>
      <w:lvlText w:val="o"/>
      <w:lvlJc w:val="left"/>
      <w:pPr>
        <w:ind w:left="10581" w:hanging="360"/>
      </w:pPr>
      <w:rPr>
        <w:rFonts w:ascii="Courier New" w:hAnsi="Courier New" w:cs="Courier New" w:hint="default"/>
      </w:rPr>
    </w:lvl>
    <w:lvl w:ilvl="8" w:tplc="04080005" w:tentative="1">
      <w:start w:val="1"/>
      <w:numFmt w:val="bullet"/>
      <w:lvlText w:val=""/>
      <w:lvlJc w:val="left"/>
      <w:pPr>
        <w:ind w:left="11301" w:hanging="360"/>
      </w:pPr>
      <w:rPr>
        <w:rFonts w:ascii="Wingdings" w:hAnsi="Wingdings" w:hint="default"/>
      </w:rPr>
    </w:lvl>
  </w:abstractNum>
  <w:abstractNum w:abstractNumId="3">
    <w:nsid w:val="1AD5067C"/>
    <w:multiLevelType w:val="hybridMultilevel"/>
    <w:tmpl w:val="EA1A7986"/>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
    <w:nsid w:val="1DA169CD"/>
    <w:multiLevelType w:val="hybridMultilevel"/>
    <w:tmpl w:val="BA5AC2B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EA5685F"/>
    <w:multiLevelType w:val="hybridMultilevel"/>
    <w:tmpl w:val="C9320446"/>
    <w:lvl w:ilvl="0" w:tplc="77965502">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264EE7"/>
    <w:multiLevelType w:val="hybridMultilevel"/>
    <w:tmpl w:val="6D1A0702"/>
    <w:lvl w:ilvl="0" w:tplc="903E35E2">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D91FDF"/>
    <w:multiLevelType w:val="hybridMultilevel"/>
    <w:tmpl w:val="CB60D94E"/>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403F01D7"/>
    <w:multiLevelType w:val="hybridMultilevel"/>
    <w:tmpl w:val="050E5E10"/>
    <w:lvl w:ilvl="0" w:tplc="04080005">
      <w:start w:val="1"/>
      <w:numFmt w:val="bullet"/>
      <w:lvlText w:val=""/>
      <w:lvlJc w:val="left"/>
      <w:pPr>
        <w:ind w:left="8280" w:hanging="360"/>
      </w:pPr>
      <w:rPr>
        <w:rFonts w:ascii="Wingdings" w:hAnsi="Wingdings" w:hint="default"/>
      </w:rPr>
    </w:lvl>
    <w:lvl w:ilvl="1" w:tplc="04080003">
      <w:start w:val="1"/>
      <w:numFmt w:val="bullet"/>
      <w:lvlText w:val="o"/>
      <w:lvlJc w:val="left"/>
      <w:pPr>
        <w:ind w:left="9000" w:hanging="360"/>
      </w:pPr>
      <w:rPr>
        <w:rFonts w:ascii="Courier New" w:hAnsi="Courier New" w:cs="Courier New" w:hint="default"/>
      </w:rPr>
    </w:lvl>
    <w:lvl w:ilvl="2" w:tplc="04080005">
      <w:start w:val="1"/>
      <w:numFmt w:val="bullet"/>
      <w:lvlText w:val=""/>
      <w:lvlJc w:val="left"/>
      <w:pPr>
        <w:ind w:left="9720" w:hanging="360"/>
      </w:pPr>
      <w:rPr>
        <w:rFonts w:ascii="Wingdings" w:hAnsi="Wingdings" w:hint="default"/>
      </w:rPr>
    </w:lvl>
    <w:lvl w:ilvl="3" w:tplc="04080001" w:tentative="1">
      <w:start w:val="1"/>
      <w:numFmt w:val="bullet"/>
      <w:lvlText w:val=""/>
      <w:lvlJc w:val="left"/>
      <w:pPr>
        <w:ind w:left="10440" w:hanging="360"/>
      </w:pPr>
      <w:rPr>
        <w:rFonts w:ascii="Symbol" w:hAnsi="Symbol" w:hint="default"/>
      </w:rPr>
    </w:lvl>
    <w:lvl w:ilvl="4" w:tplc="04080003" w:tentative="1">
      <w:start w:val="1"/>
      <w:numFmt w:val="bullet"/>
      <w:lvlText w:val="o"/>
      <w:lvlJc w:val="left"/>
      <w:pPr>
        <w:ind w:left="11160" w:hanging="360"/>
      </w:pPr>
      <w:rPr>
        <w:rFonts w:ascii="Courier New" w:hAnsi="Courier New" w:cs="Courier New" w:hint="default"/>
      </w:rPr>
    </w:lvl>
    <w:lvl w:ilvl="5" w:tplc="04080005" w:tentative="1">
      <w:start w:val="1"/>
      <w:numFmt w:val="bullet"/>
      <w:lvlText w:val=""/>
      <w:lvlJc w:val="left"/>
      <w:pPr>
        <w:ind w:left="11880" w:hanging="360"/>
      </w:pPr>
      <w:rPr>
        <w:rFonts w:ascii="Wingdings" w:hAnsi="Wingdings" w:hint="default"/>
      </w:rPr>
    </w:lvl>
    <w:lvl w:ilvl="6" w:tplc="04080001" w:tentative="1">
      <w:start w:val="1"/>
      <w:numFmt w:val="bullet"/>
      <w:lvlText w:val=""/>
      <w:lvlJc w:val="left"/>
      <w:pPr>
        <w:ind w:left="12600" w:hanging="360"/>
      </w:pPr>
      <w:rPr>
        <w:rFonts w:ascii="Symbol" w:hAnsi="Symbol" w:hint="default"/>
      </w:rPr>
    </w:lvl>
    <w:lvl w:ilvl="7" w:tplc="04080003" w:tentative="1">
      <w:start w:val="1"/>
      <w:numFmt w:val="bullet"/>
      <w:lvlText w:val="o"/>
      <w:lvlJc w:val="left"/>
      <w:pPr>
        <w:ind w:left="13320" w:hanging="360"/>
      </w:pPr>
      <w:rPr>
        <w:rFonts w:ascii="Courier New" w:hAnsi="Courier New" w:cs="Courier New" w:hint="default"/>
      </w:rPr>
    </w:lvl>
    <w:lvl w:ilvl="8" w:tplc="04080005" w:tentative="1">
      <w:start w:val="1"/>
      <w:numFmt w:val="bullet"/>
      <w:lvlText w:val=""/>
      <w:lvlJc w:val="left"/>
      <w:pPr>
        <w:ind w:left="14040" w:hanging="360"/>
      </w:pPr>
      <w:rPr>
        <w:rFonts w:ascii="Wingdings" w:hAnsi="Wingdings" w:hint="default"/>
      </w:rPr>
    </w:lvl>
  </w:abstractNum>
  <w:abstractNum w:abstractNumId="9">
    <w:nsid w:val="491A30C0"/>
    <w:multiLevelType w:val="hybridMultilevel"/>
    <w:tmpl w:val="0EFEAC60"/>
    <w:lvl w:ilvl="0" w:tplc="04080009">
      <w:start w:val="1"/>
      <w:numFmt w:val="bullet"/>
      <w:lvlText w:val=""/>
      <w:lvlJc w:val="left"/>
      <w:pPr>
        <w:tabs>
          <w:tab w:val="num" w:pos="3240"/>
        </w:tabs>
        <w:ind w:left="3240" w:hanging="360"/>
      </w:pPr>
      <w:rPr>
        <w:rFonts w:ascii="Wingdings" w:hAnsi="Wingdings" w:hint="default"/>
      </w:rPr>
    </w:lvl>
    <w:lvl w:ilvl="1" w:tplc="04080003" w:tentative="1">
      <w:start w:val="1"/>
      <w:numFmt w:val="bullet"/>
      <w:lvlText w:val="o"/>
      <w:lvlJc w:val="left"/>
      <w:pPr>
        <w:tabs>
          <w:tab w:val="num" w:pos="3960"/>
        </w:tabs>
        <w:ind w:left="3960" w:hanging="360"/>
      </w:pPr>
      <w:rPr>
        <w:rFonts w:ascii="Courier New" w:hAnsi="Courier New" w:cs="Courier New" w:hint="default"/>
      </w:rPr>
    </w:lvl>
    <w:lvl w:ilvl="2" w:tplc="04080005" w:tentative="1">
      <w:start w:val="1"/>
      <w:numFmt w:val="bullet"/>
      <w:lvlText w:val=""/>
      <w:lvlJc w:val="left"/>
      <w:pPr>
        <w:tabs>
          <w:tab w:val="num" w:pos="4680"/>
        </w:tabs>
        <w:ind w:left="4680" w:hanging="360"/>
      </w:pPr>
      <w:rPr>
        <w:rFonts w:ascii="Wingdings" w:hAnsi="Wingdings" w:hint="default"/>
      </w:rPr>
    </w:lvl>
    <w:lvl w:ilvl="3" w:tplc="04080001" w:tentative="1">
      <w:start w:val="1"/>
      <w:numFmt w:val="bullet"/>
      <w:lvlText w:val=""/>
      <w:lvlJc w:val="left"/>
      <w:pPr>
        <w:tabs>
          <w:tab w:val="num" w:pos="5400"/>
        </w:tabs>
        <w:ind w:left="5400" w:hanging="360"/>
      </w:pPr>
      <w:rPr>
        <w:rFonts w:ascii="Symbol" w:hAnsi="Symbol" w:hint="default"/>
      </w:rPr>
    </w:lvl>
    <w:lvl w:ilvl="4" w:tplc="04080003" w:tentative="1">
      <w:start w:val="1"/>
      <w:numFmt w:val="bullet"/>
      <w:lvlText w:val="o"/>
      <w:lvlJc w:val="left"/>
      <w:pPr>
        <w:tabs>
          <w:tab w:val="num" w:pos="6120"/>
        </w:tabs>
        <w:ind w:left="6120" w:hanging="360"/>
      </w:pPr>
      <w:rPr>
        <w:rFonts w:ascii="Courier New" w:hAnsi="Courier New" w:cs="Courier New" w:hint="default"/>
      </w:rPr>
    </w:lvl>
    <w:lvl w:ilvl="5" w:tplc="04080005" w:tentative="1">
      <w:start w:val="1"/>
      <w:numFmt w:val="bullet"/>
      <w:lvlText w:val=""/>
      <w:lvlJc w:val="left"/>
      <w:pPr>
        <w:tabs>
          <w:tab w:val="num" w:pos="6840"/>
        </w:tabs>
        <w:ind w:left="6840" w:hanging="360"/>
      </w:pPr>
      <w:rPr>
        <w:rFonts w:ascii="Wingdings" w:hAnsi="Wingdings" w:hint="default"/>
      </w:rPr>
    </w:lvl>
    <w:lvl w:ilvl="6" w:tplc="04080001" w:tentative="1">
      <w:start w:val="1"/>
      <w:numFmt w:val="bullet"/>
      <w:lvlText w:val=""/>
      <w:lvlJc w:val="left"/>
      <w:pPr>
        <w:tabs>
          <w:tab w:val="num" w:pos="7560"/>
        </w:tabs>
        <w:ind w:left="7560" w:hanging="360"/>
      </w:pPr>
      <w:rPr>
        <w:rFonts w:ascii="Symbol" w:hAnsi="Symbol" w:hint="default"/>
      </w:rPr>
    </w:lvl>
    <w:lvl w:ilvl="7" w:tplc="04080003" w:tentative="1">
      <w:start w:val="1"/>
      <w:numFmt w:val="bullet"/>
      <w:lvlText w:val="o"/>
      <w:lvlJc w:val="left"/>
      <w:pPr>
        <w:tabs>
          <w:tab w:val="num" w:pos="8280"/>
        </w:tabs>
        <w:ind w:left="8280" w:hanging="360"/>
      </w:pPr>
      <w:rPr>
        <w:rFonts w:ascii="Courier New" w:hAnsi="Courier New" w:cs="Courier New" w:hint="default"/>
      </w:rPr>
    </w:lvl>
    <w:lvl w:ilvl="8" w:tplc="04080005" w:tentative="1">
      <w:start w:val="1"/>
      <w:numFmt w:val="bullet"/>
      <w:lvlText w:val=""/>
      <w:lvlJc w:val="left"/>
      <w:pPr>
        <w:tabs>
          <w:tab w:val="num" w:pos="9000"/>
        </w:tabs>
        <w:ind w:left="9000" w:hanging="360"/>
      </w:pPr>
      <w:rPr>
        <w:rFonts w:ascii="Wingdings" w:hAnsi="Wingdings" w:hint="default"/>
      </w:rPr>
    </w:lvl>
  </w:abstractNum>
  <w:abstractNum w:abstractNumId="10">
    <w:nsid w:val="4D366477"/>
    <w:multiLevelType w:val="hybridMultilevel"/>
    <w:tmpl w:val="362EDFB6"/>
    <w:lvl w:ilvl="0" w:tplc="F230A65A">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1A15FCC"/>
    <w:multiLevelType w:val="hybridMultilevel"/>
    <w:tmpl w:val="AD087846"/>
    <w:lvl w:ilvl="0" w:tplc="0408000B">
      <w:start w:val="1"/>
      <w:numFmt w:val="bullet"/>
      <w:lvlText w:val=""/>
      <w:lvlJc w:val="left"/>
      <w:pPr>
        <w:ind w:left="3555" w:hanging="360"/>
      </w:pPr>
      <w:rPr>
        <w:rFonts w:ascii="Wingdings" w:hAnsi="Wingdings" w:hint="default"/>
      </w:rPr>
    </w:lvl>
    <w:lvl w:ilvl="1" w:tplc="04080003" w:tentative="1">
      <w:start w:val="1"/>
      <w:numFmt w:val="bullet"/>
      <w:lvlText w:val="o"/>
      <w:lvlJc w:val="left"/>
      <w:pPr>
        <w:ind w:left="4275" w:hanging="360"/>
      </w:pPr>
      <w:rPr>
        <w:rFonts w:ascii="Courier New" w:hAnsi="Courier New" w:cs="Courier New" w:hint="default"/>
      </w:rPr>
    </w:lvl>
    <w:lvl w:ilvl="2" w:tplc="04080005" w:tentative="1">
      <w:start w:val="1"/>
      <w:numFmt w:val="bullet"/>
      <w:lvlText w:val=""/>
      <w:lvlJc w:val="left"/>
      <w:pPr>
        <w:ind w:left="4995" w:hanging="360"/>
      </w:pPr>
      <w:rPr>
        <w:rFonts w:ascii="Wingdings" w:hAnsi="Wingdings" w:hint="default"/>
      </w:rPr>
    </w:lvl>
    <w:lvl w:ilvl="3" w:tplc="04080001" w:tentative="1">
      <w:start w:val="1"/>
      <w:numFmt w:val="bullet"/>
      <w:lvlText w:val=""/>
      <w:lvlJc w:val="left"/>
      <w:pPr>
        <w:ind w:left="5715" w:hanging="360"/>
      </w:pPr>
      <w:rPr>
        <w:rFonts w:ascii="Symbol" w:hAnsi="Symbol" w:hint="default"/>
      </w:rPr>
    </w:lvl>
    <w:lvl w:ilvl="4" w:tplc="04080003" w:tentative="1">
      <w:start w:val="1"/>
      <w:numFmt w:val="bullet"/>
      <w:lvlText w:val="o"/>
      <w:lvlJc w:val="left"/>
      <w:pPr>
        <w:ind w:left="6435" w:hanging="360"/>
      </w:pPr>
      <w:rPr>
        <w:rFonts w:ascii="Courier New" w:hAnsi="Courier New" w:cs="Courier New" w:hint="default"/>
      </w:rPr>
    </w:lvl>
    <w:lvl w:ilvl="5" w:tplc="04080005" w:tentative="1">
      <w:start w:val="1"/>
      <w:numFmt w:val="bullet"/>
      <w:lvlText w:val=""/>
      <w:lvlJc w:val="left"/>
      <w:pPr>
        <w:ind w:left="7155" w:hanging="360"/>
      </w:pPr>
      <w:rPr>
        <w:rFonts w:ascii="Wingdings" w:hAnsi="Wingdings" w:hint="default"/>
      </w:rPr>
    </w:lvl>
    <w:lvl w:ilvl="6" w:tplc="04080001" w:tentative="1">
      <w:start w:val="1"/>
      <w:numFmt w:val="bullet"/>
      <w:lvlText w:val=""/>
      <w:lvlJc w:val="left"/>
      <w:pPr>
        <w:ind w:left="7875" w:hanging="360"/>
      </w:pPr>
      <w:rPr>
        <w:rFonts w:ascii="Symbol" w:hAnsi="Symbol" w:hint="default"/>
      </w:rPr>
    </w:lvl>
    <w:lvl w:ilvl="7" w:tplc="04080003" w:tentative="1">
      <w:start w:val="1"/>
      <w:numFmt w:val="bullet"/>
      <w:lvlText w:val="o"/>
      <w:lvlJc w:val="left"/>
      <w:pPr>
        <w:ind w:left="8595" w:hanging="360"/>
      </w:pPr>
      <w:rPr>
        <w:rFonts w:ascii="Courier New" w:hAnsi="Courier New" w:cs="Courier New" w:hint="default"/>
      </w:rPr>
    </w:lvl>
    <w:lvl w:ilvl="8" w:tplc="04080005" w:tentative="1">
      <w:start w:val="1"/>
      <w:numFmt w:val="bullet"/>
      <w:lvlText w:val=""/>
      <w:lvlJc w:val="left"/>
      <w:pPr>
        <w:ind w:left="9315" w:hanging="360"/>
      </w:pPr>
      <w:rPr>
        <w:rFonts w:ascii="Wingdings" w:hAnsi="Wingdings" w:hint="default"/>
      </w:rPr>
    </w:lvl>
  </w:abstractNum>
  <w:abstractNum w:abstractNumId="12">
    <w:nsid w:val="52892206"/>
    <w:multiLevelType w:val="hybridMultilevel"/>
    <w:tmpl w:val="6F080F08"/>
    <w:lvl w:ilvl="0" w:tplc="B1861312">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5E10EB7"/>
    <w:multiLevelType w:val="hybridMultilevel"/>
    <w:tmpl w:val="719AA300"/>
    <w:lvl w:ilvl="0" w:tplc="98BE37A8">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8"/>
  </w:num>
  <w:num w:numId="5">
    <w:abstractNumId w:val="10"/>
  </w:num>
  <w:num w:numId="6">
    <w:abstractNumId w:val="5"/>
  </w:num>
  <w:num w:numId="7">
    <w:abstractNumId w:val="6"/>
  </w:num>
  <w:num w:numId="8">
    <w:abstractNumId w:val="13"/>
  </w:num>
  <w:num w:numId="9">
    <w:abstractNumId w:val="1"/>
  </w:num>
  <w:num w:numId="10">
    <w:abstractNumId w:val="4"/>
  </w:num>
  <w:num w:numId="11">
    <w:abstractNumId w:val="7"/>
  </w:num>
  <w:num w:numId="12">
    <w:abstractNumId w:val="2"/>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73379A"/>
    <w:rsid w:val="0000239C"/>
    <w:rsid w:val="00003D2B"/>
    <w:rsid w:val="00004E0C"/>
    <w:rsid w:val="000057B7"/>
    <w:rsid w:val="000067A9"/>
    <w:rsid w:val="00010204"/>
    <w:rsid w:val="00012435"/>
    <w:rsid w:val="00012491"/>
    <w:rsid w:val="000156C8"/>
    <w:rsid w:val="000158AA"/>
    <w:rsid w:val="000159B2"/>
    <w:rsid w:val="00016DAB"/>
    <w:rsid w:val="00017377"/>
    <w:rsid w:val="00017EBF"/>
    <w:rsid w:val="0002247A"/>
    <w:rsid w:val="00022F3B"/>
    <w:rsid w:val="00025B1A"/>
    <w:rsid w:val="00027184"/>
    <w:rsid w:val="00030529"/>
    <w:rsid w:val="00030A16"/>
    <w:rsid w:val="00030AE3"/>
    <w:rsid w:val="000314C4"/>
    <w:rsid w:val="0003164D"/>
    <w:rsid w:val="000327E1"/>
    <w:rsid w:val="000337B0"/>
    <w:rsid w:val="00034390"/>
    <w:rsid w:val="00034CB4"/>
    <w:rsid w:val="00035C73"/>
    <w:rsid w:val="00036104"/>
    <w:rsid w:val="00036893"/>
    <w:rsid w:val="00036A4A"/>
    <w:rsid w:val="00037717"/>
    <w:rsid w:val="00037836"/>
    <w:rsid w:val="00041388"/>
    <w:rsid w:val="000413CB"/>
    <w:rsid w:val="000416CD"/>
    <w:rsid w:val="00041BD1"/>
    <w:rsid w:val="000437D7"/>
    <w:rsid w:val="00043EC0"/>
    <w:rsid w:val="00044BFE"/>
    <w:rsid w:val="000451C3"/>
    <w:rsid w:val="0004584E"/>
    <w:rsid w:val="0004690F"/>
    <w:rsid w:val="000479C3"/>
    <w:rsid w:val="00050234"/>
    <w:rsid w:val="000515FD"/>
    <w:rsid w:val="00051C68"/>
    <w:rsid w:val="00052E23"/>
    <w:rsid w:val="00057D7F"/>
    <w:rsid w:val="0006207E"/>
    <w:rsid w:val="00062FFF"/>
    <w:rsid w:val="00063B29"/>
    <w:rsid w:val="00064BBA"/>
    <w:rsid w:val="00064C98"/>
    <w:rsid w:val="00064CD9"/>
    <w:rsid w:val="000650B9"/>
    <w:rsid w:val="000655DD"/>
    <w:rsid w:val="00065ABD"/>
    <w:rsid w:val="000673BC"/>
    <w:rsid w:val="00067D7B"/>
    <w:rsid w:val="00070802"/>
    <w:rsid w:val="000734C6"/>
    <w:rsid w:val="00074704"/>
    <w:rsid w:val="00074944"/>
    <w:rsid w:val="00076F86"/>
    <w:rsid w:val="000771BF"/>
    <w:rsid w:val="000779C3"/>
    <w:rsid w:val="00080420"/>
    <w:rsid w:val="00081932"/>
    <w:rsid w:val="00082153"/>
    <w:rsid w:val="0008289F"/>
    <w:rsid w:val="000832E3"/>
    <w:rsid w:val="0008351B"/>
    <w:rsid w:val="00083A08"/>
    <w:rsid w:val="00084FFC"/>
    <w:rsid w:val="00086FAB"/>
    <w:rsid w:val="000870FD"/>
    <w:rsid w:val="000873C3"/>
    <w:rsid w:val="00091612"/>
    <w:rsid w:val="00093F9D"/>
    <w:rsid w:val="00095975"/>
    <w:rsid w:val="00096325"/>
    <w:rsid w:val="00096E89"/>
    <w:rsid w:val="000A35B4"/>
    <w:rsid w:val="000A51EF"/>
    <w:rsid w:val="000A7C55"/>
    <w:rsid w:val="000B0E08"/>
    <w:rsid w:val="000B1CCD"/>
    <w:rsid w:val="000B1DEC"/>
    <w:rsid w:val="000B27E5"/>
    <w:rsid w:val="000B293B"/>
    <w:rsid w:val="000B3CF3"/>
    <w:rsid w:val="000B40B9"/>
    <w:rsid w:val="000B40D5"/>
    <w:rsid w:val="000B486D"/>
    <w:rsid w:val="000B5133"/>
    <w:rsid w:val="000B6255"/>
    <w:rsid w:val="000B6400"/>
    <w:rsid w:val="000B69FD"/>
    <w:rsid w:val="000B7F66"/>
    <w:rsid w:val="000C3F61"/>
    <w:rsid w:val="000C4541"/>
    <w:rsid w:val="000C4AAA"/>
    <w:rsid w:val="000C54D8"/>
    <w:rsid w:val="000C7010"/>
    <w:rsid w:val="000C7CE3"/>
    <w:rsid w:val="000D00DF"/>
    <w:rsid w:val="000D080F"/>
    <w:rsid w:val="000D114C"/>
    <w:rsid w:val="000D1B6C"/>
    <w:rsid w:val="000D24B3"/>
    <w:rsid w:val="000D4C18"/>
    <w:rsid w:val="000D50E5"/>
    <w:rsid w:val="000D70EB"/>
    <w:rsid w:val="000D73CB"/>
    <w:rsid w:val="000D76CA"/>
    <w:rsid w:val="000D7C7B"/>
    <w:rsid w:val="000E0971"/>
    <w:rsid w:val="000E119D"/>
    <w:rsid w:val="000E203C"/>
    <w:rsid w:val="000E2170"/>
    <w:rsid w:val="000E23B6"/>
    <w:rsid w:val="000E240A"/>
    <w:rsid w:val="000E286A"/>
    <w:rsid w:val="000E3B46"/>
    <w:rsid w:val="000E5692"/>
    <w:rsid w:val="000E59B6"/>
    <w:rsid w:val="000F0B7C"/>
    <w:rsid w:val="000F1640"/>
    <w:rsid w:val="000F2F7B"/>
    <w:rsid w:val="000F6C3C"/>
    <w:rsid w:val="000F6FCE"/>
    <w:rsid w:val="000F77A1"/>
    <w:rsid w:val="00100938"/>
    <w:rsid w:val="00100BFE"/>
    <w:rsid w:val="0010104D"/>
    <w:rsid w:val="00101725"/>
    <w:rsid w:val="001022E0"/>
    <w:rsid w:val="001038E2"/>
    <w:rsid w:val="00103DC5"/>
    <w:rsid w:val="0010439E"/>
    <w:rsid w:val="001049D0"/>
    <w:rsid w:val="00105285"/>
    <w:rsid w:val="00105FC8"/>
    <w:rsid w:val="001062E4"/>
    <w:rsid w:val="0010643A"/>
    <w:rsid w:val="00106670"/>
    <w:rsid w:val="00111511"/>
    <w:rsid w:val="00111B43"/>
    <w:rsid w:val="00113E55"/>
    <w:rsid w:val="00115435"/>
    <w:rsid w:val="001163CD"/>
    <w:rsid w:val="0011723B"/>
    <w:rsid w:val="001200AC"/>
    <w:rsid w:val="00121038"/>
    <w:rsid w:val="00124CEC"/>
    <w:rsid w:val="0012561F"/>
    <w:rsid w:val="001259FF"/>
    <w:rsid w:val="001301AF"/>
    <w:rsid w:val="001307A4"/>
    <w:rsid w:val="00130CAC"/>
    <w:rsid w:val="0013124D"/>
    <w:rsid w:val="001314D4"/>
    <w:rsid w:val="0013233A"/>
    <w:rsid w:val="00132AD4"/>
    <w:rsid w:val="001331D2"/>
    <w:rsid w:val="001331E1"/>
    <w:rsid w:val="00133CA1"/>
    <w:rsid w:val="00133D92"/>
    <w:rsid w:val="00133E26"/>
    <w:rsid w:val="00133E60"/>
    <w:rsid w:val="00134264"/>
    <w:rsid w:val="00136185"/>
    <w:rsid w:val="0013635C"/>
    <w:rsid w:val="00136B69"/>
    <w:rsid w:val="001377EE"/>
    <w:rsid w:val="00137DBA"/>
    <w:rsid w:val="00140D6D"/>
    <w:rsid w:val="0014165F"/>
    <w:rsid w:val="001417E0"/>
    <w:rsid w:val="00142753"/>
    <w:rsid w:val="00144B72"/>
    <w:rsid w:val="00144F54"/>
    <w:rsid w:val="00146364"/>
    <w:rsid w:val="00147A6E"/>
    <w:rsid w:val="00147D24"/>
    <w:rsid w:val="00150AC3"/>
    <w:rsid w:val="00153F33"/>
    <w:rsid w:val="00156280"/>
    <w:rsid w:val="001562D3"/>
    <w:rsid w:val="0015761E"/>
    <w:rsid w:val="00160AC6"/>
    <w:rsid w:val="00160ED8"/>
    <w:rsid w:val="00161206"/>
    <w:rsid w:val="001617CA"/>
    <w:rsid w:val="00162E27"/>
    <w:rsid w:val="001640B1"/>
    <w:rsid w:val="0016460C"/>
    <w:rsid w:val="00165173"/>
    <w:rsid w:val="001658A9"/>
    <w:rsid w:val="00165B57"/>
    <w:rsid w:val="001665C8"/>
    <w:rsid w:val="00167740"/>
    <w:rsid w:val="00170051"/>
    <w:rsid w:val="001702A5"/>
    <w:rsid w:val="0017297D"/>
    <w:rsid w:val="001734F4"/>
    <w:rsid w:val="00173F12"/>
    <w:rsid w:val="0017449C"/>
    <w:rsid w:val="00174A89"/>
    <w:rsid w:val="00176745"/>
    <w:rsid w:val="00176DF0"/>
    <w:rsid w:val="00177719"/>
    <w:rsid w:val="00177817"/>
    <w:rsid w:val="00180DFA"/>
    <w:rsid w:val="00181441"/>
    <w:rsid w:val="00182076"/>
    <w:rsid w:val="00182BA7"/>
    <w:rsid w:val="00183A55"/>
    <w:rsid w:val="00184353"/>
    <w:rsid w:val="001848A6"/>
    <w:rsid w:val="00185AC8"/>
    <w:rsid w:val="0019106B"/>
    <w:rsid w:val="00191DD9"/>
    <w:rsid w:val="00192A28"/>
    <w:rsid w:val="00192AEA"/>
    <w:rsid w:val="00193030"/>
    <w:rsid w:val="0019316C"/>
    <w:rsid w:val="001937CE"/>
    <w:rsid w:val="00193CE2"/>
    <w:rsid w:val="00193D7A"/>
    <w:rsid w:val="00194264"/>
    <w:rsid w:val="00194372"/>
    <w:rsid w:val="00194539"/>
    <w:rsid w:val="00197319"/>
    <w:rsid w:val="001A03C0"/>
    <w:rsid w:val="001A1412"/>
    <w:rsid w:val="001A160A"/>
    <w:rsid w:val="001A1B6F"/>
    <w:rsid w:val="001A2108"/>
    <w:rsid w:val="001A333B"/>
    <w:rsid w:val="001A3EF2"/>
    <w:rsid w:val="001A732C"/>
    <w:rsid w:val="001B05F2"/>
    <w:rsid w:val="001B0A99"/>
    <w:rsid w:val="001B0F07"/>
    <w:rsid w:val="001B17EC"/>
    <w:rsid w:val="001B1DC7"/>
    <w:rsid w:val="001B1DD3"/>
    <w:rsid w:val="001B1FA2"/>
    <w:rsid w:val="001B3793"/>
    <w:rsid w:val="001B5488"/>
    <w:rsid w:val="001B5F13"/>
    <w:rsid w:val="001C0402"/>
    <w:rsid w:val="001C0EF0"/>
    <w:rsid w:val="001C1F30"/>
    <w:rsid w:val="001C2306"/>
    <w:rsid w:val="001C31F5"/>
    <w:rsid w:val="001C3395"/>
    <w:rsid w:val="001C3460"/>
    <w:rsid w:val="001C3AD1"/>
    <w:rsid w:val="001C3F07"/>
    <w:rsid w:val="001C5157"/>
    <w:rsid w:val="001C5EFF"/>
    <w:rsid w:val="001C6AF4"/>
    <w:rsid w:val="001C71FB"/>
    <w:rsid w:val="001D04F7"/>
    <w:rsid w:val="001D086A"/>
    <w:rsid w:val="001D32A0"/>
    <w:rsid w:val="001D3949"/>
    <w:rsid w:val="001D3DA6"/>
    <w:rsid w:val="001D5DEC"/>
    <w:rsid w:val="001E0361"/>
    <w:rsid w:val="001E215D"/>
    <w:rsid w:val="001E4135"/>
    <w:rsid w:val="001F07FA"/>
    <w:rsid w:val="001F28BC"/>
    <w:rsid w:val="001F2EA0"/>
    <w:rsid w:val="001F3E7F"/>
    <w:rsid w:val="001F4AFD"/>
    <w:rsid w:val="001F51F5"/>
    <w:rsid w:val="001F5706"/>
    <w:rsid w:val="001F5772"/>
    <w:rsid w:val="001F5AF9"/>
    <w:rsid w:val="001F5CF0"/>
    <w:rsid w:val="001F7489"/>
    <w:rsid w:val="001F7C73"/>
    <w:rsid w:val="002013FD"/>
    <w:rsid w:val="002016A7"/>
    <w:rsid w:val="002018D3"/>
    <w:rsid w:val="0020342C"/>
    <w:rsid w:val="002045B7"/>
    <w:rsid w:val="002046B4"/>
    <w:rsid w:val="0020549C"/>
    <w:rsid w:val="00205A4D"/>
    <w:rsid w:val="00205DCA"/>
    <w:rsid w:val="00206A9F"/>
    <w:rsid w:val="00210C6B"/>
    <w:rsid w:val="002128CA"/>
    <w:rsid w:val="00214952"/>
    <w:rsid w:val="00216000"/>
    <w:rsid w:val="00216989"/>
    <w:rsid w:val="00220A09"/>
    <w:rsid w:val="00221124"/>
    <w:rsid w:val="00223660"/>
    <w:rsid w:val="002256BD"/>
    <w:rsid w:val="00226077"/>
    <w:rsid w:val="00226A91"/>
    <w:rsid w:val="00227186"/>
    <w:rsid w:val="00227F38"/>
    <w:rsid w:val="00230967"/>
    <w:rsid w:val="002325A8"/>
    <w:rsid w:val="00232C66"/>
    <w:rsid w:val="00232D07"/>
    <w:rsid w:val="002339A5"/>
    <w:rsid w:val="00233A0A"/>
    <w:rsid w:val="00233DB6"/>
    <w:rsid w:val="0023525D"/>
    <w:rsid w:val="002369B5"/>
    <w:rsid w:val="00237F51"/>
    <w:rsid w:val="00240644"/>
    <w:rsid w:val="002406E6"/>
    <w:rsid w:val="00240874"/>
    <w:rsid w:val="00240D83"/>
    <w:rsid w:val="00241165"/>
    <w:rsid w:val="00242664"/>
    <w:rsid w:val="002448BD"/>
    <w:rsid w:val="002456AE"/>
    <w:rsid w:val="00246411"/>
    <w:rsid w:val="002472A7"/>
    <w:rsid w:val="00247500"/>
    <w:rsid w:val="00252E80"/>
    <w:rsid w:val="0025351D"/>
    <w:rsid w:val="00253974"/>
    <w:rsid w:val="00253AFC"/>
    <w:rsid w:val="0025429E"/>
    <w:rsid w:val="002545D9"/>
    <w:rsid w:val="00255A88"/>
    <w:rsid w:val="002567DF"/>
    <w:rsid w:val="002570B0"/>
    <w:rsid w:val="00257E59"/>
    <w:rsid w:val="00260B7F"/>
    <w:rsid w:val="00260DD7"/>
    <w:rsid w:val="002617EE"/>
    <w:rsid w:val="002625C9"/>
    <w:rsid w:val="0026391F"/>
    <w:rsid w:val="00263C78"/>
    <w:rsid w:val="00263E7B"/>
    <w:rsid w:val="00265216"/>
    <w:rsid w:val="0026562F"/>
    <w:rsid w:val="00265A9A"/>
    <w:rsid w:val="00270B5F"/>
    <w:rsid w:val="002718B2"/>
    <w:rsid w:val="00271D97"/>
    <w:rsid w:val="00271F32"/>
    <w:rsid w:val="00272404"/>
    <w:rsid w:val="002731ED"/>
    <w:rsid w:val="002735A8"/>
    <w:rsid w:val="00274FCD"/>
    <w:rsid w:val="00275C2B"/>
    <w:rsid w:val="00275C93"/>
    <w:rsid w:val="00276B26"/>
    <w:rsid w:val="00277689"/>
    <w:rsid w:val="002800D5"/>
    <w:rsid w:val="00281101"/>
    <w:rsid w:val="002813A0"/>
    <w:rsid w:val="00282E40"/>
    <w:rsid w:val="00285CEE"/>
    <w:rsid w:val="00287168"/>
    <w:rsid w:val="00291BFC"/>
    <w:rsid w:val="0029255D"/>
    <w:rsid w:val="00292D13"/>
    <w:rsid w:val="002932A0"/>
    <w:rsid w:val="00294F1B"/>
    <w:rsid w:val="00294F21"/>
    <w:rsid w:val="00295B4A"/>
    <w:rsid w:val="002965F3"/>
    <w:rsid w:val="002967E6"/>
    <w:rsid w:val="00297A03"/>
    <w:rsid w:val="002A01CF"/>
    <w:rsid w:val="002A131D"/>
    <w:rsid w:val="002A37E2"/>
    <w:rsid w:val="002A4711"/>
    <w:rsid w:val="002A4D37"/>
    <w:rsid w:val="002A65AE"/>
    <w:rsid w:val="002A7570"/>
    <w:rsid w:val="002A769E"/>
    <w:rsid w:val="002A7DF9"/>
    <w:rsid w:val="002B0E11"/>
    <w:rsid w:val="002B1AE8"/>
    <w:rsid w:val="002B271D"/>
    <w:rsid w:val="002B49E4"/>
    <w:rsid w:val="002B5655"/>
    <w:rsid w:val="002B6419"/>
    <w:rsid w:val="002B6CE7"/>
    <w:rsid w:val="002B73A9"/>
    <w:rsid w:val="002B741F"/>
    <w:rsid w:val="002B7C49"/>
    <w:rsid w:val="002C03B8"/>
    <w:rsid w:val="002C0421"/>
    <w:rsid w:val="002C0E3F"/>
    <w:rsid w:val="002C107B"/>
    <w:rsid w:val="002C1C54"/>
    <w:rsid w:val="002C2016"/>
    <w:rsid w:val="002C2BD9"/>
    <w:rsid w:val="002C33F8"/>
    <w:rsid w:val="002C4F24"/>
    <w:rsid w:val="002C5FC8"/>
    <w:rsid w:val="002D113C"/>
    <w:rsid w:val="002D46AF"/>
    <w:rsid w:val="002D4DC5"/>
    <w:rsid w:val="002D719F"/>
    <w:rsid w:val="002D7270"/>
    <w:rsid w:val="002E0D94"/>
    <w:rsid w:val="002E0F9A"/>
    <w:rsid w:val="002E14CC"/>
    <w:rsid w:val="002E1DA6"/>
    <w:rsid w:val="002E2CA4"/>
    <w:rsid w:val="002E4E69"/>
    <w:rsid w:val="002E4EDE"/>
    <w:rsid w:val="002E4FE0"/>
    <w:rsid w:val="002E5537"/>
    <w:rsid w:val="002E769E"/>
    <w:rsid w:val="002E7725"/>
    <w:rsid w:val="002F0FE6"/>
    <w:rsid w:val="002F117F"/>
    <w:rsid w:val="002F15AF"/>
    <w:rsid w:val="002F16D0"/>
    <w:rsid w:val="002F2171"/>
    <w:rsid w:val="002F4195"/>
    <w:rsid w:val="002F5854"/>
    <w:rsid w:val="002F7BF4"/>
    <w:rsid w:val="003000D0"/>
    <w:rsid w:val="00300761"/>
    <w:rsid w:val="0030244C"/>
    <w:rsid w:val="00302DFA"/>
    <w:rsid w:val="00305FD6"/>
    <w:rsid w:val="0031145E"/>
    <w:rsid w:val="003123C4"/>
    <w:rsid w:val="00312A0E"/>
    <w:rsid w:val="00312FA2"/>
    <w:rsid w:val="00313E40"/>
    <w:rsid w:val="003143F6"/>
    <w:rsid w:val="00314574"/>
    <w:rsid w:val="00314ECF"/>
    <w:rsid w:val="0031506E"/>
    <w:rsid w:val="00315523"/>
    <w:rsid w:val="00315E32"/>
    <w:rsid w:val="00316102"/>
    <w:rsid w:val="00316B6C"/>
    <w:rsid w:val="00316B8A"/>
    <w:rsid w:val="00317570"/>
    <w:rsid w:val="00317FE1"/>
    <w:rsid w:val="00320041"/>
    <w:rsid w:val="00320EAA"/>
    <w:rsid w:val="003211D0"/>
    <w:rsid w:val="00322305"/>
    <w:rsid w:val="00322D2A"/>
    <w:rsid w:val="00324CB6"/>
    <w:rsid w:val="003253F8"/>
    <w:rsid w:val="00325D0F"/>
    <w:rsid w:val="00330328"/>
    <w:rsid w:val="00331012"/>
    <w:rsid w:val="0033133F"/>
    <w:rsid w:val="0033372D"/>
    <w:rsid w:val="00333C22"/>
    <w:rsid w:val="0033497C"/>
    <w:rsid w:val="003359D6"/>
    <w:rsid w:val="0033606E"/>
    <w:rsid w:val="003363F1"/>
    <w:rsid w:val="003364E8"/>
    <w:rsid w:val="0033656F"/>
    <w:rsid w:val="00336A61"/>
    <w:rsid w:val="003370C0"/>
    <w:rsid w:val="00337AEF"/>
    <w:rsid w:val="00340071"/>
    <w:rsid w:val="00340431"/>
    <w:rsid w:val="00342DA5"/>
    <w:rsid w:val="00344AC6"/>
    <w:rsid w:val="0034546D"/>
    <w:rsid w:val="00345D19"/>
    <w:rsid w:val="003467FF"/>
    <w:rsid w:val="00350AEE"/>
    <w:rsid w:val="00350D36"/>
    <w:rsid w:val="00351F6E"/>
    <w:rsid w:val="0035210A"/>
    <w:rsid w:val="00352852"/>
    <w:rsid w:val="003574E7"/>
    <w:rsid w:val="00360636"/>
    <w:rsid w:val="00360C43"/>
    <w:rsid w:val="00360CB6"/>
    <w:rsid w:val="0036353B"/>
    <w:rsid w:val="0036417A"/>
    <w:rsid w:val="003668FE"/>
    <w:rsid w:val="003728BC"/>
    <w:rsid w:val="00373C4F"/>
    <w:rsid w:val="00373E8E"/>
    <w:rsid w:val="00375879"/>
    <w:rsid w:val="00377A1E"/>
    <w:rsid w:val="00383DB3"/>
    <w:rsid w:val="00383E9F"/>
    <w:rsid w:val="00384894"/>
    <w:rsid w:val="003852EC"/>
    <w:rsid w:val="0038658C"/>
    <w:rsid w:val="003866BC"/>
    <w:rsid w:val="003879EB"/>
    <w:rsid w:val="00390830"/>
    <w:rsid w:val="0039276B"/>
    <w:rsid w:val="00394A81"/>
    <w:rsid w:val="0039539D"/>
    <w:rsid w:val="00395732"/>
    <w:rsid w:val="00396391"/>
    <w:rsid w:val="003A043E"/>
    <w:rsid w:val="003A09B4"/>
    <w:rsid w:val="003A0D0E"/>
    <w:rsid w:val="003A1323"/>
    <w:rsid w:val="003A1500"/>
    <w:rsid w:val="003A21D9"/>
    <w:rsid w:val="003A44D8"/>
    <w:rsid w:val="003A6803"/>
    <w:rsid w:val="003A710C"/>
    <w:rsid w:val="003B09F1"/>
    <w:rsid w:val="003B28B7"/>
    <w:rsid w:val="003B3153"/>
    <w:rsid w:val="003B3339"/>
    <w:rsid w:val="003B3E38"/>
    <w:rsid w:val="003B4840"/>
    <w:rsid w:val="003B51A9"/>
    <w:rsid w:val="003B7CF2"/>
    <w:rsid w:val="003C0FF1"/>
    <w:rsid w:val="003C184C"/>
    <w:rsid w:val="003C1E04"/>
    <w:rsid w:val="003C31DE"/>
    <w:rsid w:val="003C32B9"/>
    <w:rsid w:val="003C334F"/>
    <w:rsid w:val="003C33DE"/>
    <w:rsid w:val="003C62AF"/>
    <w:rsid w:val="003C65F6"/>
    <w:rsid w:val="003C7D7C"/>
    <w:rsid w:val="003D0917"/>
    <w:rsid w:val="003D0C43"/>
    <w:rsid w:val="003D24B4"/>
    <w:rsid w:val="003D268F"/>
    <w:rsid w:val="003D2A4E"/>
    <w:rsid w:val="003D2F18"/>
    <w:rsid w:val="003D3481"/>
    <w:rsid w:val="003D4145"/>
    <w:rsid w:val="003D5DAA"/>
    <w:rsid w:val="003E0367"/>
    <w:rsid w:val="003E1C9B"/>
    <w:rsid w:val="003E25CA"/>
    <w:rsid w:val="003E2E4D"/>
    <w:rsid w:val="003E3715"/>
    <w:rsid w:val="003E42C4"/>
    <w:rsid w:val="003E4518"/>
    <w:rsid w:val="003E64F0"/>
    <w:rsid w:val="003F1014"/>
    <w:rsid w:val="003F1A81"/>
    <w:rsid w:val="003F26A2"/>
    <w:rsid w:val="003F34A3"/>
    <w:rsid w:val="003F57D3"/>
    <w:rsid w:val="003F5F99"/>
    <w:rsid w:val="003F7D06"/>
    <w:rsid w:val="00400125"/>
    <w:rsid w:val="00400977"/>
    <w:rsid w:val="004011F8"/>
    <w:rsid w:val="0040180F"/>
    <w:rsid w:val="0040252E"/>
    <w:rsid w:val="0040268F"/>
    <w:rsid w:val="00402C73"/>
    <w:rsid w:val="00403279"/>
    <w:rsid w:val="004056A4"/>
    <w:rsid w:val="00405F51"/>
    <w:rsid w:val="00406FD6"/>
    <w:rsid w:val="00411EAB"/>
    <w:rsid w:val="0041222C"/>
    <w:rsid w:val="0041365A"/>
    <w:rsid w:val="00413E85"/>
    <w:rsid w:val="00414539"/>
    <w:rsid w:val="00414643"/>
    <w:rsid w:val="004149FD"/>
    <w:rsid w:val="00414A7C"/>
    <w:rsid w:val="00414DB9"/>
    <w:rsid w:val="00415C8A"/>
    <w:rsid w:val="00415DF3"/>
    <w:rsid w:val="0041663F"/>
    <w:rsid w:val="00417A22"/>
    <w:rsid w:val="00420135"/>
    <w:rsid w:val="0042117B"/>
    <w:rsid w:val="0042297B"/>
    <w:rsid w:val="00422D76"/>
    <w:rsid w:val="00423B5E"/>
    <w:rsid w:val="004253A5"/>
    <w:rsid w:val="00426046"/>
    <w:rsid w:val="00426D08"/>
    <w:rsid w:val="004314FF"/>
    <w:rsid w:val="00431932"/>
    <w:rsid w:val="00431EFC"/>
    <w:rsid w:val="00434259"/>
    <w:rsid w:val="00437681"/>
    <w:rsid w:val="0044054C"/>
    <w:rsid w:val="00440DC7"/>
    <w:rsid w:val="0044198E"/>
    <w:rsid w:val="0044421C"/>
    <w:rsid w:val="00444B3C"/>
    <w:rsid w:val="00447A45"/>
    <w:rsid w:val="00450148"/>
    <w:rsid w:val="00450EBF"/>
    <w:rsid w:val="004512E8"/>
    <w:rsid w:val="004513D2"/>
    <w:rsid w:val="00452257"/>
    <w:rsid w:val="00453ECB"/>
    <w:rsid w:val="00454CC2"/>
    <w:rsid w:val="004550E2"/>
    <w:rsid w:val="00455314"/>
    <w:rsid w:val="00460BD4"/>
    <w:rsid w:val="0046200E"/>
    <w:rsid w:val="00462365"/>
    <w:rsid w:val="0046370A"/>
    <w:rsid w:val="0046428C"/>
    <w:rsid w:val="0046519C"/>
    <w:rsid w:val="00466864"/>
    <w:rsid w:val="004700A1"/>
    <w:rsid w:val="0047103B"/>
    <w:rsid w:val="00471156"/>
    <w:rsid w:val="00471D58"/>
    <w:rsid w:val="004724FD"/>
    <w:rsid w:val="004732A8"/>
    <w:rsid w:val="00473441"/>
    <w:rsid w:val="00473893"/>
    <w:rsid w:val="00474D06"/>
    <w:rsid w:val="004760AA"/>
    <w:rsid w:val="00476CC8"/>
    <w:rsid w:val="00481366"/>
    <w:rsid w:val="00482592"/>
    <w:rsid w:val="004827B6"/>
    <w:rsid w:val="00482D6B"/>
    <w:rsid w:val="004831C8"/>
    <w:rsid w:val="00483396"/>
    <w:rsid w:val="00483935"/>
    <w:rsid w:val="00484C39"/>
    <w:rsid w:val="00486C61"/>
    <w:rsid w:val="00490BF0"/>
    <w:rsid w:val="00490DC7"/>
    <w:rsid w:val="00492553"/>
    <w:rsid w:val="00492C73"/>
    <w:rsid w:val="00492DEF"/>
    <w:rsid w:val="00493131"/>
    <w:rsid w:val="00494C0F"/>
    <w:rsid w:val="00495A67"/>
    <w:rsid w:val="00496A97"/>
    <w:rsid w:val="004A0D7C"/>
    <w:rsid w:val="004A2D14"/>
    <w:rsid w:val="004A4648"/>
    <w:rsid w:val="004A6604"/>
    <w:rsid w:val="004A7719"/>
    <w:rsid w:val="004B0813"/>
    <w:rsid w:val="004B12F4"/>
    <w:rsid w:val="004B1493"/>
    <w:rsid w:val="004B17A7"/>
    <w:rsid w:val="004B36B5"/>
    <w:rsid w:val="004B466E"/>
    <w:rsid w:val="004B710B"/>
    <w:rsid w:val="004B774D"/>
    <w:rsid w:val="004C00FA"/>
    <w:rsid w:val="004C0407"/>
    <w:rsid w:val="004C1550"/>
    <w:rsid w:val="004C1F2C"/>
    <w:rsid w:val="004C1FB0"/>
    <w:rsid w:val="004C30ED"/>
    <w:rsid w:val="004C3A90"/>
    <w:rsid w:val="004C4A31"/>
    <w:rsid w:val="004C537B"/>
    <w:rsid w:val="004C621A"/>
    <w:rsid w:val="004C6364"/>
    <w:rsid w:val="004D05ED"/>
    <w:rsid w:val="004D188B"/>
    <w:rsid w:val="004D2392"/>
    <w:rsid w:val="004D2C4B"/>
    <w:rsid w:val="004D3078"/>
    <w:rsid w:val="004D3CF8"/>
    <w:rsid w:val="004D423E"/>
    <w:rsid w:val="004D4CE4"/>
    <w:rsid w:val="004D5D99"/>
    <w:rsid w:val="004D6768"/>
    <w:rsid w:val="004D6880"/>
    <w:rsid w:val="004D69DA"/>
    <w:rsid w:val="004D79C4"/>
    <w:rsid w:val="004D7AB8"/>
    <w:rsid w:val="004E1D08"/>
    <w:rsid w:val="004E1E0D"/>
    <w:rsid w:val="004E2656"/>
    <w:rsid w:val="004E27E2"/>
    <w:rsid w:val="004E36C7"/>
    <w:rsid w:val="004E3D73"/>
    <w:rsid w:val="004E5DE4"/>
    <w:rsid w:val="004E5ECB"/>
    <w:rsid w:val="004F0082"/>
    <w:rsid w:val="004F01C8"/>
    <w:rsid w:val="004F14A0"/>
    <w:rsid w:val="004F1DBA"/>
    <w:rsid w:val="004F321A"/>
    <w:rsid w:val="004F3765"/>
    <w:rsid w:val="004F3BBB"/>
    <w:rsid w:val="004F461C"/>
    <w:rsid w:val="004F5D9E"/>
    <w:rsid w:val="004F6ED6"/>
    <w:rsid w:val="004F70EC"/>
    <w:rsid w:val="00500430"/>
    <w:rsid w:val="005014AF"/>
    <w:rsid w:val="00501C09"/>
    <w:rsid w:val="00501C6B"/>
    <w:rsid w:val="00503BA6"/>
    <w:rsid w:val="00504263"/>
    <w:rsid w:val="00505025"/>
    <w:rsid w:val="005051E0"/>
    <w:rsid w:val="00505AA9"/>
    <w:rsid w:val="00506231"/>
    <w:rsid w:val="005075AD"/>
    <w:rsid w:val="00510E76"/>
    <w:rsid w:val="0051149B"/>
    <w:rsid w:val="00511DEA"/>
    <w:rsid w:val="005127BF"/>
    <w:rsid w:val="00512E44"/>
    <w:rsid w:val="00513CED"/>
    <w:rsid w:val="00514950"/>
    <w:rsid w:val="00516E15"/>
    <w:rsid w:val="0052061F"/>
    <w:rsid w:val="00520A03"/>
    <w:rsid w:val="00522C67"/>
    <w:rsid w:val="00524A77"/>
    <w:rsid w:val="00525B90"/>
    <w:rsid w:val="0052631F"/>
    <w:rsid w:val="00526AF1"/>
    <w:rsid w:val="00526EB1"/>
    <w:rsid w:val="005271B4"/>
    <w:rsid w:val="00527F18"/>
    <w:rsid w:val="0053126F"/>
    <w:rsid w:val="00532E6A"/>
    <w:rsid w:val="00535C53"/>
    <w:rsid w:val="00536836"/>
    <w:rsid w:val="00536BCA"/>
    <w:rsid w:val="00536C58"/>
    <w:rsid w:val="005411F7"/>
    <w:rsid w:val="0054268C"/>
    <w:rsid w:val="005435D1"/>
    <w:rsid w:val="00544033"/>
    <w:rsid w:val="00544566"/>
    <w:rsid w:val="00544CB5"/>
    <w:rsid w:val="00545D09"/>
    <w:rsid w:val="005460AA"/>
    <w:rsid w:val="0054680E"/>
    <w:rsid w:val="00546F44"/>
    <w:rsid w:val="005501C6"/>
    <w:rsid w:val="005503E2"/>
    <w:rsid w:val="00552D4A"/>
    <w:rsid w:val="00552FD4"/>
    <w:rsid w:val="00553998"/>
    <w:rsid w:val="00554658"/>
    <w:rsid w:val="00554855"/>
    <w:rsid w:val="00557744"/>
    <w:rsid w:val="0056087F"/>
    <w:rsid w:val="00560C65"/>
    <w:rsid w:val="00563504"/>
    <w:rsid w:val="00563B34"/>
    <w:rsid w:val="005652E6"/>
    <w:rsid w:val="005665BD"/>
    <w:rsid w:val="00566D07"/>
    <w:rsid w:val="00566EC9"/>
    <w:rsid w:val="00567233"/>
    <w:rsid w:val="005673D4"/>
    <w:rsid w:val="00570D17"/>
    <w:rsid w:val="005716C9"/>
    <w:rsid w:val="00572382"/>
    <w:rsid w:val="00572C31"/>
    <w:rsid w:val="005738C8"/>
    <w:rsid w:val="00573BBC"/>
    <w:rsid w:val="00573C6F"/>
    <w:rsid w:val="00573EC2"/>
    <w:rsid w:val="005778E7"/>
    <w:rsid w:val="00577A8C"/>
    <w:rsid w:val="00581A5F"/>
    <w:rsid w:val="00582E54"/>
    <w:rsid w:val="00583915"/>
    <w:rsid w:val="005841A8"/>
    <w:rsid w:val="0058529D"/>
    <w:rsid w:val="00585AB2"/>
    <w:rsid w:val="00585FB1"/>
    <w:rsid w:val="00587AF0"/>
    <w:rsid w:val="00587E62"/>
    <w:rsid w:val="00587F96"/>
    <w:rsid w:val="00590EA2"/>
    <w:rsid w:val="00592568"/>
    <w:rsid w:val="00593110"/>
    <w:rsid w:val="0059337A"/>
    <w:rsid w:val="005946D0"/>
    <w:rsid w:val="00595343"/>
    <w:rsid w:val="00596870"/>
    <w:rsid w:val="005A035D"/>
    <w:rsid w:val="005A0A04"/>
    <w:rsid w:val="005A0EAF"/>
    <w:rsid w:val="005A3E82"/>
    <w:rsid w:val="005A536D"/>
    <w:rsid w:val="005A63EE"/>
    <w:rsid w:val="005A6CE3"/>
    <w:rsid w:val="005A7002"/>
    <w:rsid w:val="005A72AC"/>
    <w:rsid w:val="005A7997"/>
    <w:rsid w:val="005A7A63"/>
    <w:rsid w:val="005A7CCE"/>
    <w:rsid w:val="005A7D3F"/>
    <w:rsid w:val="005B0C9B"/>
    <w:rsid w:val="005B1CD0"/>
    <w:rsid w:val="005B3885"/>
    <w:rsid w:val="005B5085"/>
    <w:rsid w:val="005B567F"/>
    <w:rsid w:val="005B6DDF"/>
    <w:rsid w:val="005B77D7"/>
    <w:rsid w:val="005B7CDE"/>
    <w:rsid w:val="005C1E53"/>
    <w:rsid w:val="005C20DD"/>
    <w:rsid w:val="005C47FF"/>
    <w:rsid w:val="005C4DA2"/>
    <w:rsid w:val="005C54C8"/>
    <w:rsid w:val="005C607B"/>
    <w:rsid w:val="005C7B21"/>
    <w:rsid w:val="005D1C6A"/>
    <w:rsid w:val="005D237A"/>
    <w:rsid w:val="005D251A"/>
    <w:rsid w:val="005D367F"/>
    <w:rsid w:val="005D47D1"/>
    <w:rsid w:val="005D4FE4"/>
    <w:rsid w:val="005D564E"/>
    <w:rsid w:val="005D6FB7"/>
    <w:rsid w:val="005D7793"/>
    <w:rsid w:val="005D7884"/>
    <w:rsid w:val="005E6D4B"/>
    <w:rsid w:val="005F02BC"/>
    <w:rsid w:val="005F2229"/>
    <w:rsid w:val="005F2633"/>
    <w:rsid w:val="005F2E4E"/>
    <w:rsid w:val="005F376B"/>
    <w:rsid w:val="006000D1"/>
    <w:rsid w:val="00600E53"/>
    <w:rsid w:val="00601A87"/>
    <w:rsid w:val="00602856"/>
    <w:rsid w:val="00602CE6"/>
    <w:rsid w:val="00602E06"/>
    <w:rsid w:val="00606B20"/>
    <w:rsid w:val="0061156E"/>
    <w:rsid w:val="00611D57"/>
    <w:rsid w:val="00612221"/>
    <w:rsid w:val="006125B3"/>
    <w:rsid w:val="006131A1"/>
    <w:rsid w:val="00613CEC"/>
    <w:rsid w:val="006145CC"/>
    <w:rsid w:val="006167F7"/>
    <w:rsid w:val="00616B3C"/>
    <w:rsid w:val="006171C1"/>
    <w:rsid w:val="00617C57"/>
    <w:rsid w:val="006200C0"/>
    <w:rsid w:val="0062179A"/>
    <w:rsid w:val="006229F7"/>
    <w:rsid w:val="006230A9"/>
    <w:rsid w:val="00623401"/>
    <w:rsid w:val="006237D1"/>
    <w:rsid w:val="0062416A"/>
    <w:rsid w:val="0062489D"/>
    <w:rsid w:val="00624C23"/>
    <w:rsid w:val="00625314"/>
    <w:rsid w:val="0062563C"/>
    <w:rsid w:val="00627764"/>
    <w:rsid w:val="0063034D"/>
    <w:rsid w:val="006313D0"/>
    <w:rsid w:val="00632A2F"/>
    <w:rsid w:val="00632A9C"/>
    <w:rsid w:val="0063356A"/>
    <w:rsid w:val="00633B1A"/>
    <w:rsid w:val="006351EE"/>
    <w:rsid w:val="0063634A"/>
    <w:rsid w:val="00636B73"/>
    <w:rsid w:val="00636D71"/>
    <w:rsid w:val="0063701B"/>
    <w:rsid w:val="00637688"/>
    <w:rsid w:val="00640C85"/>
    <w:rsid w:val="006412A6"/>
    <w:rsid w:val="00641BE3"/>
    <w:rsid w:val="00642E22"/>
    <w:rsid w:val="006435DA"/>
    <w:rsid w:val="00643B2F"/>
    <w:rsid w:val="006448BA"/>
    <w:rsid w:val="00644EF7"/>
    <w:rsid w:val="00645F8B"/>
    <w:rsid w:val="0064614D"/>
    <w:rsid w:val="00647D1B"/>
    <w:rsid w:val="00651567"/>
    <w:rsid w:val="00653397"/>
    <w:rsid w:val="0065391A"/>
    <w:rsid w:val="00653FF7"/>
    <w:rsid w:val="0065460F"/>
    <w:rsid w:val="00655EA9"/>
    <w:rsid w:val="00656787"/>
    <w:rsid w:val="00656CB1"/>
    <w:rsid w:val="0065740B"/>
    <w:rsid w:val="006578C7"/>
    <w:rsid w:val="006600AE"/>
    <w:rsid w:val="006602B4"/>
    <w:rsid w:val="00660482"/>
    <w:rsid w:val="006605D8"/>
    <w:rsid w:val="00661832"/>
    <w:rsid w:val="00663971"/>
    <w:rsid w:val="00663C39"/>
    <w:rsid w:val="00666F80"/>
    <w:rsid w:val="00667B68"/>
    <w:rsid w:val="006705F1"/>
    <w:rsid w:val="00670855"/>
    <w:rsid w:val="0067182C"/>
    <w:rsid w:val="00671B48"/>
    <w:rsid w:val="00672374"/>
    <w:rsid w:val="00672C3A"/>
    <w:rsid w:val="006765A5"/>
    <w:rsid w:val="006768CB"/>
    <w:rsid w:val="00676F01"/>
    <w:rsid w:val="00677558"/>
    <w:rsid w:val="0068126D"/>
    <w:rsid w:val="00681B22"/>
    <w:rsid w:val="0068242C"/>
    <w:rsid w:val="006831FF"/>
    <w:rsid w:val="00683757"/>
    <w:rsid w:val="00684A06"/>
    <w:rsid w:val="00685768"/>
    <w:rsid w:val="006858BF"/>
    <w:rsid w:val="00686400"/>
    <w:rsid w:val="00687365"/>
    <w:rsid w:val="006902B9"/>
    <w:rsid w:val="00690D5B"/>
    <w:rsid w:val="0069160C"/>
    <w:rsid w:val="0069163B"/>
    <w:rsid w:val="00691921"/>
    <w:rsid w:val="006946FF"/>
    <w:rsid w:val="0069588A"/>
    <w:rsid w:val="00696821"/>
    <w:rsid w:val="006969E8"/>
    <w:rsid w:val="006976D4"/>
    <w:rsid w:val="006977ED"/>
    <w:rsid w:val="00697DCF"/>
    <w:rsid w:val="006A06F2"/>
    <w:rsid w:val="006A08F8"/>
    <w:rsid w:val="006A0EF5"/>
    <w:rsid w:val="006A1E03"/>
    <w:rsid w:val="006A22FC"/>
    <w:rsid w:val="006A2B33"/>
    <w:rsid w:val="006A5E4A"/>
    <w:rsid w:val="006A6861"/>
    <w:rsid w:val="006A6B8A"/>
    <w:rsid w:val="006A7386"/>
    <w:rsid w:val="006A7406"/>
    <w:rsid w:val="006A7A2E"/>
    <w:rsid w:val="006A7C8A"/>
    <w:rsid w:val="006B0D53"/>
    <w:rsid w:val="006B0EAE"/>
    <w:rsid w:val="006B146C"/>
    <w:rsid w:val="006B1596"/>
    <w:rsid w:val="006B1647"/>
    <w:rsid w:val="006B1C20"/>
    <w:rsid w:val="006B29AF"/>
    <w:rsid w:val="006B37EE"/>
    <w:rsid w:val="006B389D"/>
    <w:rsid w:val="006B472F"/>
    <w:rsid w:val="006B6F4C"/>
    <w:rsid w:val="006B7476"/>
    <w:rsid w:val="006C0027"/>
    <w:rsid w:val="006C09C0"/>
    <w:rsid w:val="006C0BC3"/>
    <w:rsid w:val="006C3C8E"/>
    <w:rsid w:val="006C470E"/>
    <w:rsid w:val="006C5F32"/>
    <w:rsid w:val="006C6924"/>
    <w:rsid w:val="006C710B"/>
    <w:rsid w:val="006C74DB"/>
    <w:rsid w:val="006C7A00"/>
    <w:rsid w:val="006C7A8E"/>
    <w:rsid w:val="006C7C2E"/>
    <w:rsid w:val="006C7EF4"/>
    <w:rsid w:val="006C7FDB"/>
    <w:rsid w:val="006D070A"/>
    <w:rsid w:val="006D0976"/>
    <w:rsid w:val="006D0B7B"/>
    <w:rsid w:val="006D11DF"/>
    <w:rsid w:val="006D27A0"/>
    <w:rsid w:val="006D34FB"/>
    <w:rsid w:val="006D42A1"/>
    <w:rsid w:val="006D4357"/>
    <w:rsid w:val="006D5B96"/>
    <w:rsid w:val="006D7ED0"/>
    <w:rsid w:val="006E021B"/>
    <w:rsid w:val="006E06BB"/>
    <w:rsid w:val="006E1DDD"/>
    <w:rsid w:val="006E252D"/>
    <w:rsid w:val="006E2CC5"/>
    <w:rsid w:val="006E371E"/>
    <w:rsid w:val="006E3ACD"/>
    <w:rsid w:val="006E41F3"/>
    <w:rsid w:val="006E4262"/>
    <w:rsid w:val="006E5C9C"/>
    <w:rsid w:val="006E60A4"/>
    <w:rsid w:val="006E66A5"/>
    <w:rsid w:val="006E686C"/>
    <w:rsid w:val="006E7364"/>
    <w:rsid w:val="006F338A"/>
    <w:rsid w:val="006F37B5"/>
    <w:rsid w:val="006F3A04"/>
    <w:rsid w:val="006F42C6"/>
    <w:rsid w:val="006F4578"/>
    <w:rsid w:val="006F77B2"/>
    <w:rsid w:val="006F7E09"/>
    <w:rsid w:val="007029E5"/>
    <w:rsid w:val="00702C63"/>
    <w:rsid w:val="00703FAA"/>
    <w:rsid w:val="0070413E"/>
    <w:rsid w:val="00704717"/>
    <w:rsid w:val="007054C6"/>
    <w:rsid w:val="00705693"/>
    <w:rsid w:val="00706736"/>
    <w:rsid w:val="0070728E"/>
    <w:rsid w:val="00707D28"/>
    <w:rsid w:val="00707D54"/>
    <w:rsid w:val="00711F2A"/>
    <w:rsid w:val="007124D6"/>
    <w:rsid w:val="007146CC"/>
    <w:rsid w:val="00714BC4"/>
    <w:rsid w:val="00716702"/>
    <w:rsid w:val="00716A62"/>
    <w:rsid w:val="00716F7F"/>
    <w:rsid w:val="00716FDF"/>
    <w:rsid w:val="007171C6"/>
    <w:rsid w:val="007175B7"/>
    <w:rsid w:val="00717690"/>
    <w:rsid w:val="007204FE"/>
    <w:rsid w:val="00720E2B"/>
    <w:rsid w:val="0072147E"/>
    <w:rsid w:val="007217A3"/>
    <w:rsid w:val="007218DA"/>
    <w:rsid w:val="0072326E"/>
    <w:rsid w:val="00723277"/>
    <w:rsid w:val="00723427"/>
    <w:rsid w:val="00723515"/>
    <w:rsid w:val="007238B3"/>
    <w:rsid w:val="00723C90"/>
    <w:rsid w:val="00727938"/>
    <w:rsid w:val="00730034"/>
    <w:rsid w:val="007309AA"/>
    <w:rsid w:val="007309AC"/>
    <w:rsid w:val="00730BE0"/>
    <w:rsid w:val="00731138"/>
    <w:rsid w:val="0073379A"/>
    <w:rsid w:val="00735ECD"/>
    <w:rsid w:val="0073692D"/>
    <w:rsid w:val="00737FD9"/>
    <w:rsid w:val="0074067A"/>
    <w:rsid w:val="00740E31"/>
    <w:rsid w:val="00743313"/>
    <w:rsid w:val="00744299"/>
    <w:rsid w:val="007442CA"/>
    <w:rsid w:val="0074432F"/>
    <w:rsid w:val="0074469B"/>
    <w:rsid w:val="00744DD2"/>
    <w:rsid w:val="00745736"/>
    <w:rsid w:val="00746067"/>
    <w:rsid w:val="00746F7C"/>
    <w:rsid w:val="007478B2"/>
    <w:rsid w:val="00747D84"/>
    <w:rsid w:val="00750E74"/>
    <w:rsid w:val="0075137A"/>
    <w:rsid w:val="00752170"/>
    <w:rsid w:val="00753195"/>
    <w:rsid w:val="00755AB3"/>
    <w:rsid w:val="00755B42"/>
    <w:rsid w:val="00757ACB"/>
    <w:rsid w:val="00757E89"/>
    <w:rsid w:val="0076226C"/>
    <w:rsid w:val="00762840"/>
    <w:rsid w:val="00762E29"/>
    <w:rsid w:val="007634E3"/>
    <w:rsid w:val="00763F29"/>
    <w:rsid w:val="00766354"/>
    <w:rsid w:val="00767D01"/>
    <w:rsid w:val="00771FFA"/>
    <w:rsid w:val="0077202C"/>
    <w:rsid w:val="00773341"/>
    <w:rsid w:val="00773B48"/>
    <w:rsid w:val="00773C17"/>
    <w:rsid w:val="007763DF"/>
    <w:rsid w:val="00776530"/>
    <w:rsid w:val="00776E6B"/>
    <w:rsid w:val="0078051E"/>
    <w:rsid w:val="0078073C"/>
    <w:rsid w:val="007807B9"/>
    <w:rsid w:val="0078088A"/>
    <w:rsid w:val="00781A5E"/>
    <w:rsid w:val="00783950"/>
    <w:rsid w:val="00783F88"/>
    <w:rsid w:val="00784360"/>
    <w:rsid w:val="00784669"/>
    <w:rsid w:val="007864F8"/>
    <w:rsid w:val="007876C7"/>
    <w:rsid w:val="00787929"/>
    <w:rsid w:val="007901F6"/>
    <w:rsid w:val="0079023F"/>
    <w:rsid w:val="007909B2"/>
    <w:rsid w:val="00790A20"/>
    <w:rsid w:val="00791899"/>
    <w:rsid w:val="00792D46"/>
    <w:rsid w:val="00792EF1"/>
    <w:rsid w:val="007931FE"/>
    <w:rsid w:val="00794C75"/>
    <w:rsid w:val="00796A9E"/>
    <w:rsid w:val="00796BAD"/>
    <w:rsid w:val="00797CC4"/>
    <w:rsid w:val="007A06C7"/>
    <w:rsid w:val="007A1289"/>
    <w:rsid w:val="007A1B09"/>
    <w:rsid w:val="007A1F9E"/>
    <w:rsid w:val="007A2460"/>
    <w:rsid w:val="007A2D26"/>
    <w:rsid w:val="007A34CB"/>
    <w:rsid w:val="007A5786"/>
    <w:rsid w:val="007A5889"/>
    <w:rsid w:val="007A5EBE"/>
    <w:rsid w:val="007B0BF9"/>
    <w:rsid w:val="007B1E14"/>
    <w:rsid w:val="007B207B"/>
    <w:rsid w:val="007B223B"/>
    <w:rsid w:val="007B3E01"/>
    <w:rsid w:val="007B565A"/>
    <w:rsid w:val="007B5936"/>
    <w:rsid w:val="007B5E8E"/>
    <w:rsid w:val="007B5EEB"/>
    <w:rsid w:val="007B5FA8"/>
    <w:rsid w:val="007B693A"/>
    <w:rsid w:val="007B6A7C"/>
    <w:rsid w:val="007B7A76"/>
    <w:rsid w:val="007C3E98"/>
    <w:rsid w:val="007C4EB1"/>
    <w:rsid w:val="007C62AE"/>
    <w:rsid w:val="007C676F"/>
    <w:rsid w:val="007C739C"/>
    <w:rsid w:val="007D04B7"/>
    <w:rsid w:val="007D4152"/>
    <w:rsid w:val="007D6D0F"/>
    <w:rsid w:val="007D6F0E"/>
    <w:rsid w:val="007D7AF7"/>
    <w:rsid w:val="007D7C3A"/>
    <w:rsid w:val="007E0C5A"/>
    <w:rsid w:val="007E0C65"/>
    <w:rsid w:val="007E0DA2"/>
    <w:rsid w:val="007E2613"/>
    <w:rsid w:val="007E35CC"/>
    <w:rsid w:val="007E3CDA"/>
    <w:rsid w:val="007E4173"/>
    <w:rsid w:val="007E45C6"/>
    <w:rsid w:val="007E545F"/>
    <w:rsid w:val="007E5639"/>
    <w:rsid w:val="007E621B"/>
    <w:rsid w:val="007F1BD0"/>
    <w:rsid w:val="007F1E2B"/>
    <w:rsid w:val="007F2D03"/>
    <w:rsid w:val="007F5CA1"/>
    <w:rsid w:val="007F6F1D"/>
    <w:rsid w:val="007F753F"/>
    <w:rsid w:val="007F75D4"/>
    <w:rsid w:val="007F7A8C"/>
    <w:rsid w:val="007F7B61"/>
    <w:rsid w:val="008002C0"/>
    <w:rsid w:val="00800719"/>
    <w:rsid w:val="00802921"/>
    <w:rsid w:val="00804936"/>
    <w:rsid w:val="008051F1"/>
    <w:rsid w:val="008052BE"/>
    <w:rsid w:val="00805802"/>
    <w:rsid w:val="0081076D"/>
    <w:rsid w:val="00812506"/>
    <w:rsid w:val="00812837"/>
    <w:rsid w:val="00812D5F"/>
    <w:rsid w:val="00812DC3"/>
    <w:rsid w:val="00813B83"/>
    <w:rsid w:val="00813CCA"/>
    <w:rsid w:val="008141D6"/>
    <w:rsid w:val="008143D7"/>
    <w:rsid w:val="0081472C"/>
    <w:rsid w:val="0081649B"/>
    <w:rsid w:val="00816B0D"/>
    <w:rsid w:val="008174BE"/>
    <w:rsid w:val="00817F26"/>
    <w:rsid w:val="00820D7A"/>
    <w:rsid w:val="00823E7D"/>
    <w:rsid w:val="00823EBD"/>
    <w:rsid w:val="008251B7"/>
    <w:rsid w:val="00825FF7"/>
    <w:rsid w:val="00827730"/>
    <w:rsid w:val="0082791C"/>
    <w:rsid w:val="00827CAD"/>
    <w:rsid w:val="008305FB"/>
    <w:rsid w:val="00832035"/>
    <w:rsid w:val="008320FC"/>
    <w:rsid w:val="00832331"/>
    <w:rsid w:val="008331F2"/>
    <w:rsid w:val="0083351D"/>
    <w:rsid w:val="008335FA"/>
    <w:rsid w:val="00834C24"/>
    <w:rsid w:val="0083579F"/>
    <w:rsid w:val="00835987"/>
    <w:rsid w:val="00835F9B"/>
    <w:rsid w:val="00836CFB"/>
    <w:rsid w:val="008376E6"/>
    <w:rsid w:val="00837C1E"/>
    <w:rsid w:val="0084134E"/>
    <w:rsid w:val="0084146D"/>
    <w:rsid w:val="00842ABC"/>
    <w:rsid w:val="00842B10"/>
    <w:rsid w:val="0084349B"/>
    <w:rsid w:val="008437A7"/>
    <w:rsid w:val="00845831"/>
    <w:rsid w:val="00845D9D"/>
    <w:rsid w:val="008467BB"/>
    <w:rsid w:val="0084701F"/>
    <w:rsid w:val="00847633"/>
    <w:rsid w:val="008530EF"/>
    <w:rsid w:val="008533F6"/>
    <w:rsid w:val="00854EF9"/>
    <w:rsid w:val="00854FCC"/>
    <w:rsid w:val="00855A99"/>
    <w:rsid w:val="00855F48"/>
    <w:rsid w:val="008563F0"/>
    <w:rsid w:val="0085687F"/>
    <w:rsid w:val="00857979"/>
    <w:rsid w:val="00857A3F"/>
    <w:rsid w:val="00860C1F"/>
    <w:rsid w:val="00860D6F"/>
    <w:rsid w:val="00865158"/>
    <w:rsid w:val="00865C2A"/>
    <w:rsid w:val="008669A9"/>
    <w:rsid w:val="00867A07"/>
    <w:rsid w:val="00873DC3"/>
    <w:rsid w:val="00874D08"/>
    <w:rsid w:val="00874F35"/>
    <w:rsid w:val="00875DF3"/>
    <w:rsid w:val="00876E8B"/>
    <w:rsid w:val="00881B02"/>
    <w:rsid w:val="008833A1"/>
    <w:rsid w:val="00884D91"/>
    <w:rsid w:val="00886515"/>
    <w:rsid w:val="008866C5"/>
    <w:rsid w:val="00886C37"/>
    <w:rsid w:val="00890082"/>
    <w:rsid w:val="00890CA6"/>
    <w:rsid w:val="00892EF3"/>
    <w:rsid w:val="008954EE"/>
    <w:rsid w:val="008961DF"/>
    <w:rsid w:val="008A0F9F"/>
    <w:rsid w:val="008A3DB1"/>
    <w:rsid w:val="008A4070"/>
    <w:rsid w:val="008A536E"/>
    <w:rsid w:val="008A638F"/>
    <w:rsid w:val="008A6970"/>
    <w:rsid w:val="008A6DC8"/>
    <w:rsid w:val="008B2208"/>
    <w:rsid w:val="008B2429"/>
    <w:rsid w:val="008B29F0"/>
    <w:rsid w:val="008B371D"/>
    <w:rsid w:val="008B3804"/>
    <w:rsid w:val="008B3D62"/>
    <w:rsid w:val="008B43F5"/>
    <w:rsid w:val="008B4DB1"/>
    <w:rsid w:val="008B5B2C"/>
    <w:rsid w:val="008B75F0"/>
    <w:rsid w:val="008C0F8C"/>
    <w:rsid w:val="008C1322"/>
    <w:rsid w:val="008C1718"/>
    <w:rsid w:val="008C3053"/>
    <w:rsid w:val="008C3112"/>
    <w:rsid w:val="008C7C25"/>
    <w:rsid w:val="008D0186"/>
    <w:rsid w:val="008D07B9"/>
    <w:rsid w:val="008D17F3"/>
    <w:rsid w:val="008D3DCA"/>
    <w:rsid w:val="008D5668"/>
    <w:rsid w:val="008D5B8E"/>
    <w:rsid w:val="008D5FA5"/>
    <w:rsid w:val="008D5FB3"/>
    <w:rsid w:val="008D63FE"/>
    <w:rsid w:val="008D6808"/>
    <w:rsid w:val="008E005D"/>
    <w:rsid w:val="008E052B"/>
    <w:rsid w:val="008E359E"/>
    <w:rsid w:val="008E3BF3"/>
    <w:rsid w:val="008E3EB1"/>
    <w:rsid w:val="008E44BE"/>
    <w:rsid w:val="008E7E8F"/>
    <w:rsid w:val="008F2039"/>
    <w:rsid w:val="008F2096"/>
    <w:rsid w:val="008F34FE"/>
    <w:rsid w:val="008F4711"/>
    <w:rsid w:val="008F4C02"/>
    <w:rsid w:val="008F781E"/>
    <w:rsid w:val="009007FE"/>
    <w:rsid w:val="00900BAD"/>
    <w:rsid w:val="009010DE"/>
    <w:rsid w:val="009013F7"/>
    <w:rsid w:val="00901C0D"/>
    <w:rsid w:val="00903745"/>
    <w:rsid w:val="00906CBD"/>
    <w:rsid w:val="009078C7"/>
    <w:rsid w:val="009102E2"/>
    <w:rsid w:val="00912927"/>
    <w:rsid w:val="009129D4"/>
    <w:rsid w:val="00912BB0"/>
    <w:rsid w:val="00915902"/>
    <w:rsid w:val="00916D1E"/>
    <w:rsid w:val="009178DC"/>
    <w:rsid w:val="00917C60"/>
    <w:rsid w:val="009202AF"/>
    <w:rsid w:val="0092044A"/>
    <w:rsid w:val="009204D5"/>
    <w:rsid w:val="00920928"/>
    <w:rsid w:val="009216CA"/>
    <w:rsid w:val="00922A59"/>
    <w:rsid w:val="00922E1D"/>
    <w:rsid w:val="00924969"/>
    <w:rsid w:val="009269D0"/>
    <w:rsid w:val="00927F7C"/>
    <w:rsid w:val="00931047"/>
    <w:rsid w:val="00931C8D"/>
    <w:rsid w:val="009331E2"/>
    <w:rsid w:val="00934206"/>
    <w:rsid w:val="00935968"/>
    <w:rsid w:val="00940225"/>
    <w:rsid w:val="00941DF2"/>
    <w:rsid w:val="00941E3E"/>
    <w:rsid w:val="00942270"/>
    <w:rsid w:val="00942C9D"/>
    <w:rsid w:val="00943CB0"/>
    <w:rsid w:val="00944DC9"/>
    <w:rsid w:val="00946930"/>
    <w:rsid w:val="00946A0B"/>
    <w:rsid w:val="00947560"/>
    <w:rsid w:val="009509FB"/>
    <w:rsid w:val="00951334"/>
    <w:rsid w:val="0095267C"/>
    <w:rsid w:val="00952839"/>
    <w:rsid w:val="0095310F"/>
    <w:rsid w:val="00954074"/>
    <w:rsid w:val="009549FF"/>
    <w:rsid w:val="00957387"/>
    <w:rsid w:val="00960A24"/>
    <w:rsid w:val="009610E8"/>
    <w:rsid w:val="00961625"/>
    <w:rsid w:val="009634E3"/>
    <w:rsid w:val="009639BC"/>
    <w:rsid w:val="009651B1"/>
    <w:rsid w:val="009657B0"/>
    <w:rsid w:val="00965867"/>
    <w:rsid w:val="00965BA5"/>
    <w:rsid w:val="00965F54"/>
    <w:rsid w:val="009663DF"/>
    <w:rsid w:val="0096767D"/>
    <w:rsid w:val="0097068D"/>
    <w:rsid w:val="00970705"/>
    <w:rsid w:val="009726C7"/>
    <w:rsid w:val="00973C4F"/>
    <w:rsid w:val="009741E4"/>
    <w:rsid w:val="00974866"/>
    <w:rsid w:val="00974BEC"/>
    <w:rsid w:val="00974E9B"/>
    <w:rsid w:val="00980405"/>
    <w:rsid w:val="009806C9"/>
    <w:rsid w:val="00980C32"/>
    <w:rsid w:val="00980C73"/>
    <w:rsid w:val="0098190F"/>
    <w:rsid w:val="00986498"/>
    <w:rsid w:val="00986503"/>
    <w:rsid w:val="00987430"/>
    <w:rsid w:val="0099045B"/>
    <w:rsid w:val="00990880"/>
    <w:rsid w:val="00991284"/>
    <w:rsid w:val="009923BE"/>
    <w:rsid w:val="00992AD4"/>
    <w:rsid w:val="009935B6"/>
    <w:rsid w:val="00994813"/>
    <w:rsid w:val="009948D0"/>
    <w:rsid w:val="0099567C"/>
    <w:rsid w:val="00996912"/>
    <w:rsid w:val="009A0ED4"/>
    <w:rsid w:val="009A3784"/>
    <w:rsid w:val="009A44E0"/>
    <w:rsid w:val="009A4739"/>
    <w:rsid w:val="009A5D9B"/>
    <w:rsid w:val="009A6121"/>
    <w:rsid w:val="009B1F09"/>
    <w:rsid w:val="009B32E0"/>
    <w:rsid w:val="009B4848"/>
    <w:rsid w:val="009B486B"/>
    <w:rsid w:val="009B5005"/>
    <w:rsid w:val="009B61E8"/>
    <w:rsid w:val="009B6DD8"/>
    <w:rsid w:val="009B769E"/>
    <w:rsid w:val="009B7A27"/>
    <w:rsid w:val="009C048B"/>
    <w:rsid w:val="009C0834"/>
    <w:rsid w:val="009C0E18"/>
    <w:rsid w:val="009C314A"/>
    <w:rsid w:val="009C391F"/>
    <w:rsid w:val="009C47FE"/>
    <w:rsid w:val="009C4B73"/>
    <w:rsid w:val="009C50DF"/>
    <w:rsid w:val="009C742D"/>
    <w:rsid w:val="009C7526"/>
    <w:rsid w:val="009C7600"/>
    <w:rsid w:val="009D1609"/>
    <w:rsid w:val="009D3380"/>
    <w:rsid w:val="009D40B2"/>
    <w:rsid w:val="009D415C"/>
    <w:rsid w:val="009D68A5"/>
    <w:rsid w:val="009E003B"/>
    <w:rsid w:val="009E055C"/>
    <w:rsid w:val="009E1896"/>
    <w:rsid w:val="009E5BDF"/>
    <w:rsid w:val="009E68AB"/>
    <w:rsid w:val="009E7057"/>
    <w:rsid w:val="009F0079"/>
    <w:rsid w:val="009F0958"/>
    <w:rsid w:val="009F13A6"/>
    <w:rsid w:val="009F20B6"/>
    <w:rsid w:val="009F2B82"/>
    <w:rsid w:val="009F2F4C"/>
    <w:rsid w:val="009F2FB2"/>
    <w:rsid w:val="009F37B5"/>
    <w:rsid w:val="009F3F83"/>
    <w:rsid w:val="009F4AA0"/>
    <w:rsid w:val="009F524B"/>
    <w:rsid w:val="009F5BB7"/>
    <w:rsid w:val="009F6559"/>
    <w:rsid w:val="009F6F2F"/>
    <w:rsid w:val="009F7CFF"/>
    <w:rsid w:val="00A0339B"/>
    <w:rsid w:val="00A04616"/>
    <w:rsid w:val="00A0471B"/>
    <w:rsid w:val="00A05FEA"/>
    <w:rsid w:val="00A07F28"/>
    <w:rsid w:val="00A07FC8"/>
    <w:rsid w:val="00A1034C"/>
    <w:rsid w:val="00A12395"/>
    <w:rsid w:val="00A138C1"/>
    <w:rsid w:val="00A13FBF"/>
    <w:rsid w:val="00A14C1E"/>
    <w:rsid w:val="00A157BC"/>
    <w:rsid w:val="00A16016"/>
    <w:rsid w:val="00A2005B"/>
    <w:rsid w:val="00A20BA4"/>
    <w:rsid w:val="00A20C6E"/>
    <w:rsid w:val="00A20CAE"/>
    <w:rsid w:val="00A20CDF"/>
    <w:rsid w:val="00A20EB8"/>
    <w:rsid w:val="00A20F66"/>
    <w:rsid w:val="00A21692"/>
    <w:rsid w:val="00A21E68"/>
    <w:rsid w:val="00A24FDD"/>
    <w:rsid w:val="00A2635F"/>
    <w:rsid w:val="00A26835"/>
    <w:rsid w:val="00A30A1B"/>
    <w:rsid w:val="00A319A1"/>
    <w:rsid w:val="00A32A23"/>
    <w:rsid w:val="00A32AFE"/>
    <w:rsid w:val="00A33F53"/>
    <w:rsid w:val="00A357B6"/>
    <w:rsid w:val="00A3674A"/>
    <w:rsid w:val="00A36A6D"/>
    <w:rsid w:val="00A37302"/>
    <w:rsid w:val="00A41340"/>
    <w:rsid w:val="00A426E2"/>
    <w:rsid w:val="00A4455B"/>
    <w:rsid w:val="00A4619D"/>
    <w:rsid w:val="00A46300"/>
    <w:rsid w:val="00A47767"/>
    <w:rsid w:val="00A4797D"/>
    <w:rsid w:val="00A47D45"/>
    <w:rsid w:val="00A47E33"/>
    <w:rsid w:val="00A5007A"/>
    <w:rsid w:val="00A507C1"/>
    <w:rsid w:val="00A50B12"/>
    <w:rsid w:val="00A51F84"/>
    <w:rsid w:val="00A51F87"/>
    <w:rsid w:val="00A52700"/>
    <w:rsid w:val="00A528EC"/>
    <w:rsid w:val="00A53BFA"/>
    <w:rsid w:val="00A53D83"/>
    <w:rsid w:val="00A54021"/>
    <w:rsid w:val="00A543C9"/>
    <w:rsid w:val="00A55B0A"/>
    <w:rsid w:val="00A566C9"/>
    <w:rsid w:val="00A567D8"/>
    <w:rsid w:val="00A60500"/>
    <w:rsid w:val="00A613DD"/>
    <w:rsid w:val="00A632DF"/>
    <w:rsid w:val="00A63C6F"/>
    <w:rsid w:val="00A64BA8"/>
    <w:rsid w:val="00A6611F"/>
    <w:rsid w:val="00A6634F"/>
    <w:rsid w:val="00A70348"/>
    <w:rsid w:val="00A70DB1"/>
    <w:rsid w:val="00A70F4A"/>
    <w:rsid w:val="00A72D0F"/>
    <w:rsid w:val="00A736CB"/>
    <w:rsid w:val="00A73D29"/>
    <w:rsid w:val="00A745D0"/>
    <w:rsid w:val="00A77178"/>
    <w:rsid w:val="00A773BF"/>
    <w:rsid w:val="00A81B90"/>
    <w:rsid w:val="00A82095"/>
    <w:rsid w:val="00A83409"/>
    <w:rsid w:val="00A842B6"/>
    <w:rsid w:val="00A851FA"/>
    <w:rsid w:val="00A85903"/>
    <w:rsid w:val="00A85A0A"/>
    <w:rsid w:val="00A85CDF"/>
    <w:rsid w:val="00A87822"/>
    <w:rsid w:val="00A90E6F"/>
    <w:rsid w:val="00A91DAA"/>
    <w:rsid w:val="00A92463"/>
    <w:rsid w:val="00A926E9"/>
    <w:rsid w:val="00A93DBC"/>
    <w:rsid w:val="00A951E2"/>
    <w:rsid w:val="00A953DB"/>
    <w:rsid w:val="00A95F68"/>
    <w:rsid w:val="00A97525"/>
    <w:rsid w:val="00AA1674"/>
    <w:rsid w:val="00AA204B"/>
    <w:rsid w:val="00AA25CF"/>
    <w:rsid w:val="00AA39FD"/>
    <w:rsid w:val="00AA6971"/>
    <w:rsid w:val="00AA6A4D"/>
    <w:rsid w:val="00AA7829"/>
    <w:rsid w:val="00AA795A"/>
    <w:rsid w:val="00AB00BE"/>
    <w:rsid w:val="00AB16A9"/>
    <w:rsid w:val="00AB2EE0"/>
    <w:rsid w:val="00AB4630"/>
    <w:rsid w:val="00AC075B"/>
    <w:rsid w:val="00AC1498"/>
    <w:rsid w:val="00AC1745"/>
    <w:rsid w:val="00AC18EE"/>
    <w:rsid w:val="00AC210B"/>
    <w:rsid w:val="00AC256F"/>
    <w:rsid w:val="00AC2EC4"/>
    <w:rsid w:val="00AC3962"/>
    <w:rsid w:val="00AC541D"/>
    <w:rsid w:val="00AC554C"/>
    <w:rsid w:val="00AC595D"/>
    <w:rsid w:val="00AC6204"/>
    <w:rsid w:val="00AD1096"/>
    <w:rsid w:val="00AD1B63"/>
    <w:rsid w:val="00AD1F90"/>
    <w:rsid w:val="00AD20B0"/>
    <w:rsid w:val="00AD3892"/>
    <w:rsid w:val="00AD41E6"/>
    <w:rsid w:val="00AD5165"/>
    <w:rsid w:val="00AD5438"/>
    <w:rsid w:val="00AD5915"/>
    <w:rsid w:val="00AD7CD7"/>
    <w:rsid w:val="00AE1609"/>
    <w:rsid w:val="00AE1BAB"/>
    <w:rsid w:val="00AE1C1D"/>
    <w:rsid w:val="00AE2FED"/>
    <w:rsid w:val="00AE5E9B"/>
    <w:rsid w:val="00AE6067"/>
    <w:rsid w:val="00AE60B1"/>
    <w:rsid w:val="00AE6442"/>
    <w:rsid w:val="00AE6F5B"/>
    <w:rsid w:val="00AF19B3"/>
    <w:rsid w:val="00AF39BD"/>
    <w:rsid w:val="00AF5049"/>
    <w:rsid w:val="00AF5704"/>
    <w:rsid w:val="00AF5CC0"/>
    <w:rsid w:val="00AF728C"/>
    <w:rsid w:val="00AF7991"/>
    <w:rsid w:val="00B008C9"/>
    <w:rsid w:val="00B01B1B"/>
    <w:rsid w:val="00B02428"/>
    <w:rsid w:val="00B03BFA"/>
    <w:rsid w:val="00B06009"/>
    <w:rsid w:val="00B0641B"/>
    <w:rsid w:val="00B06422"/>
    <w:rsid w:val="00B07027"/>
    <w:rsid w:val="00B072F6"/>
    <w:rsid w:val="00B10E35"/>
    <w:rsid w:val="00B122EA"/>
    <w:rsid w:val="00B13D77"/>
    <w:rsid w:val="00B20BD4"/>
    <w:rsid w:val="00B21D2B"/>
    <w:rsid w:val="00B23AB8"/>
    <w:rsid w:val="00B248B4"/>
    <w:rsid w:val="00B26268"/>
    <w:rsid w:val="00B267F1"/>
    <w:rsid w:val="00B27CD9"/>
    <w:rsid w:val="00B27D51"/>
    <w:rsid w:val="00B30576"/>
    <w:rsid w:val="00B31628"/>
    <w:rsid w:val="00B33512"/>
    <w:rsid w:val="00B35702"/>
    <w:rsid w:val="00B360CC"/>
    <w:rsid w:val="00B36143"/>
    <w:rsid w:val="00B36279"/>
    <w:rsid w:val="00B37897"/>
    <w:rsid w:val="00B37B00"/>
    <w:rsid w:val="00B41781"/>
    <w:rsid w:val="00B4231A"/>
    <w:rsid w:val="00B425A4"/>
    <w:rsid w:val="00B42668"/>
    <w:rsid w:val="00B43905"/>
    <w:rsid w:val="00B43B59"/>
    <w:rsid w:val="00B44674"/>
    <w:rsid w:val="00B45CCA"/>
    <w:rsid w:val="00B4705B"/>
    <w:rsid w:val="00B47476"/>
    <w:rsid w:val="00B50D49"/>
    <w:rsid w:val="00B512DF"/>
    <w:rsid w:val="00B518AC"/>
    <w:rsid w:val="00B52C9B"/>
    <w:rsid w:val="00B52FE8"/>
    <w:rsid w:val="00B5498B"/>
    <w:rsid w:val="00B54D2A"/>
    <w:rsid w:val="00B5553B"/>
    <w:rsid w:val="00B570BC"/>
    <w:rsid w:val="00B57565"/>
    <w:rsid w:val="00B61419"/>
    <w:rsid w:val="00B618B0"/>
    <w:rsid w:val="00B62039"/>
    <w:rsid w:val="00B630C2"/>
    <w:rsid w:val="00B634B1"/>
    <w:rsid w:val="00B6723E"/>
    <w:rsid w:val="00B675C2"/>
    <w:rsid w:val="00B706E8"/>
    <w:rsid w:val="00B714A2"/>
    <w:rsid w:val="00B72238"/>
    <w:rsid w:val="00B7232F"/>
    <w:rsid w:val="00B729F8"/>
    <w:rsid w:val="00B73FA8"/>
    <w:rsid w:val="00B74321"/>
    <w:rsid w:val="00B748FF"/>
    <w:rsid w:val="00B75818"/>
    <w:rsid w:val="00B75BBC"/>
    <w:rsid w:val="00B76988"/>
    <w:rsid w:val="00B80398"/>
    <w:rsid w:val="00B81568"/>
    <w:rsid w:val="00B81CFD"/>
    <w:rsid w:val="00B827C9"/>
    <w:rsid w:val="00B84225"/>
    <w:rsid w:val="00B86CCC"/>
    <w:rsid w:val="00B87B76"/>
    <w:rsid w:val="00B87D41"/>
    <w:rsid w:val="00B91489"/>
    <w:rsid w:val="00B915BB"/>
    <w:rsid w:val="00B9219A"/>
    <w:rsid w:val="00B92382"/>
    <w:rsid w:val="00B9295B"/>
    <w:rsid w:val="00B92B00"/>
    <w:rsid w:val="00B92E6C"/>
    <w:rsid w:val="00B93575"/>
    <w:rsid w:val="00B9428A"/>
    <w:rsid w:val="00B95A67"/>
    <w:rsid w:val="00B9745E"/>
    <w:rsid w:val="00B97E6D"/>
    <w:rsid w:val="00BA0125"/>
    <w:rsid w:val="00BA067F"/>
    <w:rsid w:val="00BA17EA"/>
    <w:rsid w:val="00BA216D"/>
    <w:rsid w:val="00BA21AE"/>
    <w:rsid w:val="00BA5A3E"/>
    <w:rsid w:val="00BB10CF"/>
    <w:rsid w:val="00BB4E2C"/>
    <w:rsid w:val="00BB5A3D"/>
    <w:rsid w:val="00BB6821"/>
    <w:rsid w:val="00BB788B"/>
    <w:rsid w:val="00BB7AC2"/>
    <w:rsid w:val="00BB7C3D"/>
    <w:rsid w:val="00BC1A17"/>
    <w:rsid w:val="00BC1FE1"/>
    <w:rsid w:val="00BC28CF"/>
    <w:rsid w:val="00BC438E"/>
    <w:rsid w:val="00BC441F"/>
    <w:rsid w:val="00BC4869"/>
    <w:rsid w:val="00BC6AB4"/>
    <w:rsid w:val="00BC7941"/>
    <w:rsid w:val="00BD1322"/>
    <w:rsid w:val="00BD33E7"/>
    <w:rsid w:val="00BD3BAA"/>
    <w:rsid w:val="00BD53E7"/>
    <w:rsid w:val="00BD5E05"/>
    <w:rsid w:val="00BD78F8"/>
    <w:rsid w:val="00BD7A41"/>
    <w:rsid w:val="00BD7B85"/>
    <w:rsid w:val="00BE04D8"/>
    <w:rsid w:val="00BE064A"/>
    <w:rsid w:val="00BE0A58"/>
    <w:rsid w:val="00BE1258"/>
    <w:rsid w:val="00BE2026"/>
    <w:rsid w:val="00BE3B64"/>
    <w:rsid w:val="00BE492C"/>
    <w:rsid w:val="00BE4A58"/>
    <w:rsid w:val="00BE4CBD"/>
    <w:rsid w:val="00BE563B"/>
    <w:rsid w:val="00BE61B6"/>
    <w:rsid w:val="00BE7CF0"/>
    <w:rsid w:val="00BF0AC1"/>
    <w:rsid w:val="00BF0CDE"/>
    <w:rsid w:val="00BF152F"/>
    <w:rsid w:val="00BF6FC5"/>
    <w:rsid w:val="00BF746C"/>
    <w:rsid w:val="00C0109A"/>
    <w:rsid w:val="00C01C64"/>
    <w:rsid w:val="00C0200C"/>
    <w:rsid w:val="00C02328"/>
    <w:rsid w:val="00C04BC0"/>
    <w:rsid w:val="00C058B9"/>
    <w:rsid w:val="00C076E7"/>
    <w:rsid w:val="00C07B36"/>
    <w:rsid w:val="00C10E5A"/>
    <w:rsid w:val="00C11BB0"/>
    <w:rsid w:val="00C11BF1"/>
    <w:rsid w:val="00C1271E"/>
    <w:rsid w:val="00C13062"/>
    <w:rsid w:val="00C14165"/>
    <w:rsid w:val="00C1533D"/>
    <w:rsid w:val="00C16B22"/>
    <w:rsid w:val="00C1705D"/>
    <w:rsid w:val="00C17865"/>
    <w:rsid w:val="00C17BE8"/>
    <w:rsid w:val="00C201A5"/>
    <w:rsid w:val="00C230BC"/>
    <w:rsid w:val="00C238BC"/>
    <w:rsid w:val="00C24E14"/>
    <w:rsid w:val="00C24EA3"/>
    <w:rsid w:val="00C250CD"/>
    <w:rsid w:val="00C26C76"/>
    <w:rsid w:val="00C26F00"/>
    <w:rsid w:val="00C27091"/>
    <w:rsid w:val="00C277E7"/>
    <w:rsid w:val="00C31340"/>
    <w:rsid w:val="00C31372"/>
    <w:rsid w:val="00C32132"/>
    <w:rsid w:val="00C32242"/>
    <w:rsid w:val="00C3271A"/>
    <w:rsid w:val="00C329D6"/>
    <w:rsid w:val="00C329F2"/>
    <w:rsid w:val="00C33102"/>
    <w:rsid w:val="00C353AB"/>
    <w:rsid w:val="00C36552"/>
    <w:rsid w:val="00C36573"/>
    <w:rsid w:val="00C37A39"/>
    <w:rsid w:val="00C401EE"/>
    <w:rsid w:val="00C40741"/>
    <w:rsid w:val="00C40E9F"/>
    <w:rsid w:val="00C414AF"/>
    <w:rsid w:val="00C45D86"/>
    <w:rsid w:val="00C46430"/>
    <w:rsid w:val="00C4769D"/>
    <w:rsid w:val="00C47BE6"/>
    <w:rsid w:val="00C502CF"/>
    <w:rsid w:val="00C519AB"/>
    <w:rsid w:val="00C51A77"/>
    <w:rsid w:val="00C52161"/>
    <w:rsid w:val="00C524D4"/>
    <w:rsid w:val="00C5337F"/>
    <w:rsid w:val="00C53ADE"/>
    <w:rsid w:val="00C55DF3"/>
    <w:rsid w:val="00C56024"/>
    <w:rsid w:val="00C56314"/>
    <w:rsid w:val="00C56419"/>
    <w:rsid w:val="00C57A2A"/>
    <w:rsid w:val="00C60D6D"/>
    <w:rsid w:val="00C60D71"/>
    <w:rsid w:val="00C617CA"/>
    <w:rsid w:val="00C63AF9"/>
    <w:rsid w:val="00C64FC6"/>
    <w:rsid w:val="00C658D8"/>
    <w:rsid w:val="00C6751D"/>
    <w:rsid w:val="00C6793D"/>
    <w:rsid w:val="00C679A3"/>
    <w:rsid w:val="00C67C0C"/>
    <w:rsid w:val="00C70FED"/>
    <w:rsid w:val="00C71511"/>
    <w:rsid w:val="00C725A6"/>
    <w:rsid w:val="00C727D3"/>
    <w:rsid w:val="00C73689"/>
    <w:rsid w:val="00C75F4A"/>
    <w:rsid w:val="00C8025A"/>
    <w:rsid w:val="00C80A41"/>
    <w:rsid w:val="00C81770"/>
    <w:rsid w:val="00C81DD8"/>
    <w:rsid w:val="00C82050"/>
    <w:rsid w:val="00C8341F"/>
    <w:rsid w:val="00C83C8F"/>
    <w:rsid w:val="00C847A2"/>
    <w:rsid w:val="00C852CE"/>
    <w:rsid w:val="00C8544E"/>
    <w:rsid w:val="00C87104"/>
    <w:rsid w:val="00C8795B"/>
    <w:rsid w:val="00C903B9"/>
    <w:rsid w:val="00C90A63"/>
    <w:rsid w:val="00C9145B"/>
    <w:rsid w:val="00C923E8"/>
    <w:rsid w:val="00C944D5"/>
    <w:rsid w:val="00C946B4"/>
    <w:rsid w:val="00C95668"/>
    <w:rsid w:val="00C970DF"/>
    <w:rsid w:val="00C97173"/>
    <w:rsid w:val="00CA0286"/>
    <w:rsid w:val="00CA1316"/>
    <w:rsid w:val="00CA16CB"/>
    <w:rsid w:val="00CA1D18"/>
    <w:rsid w:val="00CA24DB"/>
    <w:rsid w:val="00CA35A1"/>
    <w:rsid w:val="00CA3734"/>
    <w:rsid w:val="00CA4452"/>
    <w:rsid w:val="00CA5AD1"/>
    <w:rsid w:val="00CA5E44"/>
    <w:rsid w:val="00CA60A0"/>
    <w:rsid w:val="00CB0944"/>
    <w:rsid w:val="00CB5EC7"/>
    <w:rsid w:val="00CB5F26"/>
    <w:rsid w:val="00CC23FF"/>
    <w:rsid w:val="00CC28FD"/>
    <w:rsid w:val="00CC567A"/>
    <w:rsid w:val="00CC5EA9"/>
    <w:rsid w:val="00CC7F1E"/>
    <w:rsid w:val="00CD25A7"/>
    <w:rsid w:val="00CD3E2B"/>
    <w:rsid w:val="00CD420E"/>
    <w:rsid w:val="00CD707D"/>
    <w:rsid w:val="00CE033D"/>
    <w:rsid w:val="00CE1499"/>
    <w:rsid w:val="00CE1DF4"/>
    <w:rsid w:val="00CE1E1D"/>
    <w:rsid w:val="00CE32B1"/>
    <w:rsid w:val="00CE3ED4"/>
    <w:rsid w:val="00CE5597"/>
    <w:rsid w:val="00CE5ECD"/>
    <w:rsid w:val="00CE7E26"/>
    <w:rsid w:val="00CF0B64"/>
    <w:rsid w:val="00CF0DE6"/>
    <w:rsid w:val="00CF12DB"/>
    <w:rsid w:val="00CF1E3C"/>
    <w:rsid w:val="00CF22DD"/>
    <w:rsid w:val="00CF3ECC"/>
    <w:rsid w:val="00CF3F73"/>
    <w:rsid w:val="00CF4415"/>
    <w:rsid w:val="00CF4B11"/>
    <w:rsid w:val="00CF7EA3"/>
    <w:rsid w:val="00D009C6"/>
    <w:rsid w:val="00D00BD8"/>
    <w:rsid w:val="00D00FFA"/>
    <w:rsid w:val="00D01966"/>
    <w:rsid w:val="00D02918"/>
    <w:rsid w:val="00D0412A"/>
    <w:rsid w:val="00D06187"/>
    <w:rsid w:val="00D07C79"/>
    <w:rsid w:val="00D10467"/>
    <w:rsid w:val="00D1117B"/>
    <w:rsid w:val="00D116F6"/>
    <w:rsid w:val="00D15E40"/>
    <w:rsid w:val="00D1610F"/>
    <w:rsid w:val="00D21DAB"/>
    <w:rsid w:val="00D22E12"/>
    <w:rsid w:val="00D22E61"/>
    <w:rsid w:val="00D23730"/>
    <w:rsid w:val="00D23CCA"/>
    <w:rsid w:val="00D24B01"/>
    <w:rsid w:val="00D25EF1"/>
    <w:rsid w:val="00D263A8"/>
    <w:rsid w:val="00D26970"/>
    <w:rsid w:val="00D269CE"/>
    <w:rsid w:val="00D30ED9"/>
    <w:rsid w:val="00D33159"/>
    <w:rsid w:val="00D33DB7"/>
    <w:rsid w:val="00D34774"/>
    <w:rsid w:val="00D34C94"/>
    <w:rsid w:val="00D35277"/>
    <w:rsid w:val="00D358C3"/>
    <w:rsid w:val="00D3638B"/>
    <w:rsid w:val="00D36761"/>
    <w:rsid w:val="00D37664"/>
    <w:rsid w:val="00D379F6"/>
    <w:rsid w:val="00D41123"/>
    <w:rsid w:val="00D41662"/>
    <w:rsid w:val="00D41A8A"/>
    <w:rsid w:val="00D428A9"/>
    <w:rsid w:val="00D428C3"/>
    <w:rsid w:val="00D4327D"/>
    <w:rsid w:val="00D43B9A"/>
    <w:rsid w:val="00D465EC"/>
    <w:rsid w:val="00D47E1D"/>
    <w:rsid w:val="00D506F7"/>
    <w:rsid w:val="00D5161E"/>
    <w:rsid w:val="00D548DC"/>
    <w:rsid w:val="00D55ADD"/>
    <w:rsid w:val="00D55C0E"/>
    <w:rsid w:val="00D565BA"/>
    <w:rsid w:val="00D57939"/>
    <w:rsid w:val="00D63FAF"/>
    <w:rsid w:val="00D6554B"/>
    <w:rsid w:val="00D6598B"/>
    <w:rsid w:val="00D65E65"/>
    <w:rsid w:val="00D66162"/>
    <w:rsid w:val="00D66192"/>
    <w:rsid w:val="00D66CF1"/>
    <w:rsid w:val="00D72F6D"/>
    <w:rsid w:val="00D7334C"/>
    <w:rsid w:val="00D734C1"/>
    <w:rsid w:val="00D751ED"/>
    <w:rsid w:val="00D752EC"/>
    <w:rsid w:val="00D7534F"/>
    <w:rsid w:val="00D7535D"/>
    <w:rsid w:val="00D75E17"/>
    <w:rsid w:val="00D7706E"/>
    <w:rsid w:val="00D77D81"/>
    <w:rsid w:val="00D80251"/>
    <w:rsid w:val="00D8034E"/>
    <w:rsid w:val="00D80FCC"/>
    <w:rsid w:val="00D816C7"/>
    <w:rsid w:val="00D828CF"/>
    <w:rsid w:val="00D828DF"/>
    <w:rsid w:val="00D829CE"/>
    <w:rsid w:val="00D84871"/>
    <w:rsid w:val="00D84C9D"/>
    <w:rsid w:val="00D8537B"/>
    <w:rsid w:val="00D85AAB"/>
    <w:rsid w:val="00D85AB5"/>
    <w:rsid w:val="00D860BE"/>
    <w:rsid w:val="00D86FEC"/>
    <w:rsid w:val="00D871B9"/>
    <w:rsid w:val="00D872BD"/>
    <w:rsid w:val="00D90BD0"/>
    <w:rsid w:val="00D93061"/>
    <w:rsid w:val="00D93CCB"/>
    <w:rsid w:val="00D94A5A"/>
    <w:rsid w:val="00D94AF7"/>
    <w:rsid w:val="00D95656"/>
    <w:rsid w:val="00D95A4C"/>
    <w:rsid w:val="00DA0EF8"/>
    <w:rsid w:val="00DA1AAD"/>
    <w:rsid w:val="00DA1BF0"/>
    <w:rsid w:val="00DA38E6"/>
    <w:rsid w:val="00DA44BC"/>
    <w:rsid w:val="00DA50C1"/>
    <w:rsid w:val="00DA62AB"/>
    <w:rsid w:val="00DA6506"/>
    <w:rsid w:val="00DA6DF6"/>
    <w:rsid w:val="00DA784E"/>
    <w:rsid w:val="00DB0212"/>
    <w:rsid w:val="00DB0CED"/>
    <w:rsid w:val="00DB11FF"/>
    <w:rsid w:val="00DB2EF8"/>
    <w:rsid w:val="00DB3BF6"/>
    <w:rsid w:val="00DB3ED0"/>
    <w:rsid w:val="00DB576F"/>
    <w:rsid w:val="00DB5B03"/>
    <w:rsid w:val="00DB5BD8"/>
    <w:rsid w:val="00DB6037"/>
    <w:rsid w:val="00DC245C"/>
    <w:rsid w:val="00DC2E7C"/>
    <w:rsid w:val="00DC3042"/>
    <w:rsid w:val="00DC3459"/>
    <w:rsid w:val="00DC3F9D"/>
    <w:rsid w:val="00DC4AB3"/>
    <w:rsid w:val="00DC58BA"/>
    <w:rsid w:val="00DC5CD7"/>
    <w:rsid w:val="00DD088F"/>
    <w:rsid w:val="00DD1266"/>
    <w:rsid w:val="00DD1393"/>
    <w:rsid w:val="00DD1406"/>
    <w:rsid w:val="00DD1958"/>
    <w:rsid w:val="00DD1BA8"/>
    <w:rsid w:val="00DD1F36"/>
    <w:rsid w:val="00DD2DBB"/>
    <w:rsid w:val="00DD3593"/>
    <w:rsid w:val="00DD3A56"/>
    <w:rsid w:val="00DD51BE"/>
    <w:rsid w:val="00DD5ECA"/>
    <w:rsid w:val="00DD7292"/>
    <w:rsid w:val="00DE14DB"/>
    <w:rsid w:val="00DE34BF"/>
    <w:rsid w:val="00DE37FE"/>
    <w:rsid w:val="00DE437F"/>
    <w:rsid w:val="00DE4580"/>
    <w:rsid w:val="00DE4BD0"/>
    <w:rsid w:val="00DE4C3A"/>
    <w:rsid w:val="00DE51A7"/>
    <w:rsid w:val="00DE5A4C"/>
    <w:rsid w:val="00DE7023"/>
    <w:rsid w:val="00DE76B4"/>
    <w:rsid w:val="00DF1FCF"/>
    <w:rsid w:val="00DF2CF8"/>
    <w:rsid w:val="00DF420C"/>
    <w:rsid w:val="00DF75DA"/>
    <w:rsid w:val="00E009C1"/>
    <w:rsid w:val="00E012C0"/>
    <w:rsid w:val="00E0274C"/>
    <w:rsid w:val="00E02D08"/>
    <w:rsid w:val="00E03343"/>
    <w:rsid w:val="00E036DD"/>
    <w:rsid w:val="00E03CE5"/>
    <w:rsid w:val="00E03D7B"/>
    <w:rsid w:val="00E055F9"/>
    <w:rsid w:val="00E0571A"/>
    <w:rsid w:val="00E079CE"/>
    <w:rsid w:val="00E130E5"/>
    <w:rsid w:val="00E131A9"/>
    <w:rsid w:val="00E132D9"/>
    <w:rsid w:val="00E13655"/>
    <w:rsid w:val="00E13692"/>
    <w:rsid w:val="00E145CA"/>
    <w:rsid w:val="00E15004"/>
    <w:rsid w:val="00E16555"/>
    <w:rsid w:val="00E16A91"/>
    <w:rsid w:val="00E1778F"/>
    <w:rsid w:val="00E17E03"/>
    <w:rsid w:val="00E17EE9"/>
    <w:rsid w:val="00E21206"/>
    <w:rsid w:val="00E21286"/>
    <w:rsid w:val="00E21818"/>
    <w:rsid w:val="00E22CF7"/>
    <w:rsid w:val="00E2318F"/>
    <w:rsid w:val="00E23734"/>
    <w:rsid w:val="00E23B29"/>
    <w:rsid w:val="00E25B39"/>
    <w:rsid w:val="00E25F44"/>
    <w:rsid w:val="00E262FC"/>
    <w:rsid w:val="00E27060"/>
    <w:rsid w:val="00E3020A"/>
    <w:rsid w:val="00E30D44"/>
    <w:rsid w:val="00E31F8C"/>
    <w:rsid w:val="00E33CD7"/>
    <w:rsid w:val="00E36DE5"/>
    <w:rsid w:val="00E37818"/>
    <w:rsid w:val="00E40807"/>
    <w:rsid w:val="00E414AA"/>
    <w:rsid w:val="00E42220"/>
    <w:rsid w:val="00E42A8E"/>
    <w:rsid w:val="00E437C6"/>
    <w:rsid w:val="00E44056"/>
    <w:rsid w:val="00E466A3"/>
    <w:rsid w:val="00E47EE0"/>
    <w:rsid w:val="00E500AF"/>
    <w:rsid w:val="00E503F4"/>
    <w:rsid w:val="00E50429"/>
    <w:rsid w:val="00E50B05"/>
    <w:rsid w:val="00E513D5"/>
    <w:rsid w:val="00E514A7"/>
    <w:rsid w:val="00E5266B"/>
    <w:rsid w:val="00E530E8"/>
    <w:rsid w:val="00E535E5"/>
    <w:rsid w:val="00E53D85"/>
    <w:rsid w:val="00E547BC"/>
    <w:rsid w:val="00E5511D"/>
    <w:rsid w:val="00E55D49"/>
    <w:rsid w:val="00E5699B"/>
    <w:rsid w:val="00E63633"/>
    <w:rsid w:val="00E648A5"/>
    <w:rsid w:val="00E657FA"/>
    <w:rsid w:val="00E67C1D"/>
    <w:rsid w:val="00E70868"/>
    <w:rsid w:val="00E70FCD"/>
    <w:rsid w:val="00E721E5"/>
    <w:rsid w:val="00E724D0"/>
    <w:rsid w:val="00E73CD6"/>
    <w:rsid w:val="00E73FA2"/>
    <w:rsid w:val="00E74E42"/>
    <w:rsid w:val="00E7637E"/>
    <w:rsid w:val="00E801BA"/>
    <w:rsid w:val="00E81126"/>
    <w:rsid w:val="00E814B8"/>
    <w:rsid w:val="00E81FB6"/>
    <w:rsid w:val="00E8314B"/>
    <w:rsid w:val="00E8419E"/>
    <w:rsid w:val="00E84896"/>
    <w:rsid w:val="00E853E0"/>
    <w:rsid w:val="00E85C68"/>
    <w:rsid w:val="00E86369"/>
    <w:rsid w:val="00E86606"/>
    <w:rsid w:val="00E869ED"/>
    <w:rsid w:val="00E86EAE"/>
    <w:rsid w:val="00E93315"/>
    <w:rsid w:val="00E9452B"/>
    <w:rsid w:val="00E94586"/>
    <w:rsid w:val="00E94811"/>
    <w:rsid w:val="00E94F1C"/>
    <w:rsid w:val="00E956C4"/>
    <w:rsid w:val="00E960C1"/>
    <w:rsid w:val="00E9758C"/>
    <w:rsid w:val="00EA188F"/>
    <w:rsid w:val="00EA3B89"/>
    <w:rsid w:val="00EA4564"/>
    <w:rsid w:val="00EA56B7"/>
    <w:rsid w:val="00EA5F91"/>
    <w:rsid w:val="00EA76E8"/>
    <w:rsid w:val="00EA7D5F"/>
    <w:rsid w:val="00EA7EE2"/>
    <w:rsid w:val="00EB2741"/>
    <w:rsid w:val="00EB2828"/>
    <w:rsid w:val="00EB3A0C"/>
    <w:rsid w:val="00EB4366"/>
    <w:rsid w:val="00EB48A5"/>
    <w:rsid w:val="00EB5DCA"/>
    <w:rsid w:val="00EB7AD1"/>
    <w:rsid w:val="00EC0065"/>
    <w:rsid w:val="00EC0FDB"/>
    <w:rsid w:val="00EC15E1"/>
    <w:rsid w:val="00EC1BE7"/>
    <w:rsid w:val="00EC21D3"/>
    <w:rsid w:val="00EC2D06"/>
    <w:rsid w:val="00EC31EF"/>
    <w:rsid w:val="00EC43CC"/>
    <w:rsid w:val="00EC4692"/>
    <w:rsid w:val="00EC640C"/>
    <w:rsid w:val="00EC74A8"/>
    <w:rsid w:val="00ED15EE"/>
    <w:rsid w:val="00ED2495"/>
    <w:rsid w:val="00ED26C8"/>
    <w:rsid w:val="00ED2A50"/>
    <w:rsid w:val="00ED3187"/>
    <w:rsid w:val="00ED4420"/>
    <w:rsid w:val="00ED56FE"/>
    <w:rsid w:val="00ED6C15"/>
    <w:rsid w:val="00EE1224"/>
    <w:rsid w:val="00EE135B"/>
    <w:rsid w:val="00EE16BE"/>
    <w:rsid w:val="00EE354A"/>
    <w:rsid w:val="00EE4702"/>
    <w:rsid w:val="00EE5507"/>
    <w:rsid w:val="00EE59F3"/>
    <w:rsid w:val="00EE7823"/>
    <w:rsid w:val="00EF0366"/>
    <w:rsid w:val="00EF03D1"/>
    <w:rsid w:val="00EF0EF3"/>
    <w:rsid w:val="00EF1778"/>
    <w:rsid w:val="00EF1DCB"/>
    <w:rsid w:val="00EF29CF"/>
    <w:rsid w:val="00EF4B66"/>
    <w:rsid w:val="00EF4C79"/>
    <w:rsid w:val="00EF664A"/>
    <w:rsid w:val="00EF7E21"/>
    <w:rsid w:val="00F0026C"/>
    <w:rsid w:val="00F0229B"/>
    <w:rsid w:val="00F02CAE"/>
    <w:rsid w:val="00F033AD"/>
    <w:rsid w:val="00F037BC"/>
    <w:rsid w:val="00F03992"/>
    <w:rsid w:val="00F03B1E"/>
    <w:rsid w:val="00F04242"/>
    <w:rsid w:val="00F0675E"/>
    <w:rsid w:val="00F07D95"/>
    <w:rsid w:val="00F1053C"/>
    <w:rsid w:val="00F13577"/>
    <w:rsid w:val="00F14F2B"/>
    <w:rsid w:val="00F14FC9"/>
    <w:rsid w:val="00F153EF"/>
    <w:rsid w:val="00F155A8"/>
    <w:rsid w:val="00F15630"/>
    <w:rsid w:val="00F157CE"/>
    <w:rsid w:val="00F16762"/>
    <w:rsid w:val="00F20C86"/>
    <w:rsid w:val="00F21EB5"/>
    <w:rsid w:val="00F23168"/>
    <w:rsid w:val="00F233C7"/>
    <w:rsid w:val="00F23652"/>
    <w:rsid w:val="00F24CB2"/>
    <w:rsid w:val="00F26BDC"/>
    <w:rsid w:val="00F27E34"/>
    <w:rsid w:val="00F301C1"/>
    <w:rsid w:val="00F3118E"/>
    <w:rsid w:val="00F34183"/>
    <w:rsid w:val="00F346B3"/>
    <w:rsid w:val="00F3537E"/>
    <w:rsid w:val="00F36825"/>
    <w:rsid w:val="00F36BD3"/>
    <w:rsid w:val="00F36DA7"/>
    <w:rsid w:val="00F37062"/>
    <w:rsid w:val="00F379CB"/>
    <w:rsid w:val="00F37CF5"/>
    <w:rsid w:val="00F40322"/>
    <w:rsid w:val="00F4050A"/>
    <w:rsid w:val="00F4090C"/>
    <w:rsid w:val="00F41105"/>
    <w:rsid w:val="00F432DF"/>
    <w:rsid w:val="00F43DCF"/>
    <w:rsid w:val="00F447CD"/>
    <w:rsid w:val="00F44B00"/>
    <w:rsid w:val="00F45891"/>
    <w:rsid w:val="00F47721"/>
    <w:rsid w:val="00F50370"/>
    <w:rsid w:val="00F50BB7"/>
    <w:rsid w:val="00F50C32"/>
    <w:rsid w:val="00F516EA"/>
    <w:rsid w:val="00F528E2"/>
    <w:rsid w:val="00F5309F"/>
    <w:rsid w:val="00F5373F"/>
    <w:rsid w:val="00F558C5"/>
    <w:rsid w:val="00F55995"/>
    <w:rsid w:val="00F5776C"/>
    <w:rsid w:val="00F603F4"/>
    <w:rsid w:val="00F60DF8"/>
    <w:rsid w:val="00F61082"/>
    <w:rsid w:val="00F615FD"/>
    <w:rsid w:val="00F62462"/>
    <w:rsid w:val="00F62880"/>
    <w:rsid w:val="00F63D87"/>
    <w:rsid w:val="00F641D1"/>
    <w:rsid w:val="00F646F7"/>
    <w:rsid w:val="00F6486B"/>
    <w:rsid w:val="00F65694"/>
    <w:rsid w:val="00F660AA"/>
    <w:rsid w:val="00F6667C"/>
    <w:rsid w:val="00F66AC3"/>
    <w:rsid w:val="00F67C6F"/>
    <w:rsid w:val="00F7077A"/>
    <w:rsid w:val="00F71344"/>
    <w:rsid w:val="00F71A93"/>
    <w:rsid w:val="00F73E84"/>
    <w:rsid w:val="00F740A6"/>
    <w:rsid w:val="00F8065A"/>
    <w:rsid w:val="00F812FA"/>
    <w:rsid w:val="00F8184C"/>
    <w:rsid w:val="00F81DCF"/>
    <w:rsid w:val="00F826C3"/>
    <w:rsid w:val="00F83566"/>
    <w:rsid w:val="00F83A7A"/>
    <w:rsid w:val="00F84371"/>
    <w:rsid w:val="00F844ED"/>
    <w:rsid w:val="00F846F9"/>
    <w:rsid w:val="00F871BE"/>
    <w:rsid w:val="00F92395"/>
    <w:rsid w:val="00F94BF2"/>
    <w:rsid w:val="00F951EB"/>
    <w:rsid w:val="00F96950"/>
    <w:rsid w:val="00F96CAB"/>
    <w:rsid w:val="00F97398"/>
    <w:rsid w:val="00F97A1D"/>
    <w:rsid w:val="00FA0775"/>
    <w:rsid w:val="00FA0A7E"/>
    <w:rsid w:val="00FA190B"/>
    <w:rsid w:val="00FA50AD"/>
    <w:rsid w:val="00FA718C"/>
    <w:rsid w:val="00FA7642"/>
    <w:rsid w:val="00FB0A85"/>
    <w:rsid w:val="00FB29C1"/>
    <w:rsid w:val="00FB29E5"/>
    <w:rsid w:val="00FB395A"/>
    <w:rsid w:val="00FB3E3D"/>
    <w:rsid w:val="00FB416A"/>
    <w:rsid w:val="00FB62A1"/>
    <w:rsid w:val="00FB6F92"/>
    <w:rsid w:val="00FC007E"/>
    <w:rsid w:val="00FC046C"/>
    <w:rsid w:val="00FC0AD2"/>
    <w:rsid w:val="00FC1274"/>
    <w:rsid w:val="00FC2398"/>
    <w:rsid w:val="00FC23FD"/>
    <w:rsid w:val="00FC26F4"/>
    <w:rsid w:val="00FC39F4"/>
    <w:rsid w:val="00FC41FA"/>
    <w:rsid w:val="00FC6A43"/>
    <w:rsid w:val="00FC7DA8"/>
    <w:rsid w:val="00FD0FF6"/>
    <w:rsid w:val="00FD1D02"/>
    <w:rsid w:val="00FD1F81"/>
    <w:rsid w:val="00FD3225"/>
    <w:rsid w:val="00FD407C"/>
    <w:rsid w:val="00FD41C9"/>
    <w:rsid w:val="00FD6B52"/>
    <w:rsid w:val="00FD78AB"/>
    <w:rsid w:val="00FE0057"/>
    <w:rsid w:val="00FE0ED6"/>
    <w:rsid w:val="00FE31FD"/>
    <w:rsid w:val="00FE3BBA"/>
    <w:rsid w:val="00FE48DD"/>
    <w:rsid w:val="00FE59A8"/>
    <w:rsid w:val="00FE6583"/>
    <w:rsid w:val="00FE71FC"/>
    <w:rsid w:val="00FE773C"/>
    <w:rsid w:val="00FE7BEF"/>
    <w:rsid w:val="00FF02A8"/>
    <w:rsid w:val="00FF0BA7"/>
    <w:rsid w:val="00FF2263"/>
    <w:rsid w:val="00FF3E70"/>
    <w:rsid w:val="00FF3EC0"/>
    <w:rsid w:val="00FF5D77"/>
    <w:rsid w:val="00FF6EA7"/>
    <w:rsid w:val="00FF7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79A"/>
    <w:rPr>
      <w:color w:val="000000"/>
      <w:kern w:val="28"/>
      <w:lang w:val="el-GR"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sotitle2">
    <w:name w:val="msotitle2"/>
    <w:rsid w:val="0073379A"/>
    <w:rPr>
      <w:rFonts w:ascii="Lucida Sans Typewriter" w:hAnsi="Lucida Sans Typewriter"/>
      <w:b/>
      <w:bCs/>
      <w:color w:val="000000"/>
      <w:kern w:val="28"/>
      <w:sz w:val="56"/>
      <w:szCs w:val="56"/>
      <w:lang w:val="el-GR" w:eastAsia="el-GR"/>
    </w:rPr>
  </w:style>
  <w:style w:type="paragraph" w:styleId="2">
    <w:name w:val="Body Text 2"/>
    <w:basedOn w:val="a"/>
    <w:rsid w:val="0073379A"/>
    <w:pPr>
      <w:spacing w:line="360" w:lineRule="auto"/>
    </w:pPr>
    <w:rPr>
      <w:rFonts w:ascii="Arial" w:hAnsi="Arial" w:cs="Arial"/>
      <w:b/>
      <w:sz w:val="22"/>
    </w:rPr>
  </w:style>
  <w:style w:type="paragraph" w:customStyle="1" w:styleId="msoaccenttext5">
    <w:name w:val="msoaccenttext5"/>
    <w:rsid w:val="0073379A"/>
    <w:rPr>
      <w:rFonts w:ascii="Tw Cen MT Condensed Extra Bold" w:hAnsi="Tw Cen MT Condensed Extra Bold"/>
      <w:color w:val="00517A"/>
      <w:spacing w:val="10"/>
      <w:kern w:val="28"/>
      <w:sz w:val="16"/>
      <w:szCs w:val="16"/>
      <w:lang w:val="el-GR" w:eastAsia="el-GR"/>
    </w:rPr>
  </w:style>
  <w:style w:type="paragraph" w:styleId="a3">
    <w:name w:val="header"/>
    <w:basedOn w:val="a"/>
    <w:link w:val="Char"/>
    <w:uiPriority w:val="99"/>
    <w:rsid w:val="0073379A"/>
    <w:pPr>
      <w:tabs>
        <w:tab w:val="center" w:pos="4153"/>
        <w:tab w:val="right" w:pos="8306"/>
      </w:tabs>
    </w:pPr>
  </w:style>
  <w:style w:type="paragraph" w:styleId="a4">
    <w:name w:val="footer"/>
    <w:basedOn w:val="a"/>
    <w:link w:val="Char0"/>
    <w:uiPriority w:val="99"/>
    <w:rsid w:val="0073379A"/>
    <w:pPr>
      <w:tabs>
        <w:tab w:val="center" w:pos="4153"/>
        <w:tab w:val="right" w:pos="8306"/>
      </w:tabs>
    </w:pPr>
  </w:style>
  <w:style w:type="character" w:styleId="a5">
    <w:name w:val="page number"/>
    <w:rsid w:val="0073379A"/>
    <w:rPr>
      <w:rFonts w:cs="Times New Roman"/>
    </w:rPr>
  </w:style>
  <w:style w:type="paragraph" w:customStyle="1" w:styleId="fk">
    <w:name w:val="fk"/>
    <w:basedOn w:val="a"/>
    <w:qFormat/>
    <w:rsid w:val="0073379A"/>
    <w:pPr>
      <w:spacing w:line="480" w:lineRule="auto"/>
    </w:pPr>
    <w:rPr>
      <w:rFonts w:ascii="Tahoma" w:hAnsi="Tahoma"/>
      <w:color w:val="auto"/>
      <w:kern w:val="0"/>
      <w:sz w:val="28"/>
      <w:szCs w:val="24"/>
    </w:rPr>
  </w:style>
  <w:style w:type="paragraph" w:styleId="a6">
    <w:name w:val="footnote text"/>
    <w:basedOn w:val="a"/>
    <w:link w:val="Char1"/>
    <w:semiHidden/>
    <w:rsid w:val="0073379A"/>
  </w:style>
  <w:style w:type="character" w:styleId="a7">
    <w:name w:val="footnote reference"/>
    <w:semiHidden/>
    <w:rsid w:val="0073379A"/>
    <w:rPr>
      <w:vertAlign w:val="superscript"/>
    </w:rPr>
  </w:style>
  <w:style w:type="paragraph" w:styleId="a8">
    <w:name w:val="List Paragraph"/>
    <w:basedOn w:val="a"/>
    <w:uiPriority w:val="34"/>
    <w:qFormat/>
    <w:rsid w:val="006C710B"/>
    <w:pPr>
      <w:ind w:left="720"/>
    </w:pPr>
  </w:style>
  <w:style w:type="character" w:customStyle="1" w:styleId="Char1">
    <w:name w:val="Κείμενο υποσημείωσης Char"/>
    <w:link w:val="a6"/>
    <w:semiHidden/>
    <w:rsid w:val="006C710B"/>
    <w:rPr>
      <w:color w:val="000000"/>
      <w:kern w:val="28"/>
    </w:rPr>
  </w:style>
  <w:style w:type="paragraph" w:styleId="a9">
    <w:name w:val="Balloon Text"/>
    <w:basedOn w:val="a"/>
    <w:link w:val="Char2"/>
    <w:rsid w:val="004F321A"/>
    <w:rPr>
      <w:rFonts w:ascii="Tahoma" w:hAnsi="Tahoma" w:cs="Tahoma"/>
      <w:sz w:val="16"/>
      <w:szCs w:val="16"/>
    </w:rPr>
  </w:style>
  <w:style w:type="character" w:customStyle="1" w:styleId="Char2">
    <w:name w:val="Κείμενο πλαισίου Char"/>
    <w:link w:val="a9"/>
    <w:rsid w:val="004F321A"/>
    <w:rPr>
      <w:rFonts w:ascii="Tahoma" w:hAnsi="Tahoma" w:cs="Tahoma"/>
      <w:color w:val="000000"/>
      <w:kern w:val="28"/>
      <w:sz w:val="16"/>
      <w:szCs w:val="16"/>
    </w:rPr>
  </w:style>
  <w:style w:type="character" w:styleId="-">
    <w:name w:val="Hyperlink"/>
    <w:rsid w:val="00776E6B"/>
    <w:rPr>
      <w:color w:val="0000FF"/>
      <w:u w:val="single"/>
    </w:rPr>
  </w:style>
  <w:style w:type="character" w:customStyle="1" w:styleId="Char0">
    <w:name w:val="Υποσέλιδο Char"/>
    <w:link w:val="a4"/>
    <w:uiPriority w:val="99"/>
    <w:rsid w:val="00501C09"/>
    <w:rPr>
      <w:color w:val="000000"/>
      <w:kern w:val="28"/>
    </w:rPr>
  </w:style>
  <w:style w:type="character" w:customStyle="1" w:styleId="Char">
    <w:name w:val="Κεφαλίδα Char"/>
    <w:link w:val="a3"/>
    <w:uiPriority w:val="99"/>
    <w:rsid w:val="00B76988"/>
    <w:rPr>
      <w:color w:val="000000"/>
      <w:kern w:val="28"/>
    </w:rPr>
  </w:style>
  <w:style w:type="paragraph" w:styleId="aa">
    <w:name w:val="endnote text"/>
    <w:basedOn w:val="a"/>
    <w:link w:val="Char3"/>
    <w:rsid w:val="004513D2"/>
  </w:style>
  <w:style w:type="character" w:customStyle="1" w:styleId="Char3">
    <w:name w:val="Κείμενο σημείωσης τέλους Char"/>
    <w:link w:val="aa"/>
    <w:rsid w:val="004513D2"/>
    <w:rPr>
      <w:color w:val="000000"/>
      <w:kern w:val="28"/>
    </w:rPr>
  </w:style>
  <w:style w:type="character" w:styleId="ab">
    <w:name w:val="endnote reference"/>
    <w:rsid w:val="004513D2"/>
    <w:rPr>
      <w:vertAlign w:val="superscript"/>
    </w:rPr>
  </w:style>
</w:styles>
</file>

<file path=word/webSettings.xml><?xml version="1.0" encoding="utf-8"?>
<w:webSettings xmlns:r="http://schemas.openxmlformats.org/officeDocument/2006/relationships" xmlns:w="http://schemas.openxmlformats.org/wordprocessingml/2006/main">
  <w:divs>
    <w:div w:id="166751851">
      <w:bodyDiv w:val="1"/>
      <w:marLeft w:val="0"/>
      <w:marRight w:val="0"/>
      <w:marTop w:val="0"/>
      <w:marBottom w:val="0"/>
      <w:divBdr>
        <w:top w:val="none" w:sz="0" w:space="0" w:color="auto"/>
        <w:left w:val="none" w:sz="0" w:space="0" w:color="auto"/>
        <w:bottom w:val="none" w:sz="0" w:space="0" w:color="auto"/>
        <w:right w:val="none" w:sz="0" w:space="0" w:color="auto"/>
      </w:divBdr>
    </w:div>
    <w:div w:id="269822536">
      <w:bodyDiv w:val="1"/>
      <w:marLeft w:val="0"/>
      <w:marRight w:val="0"/>
      <w:marTop w:val="0"/>
      <w:marBottom w:val="0"/>
      <w:divBdr>
        <w:top w:val="none" w:sz="0" w:space="0" w:color="auto"/>
        <w:left w:val="none" w:sz="0" w:space="0" w:color="auto"/>
        <w:bottom w:val="none" w:sz="0" w:space="0" w:color="auto"/>
        <w:right w:val="none" w:sz="0" w:space="0" w:color="auto"/>
      </w:divBdr>
    </w:div>
    <w:div w:id="328216463">
      <w:bodyDiv w:val="1"/>
      <w:marLeft w:val="0"/>
      <w:marRight w:val="0"/>
      <w:marTop w:val="0"/>
      <w:marBottom w:val="0"/>
      <w:divBdr>
        <w:top w:val="none" w:sz="0" w:space="0" w:color="auto"/>
        <w:left w:val="none" w:sz="0" w:space="0" w:color="auto"/>
        <w:bottom w:val="none" w:sz="0" w:space="0" w:color="auto"/>
        <w:right w:val="none" w:sz="0" w:space="0" w:color="auto"/>
      </w:divBdr>
    </w:div>
    <w:div w:id="1437362845">
      <w:bodyDiv w:val="1"/>
      <w:marLeft w:val="0"/>
      <w:marRight w:val="0"/>
      <w:marTop w:val="0"/>
      <w:marBottom w:val="0"/>
      <w:divBdr>
        <w:top w:val="none" w:sz="0" w:space="0" w:color="auto"/>
        <w:left w:val="none" w:sz="0" w:space="0" w:color="auto"/>
        <w:bottom w:val="none" w:sz="0" w:space="0" w:color="auto"/>
        <w:right w:val="none" w:sz="0" w:space="0" w:color="auto"/>
      </w:divBdr>
    </w:div>
    <w:div w:id="1742947902">
      <w:bodyDiv w:val="1"/>
      <w:marLeft w:val="0"/>
      <w:marRight w:val="0"/>
      <w:marTop w:val="0"/>
      <w:marBottom w:val="0"/>
      <w:divBdr>
        <w:top w:val="none" w:sz="0" w:space="0" w:color="auto"/>
        <w:left w:val="none" w:sz="0" w:space="0" w:color="auto"/>
        <w:bottom w:val="none" w:sz="0" w:space="0" w:color="auto"/>
        <w:right w:val="none" w:sz="0" w:space="0" w:color="auto"/>
      </w:divBdr>
    </w:div>
    <w:div w:id="20876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_____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_____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________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________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
          <c:y val="5.7522123893805337E-2"/>
          <c:w val="0.93467336683417113"/>
          <c:h val="0.72566371681415953"/>
        </c:manualLayout>
      </c:layout>
      <c:barChart>
        <c:barDir val="col"/>
        <c:grouping val="stacked"/>
        <c:ser>
          <c:idx val="0"/>
          <c:order val="0"/>
          <c:tx>
            <c:strRef>
              <c:f>Sheet1!$A$2</c:f>
              <c:strCache>
                <c:ptCount val="1"/>
                <c:pt idx="0">
                  <c:v>Κέρδη</c:v>
                </c:pt>
              </c:strCache>
            </c:strRef>
          </c:tx>
          <c:spPr>
            <a:solidFill>
              <a:srgbClr val="000080"/>
            </a:solidFill>
            <a:ln w="13970">
              <a:solidFill>
                <a:srgbClr val="FFFFFF"/>
              </a:solidFill>
              <a:prstDash val="solid"/>
            </a:ln>
          </c:spPr>
          <c:dLbls>
            <c:spPr>
              <a:noFill/>
              <a:ln w="27941">
                <a:noFill/>
              </a:ln>
            </c:spPr>
            <c:txPr>
              <a:bodyPr/>
              <a:lstStyle/>
              <a:p>
                <a:pPr>
                  <a:defRPr sz="770" b="1" i="0" u="none" strike="noStrike" baseline="0">
                    <a:solidFill>
                      <a:srgbClr val="FFFFFF"/>
                    </a:solidFill>
                    <a:latin typeface="Arial"/>
                    <a:ea typeface="Arial"/>
                    <a:cs typeface="Arial"/>
                  </a:defRPr>
                </a:pPr>
                <a:endParaRPr lang="en-US"/>
              </a:p>
            </c:txPr>
            <c:dLblPos val="inEnd"/>
            <c:showVal val="1"/>
          </c:dLbls>
          <c:cat>
            <c:strRef>
              <c:f>Sheet1!$B$1:$I$1</c:f>
              <c:strCache>
                <c:ptCount val="5"/>
                <c:pt idx="0">
                  <c:v>Δ΄τριμ. 2015</c:v>
                </c:pt>
                <c:pt idx="1">
                  <c:v>A΄τριμ. 2016</c:v>
                </c:pt>
                <c:pt idx="2">
                  <c:v>B΄τριμ. 2016</c:v>
                </c:pt>
                <c:pt idx="3">
                  <c:v>Γ΄τριμ. 2016</c:v>
                </c:pt>
                <c:pt idx="4">
                  <c:v>Δ΄τριμ. 2016</c:v>
                </c:pt>
              </c:strCache>
            </c:strRef>
          </c:cat>
          <c:val>
            <c:numRef>
              <c:f>Sheet1!$B$2:$I$2</c:f>
              <c:numCache>
                <c:formatCode>General</c:formatCode>
                <c:ptCount val="5"/>
                <c:pt idx="0">
                  <c:v>437</c:v>
                </c:pt>
                <c:pt idx="1">
                  <c:v>451</c:v>
                </c:pt>
                <c:pt idx="2">
                  <c:v>459</c:v>
                </c:pt>
                <c:pt idx="3">
                  <c:v>465</c:v>
                </c:pt>
                <c:pt idx="4">
                  <c:v>471</c:v>
                </c:pt>
              </c:numCache>
            </c:numRef>
          </c:val>
        </c:ser>
        <c:ser>
          <c:idx val="1"/>
          <c:order val="1"/>
          <c:tx>
            <c:strRef>
              <c:f>Sheet1!$A$3</c:f>
              <c:strCache>
                <c:ptCount val="1"/>
              </c:strCache>
            </c:strRef>
          </c:tx>
          <c:spPr>
            <a:solidFill>
              <a:srgbClr val="993366"/>
            </a:solidFill>
            <a:ln w="13970">
              <a:solidFill>
                <a:srgbClr val="000000"/>
              </a:solidFill>
              <a:prstDash val="solid"/>
            </a:ln>
          </c:spPr>
          <c:dPt>
            <c:idx val="4"/>
            <c:spPr>
              <a:solidFill>
                <a:srgbClr val="CCCCFF"/>
              </a:solidFill>
              <a:ln w="27941">
                <a:noFill/>
              </a:ln>
            </c:spPr>
          </c:dPt>
          <c:cat>
            <c:strRef>
              <c:f>Sheet1!$B$1:$I$1</c:f>
              <c:strCache>
                <c:ptCount val="5"/>
                <c:pt idx="0">
                  <c:v>Δ΄τριμ. 2015</c:v>
                </c:pt>
                <c:pt idx="1">
                  <c:v>A΄τριμ. 2016</c:v>
                </c:pt>
                <c:pt idx="2">
                  <c:v>B΄τριμ. 2016</c:v>
                </c:pt>
                <c:pt idx="3">
                  <c:v>Γ΄τριμ. 2016</c:v>
                </c:pt>
                <c:pt idx="4">
                  <c:v>Δ΄τριμ. 2016</c:v>
                </c:pt>
              </c:strCache>
            </c:strRef>
          </c:cat>
          <c:val>
            <c:numRef>
              <c:f>Sheet1!$B$3:$I$3</c:f>
              <c:numCache>
                <c:formatCode>General</c:formatCode>
                <c:ptCount val="5"/>
              </c:numCache>
            </c:numRef>
          </c:val>
        </c:ser>
        <c:ser>
          <c:idx val="2"/>
          <c:order val="2"/>
          <c:tx>
            <c:strRef>
              <c:f>Sheet1!$A$4</c:f>
              <c:strCache>
                <c:ptCount val="1"/>
              </c:strCache>
            </c:strRef>
          </c:tx>
          <c:spPr>
            <a:solidFill>
              <a:srgbClr val="FFFFCC"/>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Sheet1!$B$4:$I$4</c:f>
              <c:numCache>
                <c:formatCode>General</c:formatCode>
                <c:ptCount val="5"/>
              </c:numCache>
            </c:numRef>
          </c:val>
        </c:ser>
        <c:ser>
          <c:idx val="3"/>
          <c:order val="3"/>
          <c:tx>
            <c:strRef>
              <c:f>Sheet1!$A$5</c:f>
              <c:strCache>
                <c:ptCount val="1"/>
              </c:strCache>
            </c:strRef>
          </c:tx>
          <c:spPr>
            <a:solidFill>
              <a:srgbClr val="CCFFFF"/>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Sheet1!$B$5:$I$5</c:f>
              <c:numCache>
                <c:formatCode>General</c:formatCode>
                <c:ptCount val="5"/>
              </c:numCache>
            </c:numRef>
          </c:val>
        </c:ser>
        <c:ser>
          <c:idx val="4"/>
          <c:order val="4"/>
          <c:tx>
            <c:strRef>
              <c:f>Sheet1!$A$6</c:f>
              <c:strCache>
                <c:ptCount val="1"/>
              </c:strCache>
            </c:strRef>
          </c:tx>
          <c:spPr>
            <a:solidFill>
              <a:srgbClr val="660066"/>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Sheet1!$B$6:$I$6</c:f>
              <c:numCache>
                <c:formatCode>General</c:formatCode>
                <c:ptCount val="5"/>
              </c:numCache>
            </c:numRef>
          </c:val>
        </c:ser>
        <c:ser>
          <c:idx val="5"/>
          <c:order val="5"/>
          <c:tx>
            <c:strRef>
              <c:f>Sheet1!$A$7</c:f>
              <c:strCache>
                <c:ptCount val="1"/>
              </c:strCache>
            </c:strRef>
          </c:tx>
          <c:spPr>
            <a:solidFill>
              <a:srgbClr val="FF8080"/>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Sheet1!$B$7:$I$7</c:f>
              <c:numCache>
                <c:formatCode>General</c:formatCode>
                <c:ptCount val="5"/>
              </c:numCache>
            </c:numRef>
          </c:val>
        </c:ser>
        <c:ser>
          <c:idx val="6"/>
          <c:order val="6"/>
          <c:tx>
            <c:strRef>
              <c:f>Sheet1!$A$8</c:f>
              <c:strCache>
                <c:ptCount val="1"/>
              </c:strCache>
            </c:strRef>
          </c:tx>
          <c:spPr>
            <a:solidFill>
              <a:srgbClr val="0066CC"/>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Sheet1!$B$8:$I$8</c:f>
              <c:numCache>
                <c:formatCode>General</c:formatCode>
                <c:ptCount val="5"/>
              </c:numCache>
            </c:numRef>
          </c:val>
        </c:ser>
        <c:gapWidth val="30"/>
        <c:overlap val="100"/>
        <c:axId val="261247744"/>
        <c:axId val="261249280"/>
      </c:barChart>
      <c:catAx>
        <c:axId val="261247744"/>
        <c:scaling>
          <c:orientation val="minMax"/>
        </c:scaling>
        <c:axPos val="b"/>
        <c:numFmt formatCode="General" sourceLinked="1"/>
        <c:tickLblPos val="nextTo"/>
        <c:spPr>
          <a:ln w="13970">
            <a:solidFill>
              <a:srgbClr val="FFFFFF"/>
            </a:solidFill>
            <a:prstDash val="solid"/>
          </a:ln>
        </c:spPr>
        <c:txPr>
          <a:bodyPr rot="0" vert="horz"/>
          <a:lstStyle/>
          <a:p>
            <a:pPr>
              <a:defRPr sz="660" b="1" i="0" u="none" strike="noStrike" baseline="0">
                <a:solidFill>
                  <a:srgbClr val="000080"/>
                </a:solidFill>
                <a:latin typeface="Arial"/>
                <a:ea typeface="Arial"/>
                <a:cs typeface="Arial"/>
              </a:defRPr>
            </a:pPr>
            <a:endParaRPr lang="en-US"/>
          </a:p>
        </c:txPr>
        <c:crossAx val="261249280"/>
        <c:crossesAt val="0"/>
        <c:auto val="1"/>
        <c:lblAlgn val="ctr"/>
        <c:lblOffset val="100"/>
        <c:tickLblSkip val="1"/>
        <c:tickMarkSkip val="1"/>
      </c:catAx>
      <c:valAx>
        <c:axId val="261249280"/>
        <c:scaling>
          <c:orientation val="minMax"/>
          <c:max val="500"/>
          <c:min val="0"/>
        </c:scaling>
        <c:delete val="1"/>
        <c:axPos val="l"/>
        <c:numFmt formatCode="General" sourceLinked="1"/>
        <c:tickLblPos val="nextTo"/>
        <c:crossAx val="261247744"/>
        <c:crosses val="autoZero"/>
        <c:crossBetween val="between"/>
        <c:majorUnit val="50"/>
        <c:minorUnit val="50"/>
      </c:valAx>
      <c:spPr>
        <a:noFill/>
        <a:ln w="27941">
          <a:noFill/>
        </a:ln>
      </c:spPr>
    </c:plotArea>
    <c:plotVisOnly val="1"/>
    <c:dispBlanksAs val="gap"/>
  </c:chart>
  <c:spPr>
    <a:noFill/>
    <a:ln>
      <a:noFill/>
    </a:ln>
  </c:spPr>
  <c:txPr>
    <a:bodyPr/>
    <a:lstStyle/>
    <a:p>
      <a:pPr>
        <a:defRPr sz="495"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
          <c:y val="5.7522123893805337E-2"/>
          <c:w val="0.93467336683417113"/>
          <c:h val="0.72566371681415953"/>
        </c:manualLayout>
      </c:layout>
      <c:barChart>
        <c:barDir val="col"/>
        <c:grouping val="stacked"/>
        <c:ser>
          <c:idx val="0"/>
          <c:order val="0"/>
          <c:tx>
            <c:strRef>
              <c:f>Sheet1!$A$2</c:f>
              <c:strCache>
                <c:ptCount val="1"/>
                <c:pt idx="0">
                  <c:v>Κέρδη</c:v>
                </c:pt>
              </c:strCache>
            </c:strRef>
          </c:tx>
          <c:spPr>
            <a:solidFill>
              <a:srgbClr val="000080"/>
            </a:solidFill>
            <a:ln w="13970">
              <a:solidFill>
                <a:srgbClr val="FFFFFF"/>
              </a:solidFill>
              <a:prstDash val="solid"/>
            </a:ln>
          </c:spPr>
          <c:dLbls>
            <c:spPr>
              <a:noFill/>
              <a:ln w="27941">
                <a:noFill/>
              </a:ln>
            </c:spPr>
            <c:txPr>
              <a:bodyPr/>
              <a:lstStyle/>
              <a:p>
                <a:pPr>
                  <a:defRPr sz="770" b="1" i="0" u="none" strike="noStrike" baseline="0">
                    <a:solidFill>
                      <a:srgbClr val="FFFFFF"/>
                    </a:solidFill>
                    <a:latin typeface="Arial"/>
                    <a:ea typeface="Arial"/>
                    <a:cs typeface="Arial"/>
                  </a:defRPr>
                </a:pPr>
                <a:endParaRPr lang="en-US"/>
              </a:p>
            </c:txPr>
            <c:dLblPos val="inEnd"/>
            <c:showVal val="1"/>
          </c:dLbls>
          <c:cat>
            <c:strRef>
              <c:f>Sheet1!$B$1:$I$1</c:f>
              <c:strCache>
                <c:ptCount val="5"/>
                <c:pt idx="0">
                  <c:v>Δ΄τριμ. 2015</c:v>
                </c:pt>
                <c:pt idx="1">
                  <c:v>A΄τριμ. 2016</c:v>
                </c:pt>
                <c:pt idx="2">
                  <c:v>B΄τριμ. 2016</c:v>
                </c:pt>
                <c:pt idx="3">
                  <c:v>Γ΄τριμ. 2016</c:v>
                </c:pt>
                <c:pt idx="4">
                  <c:v>Δ΄τριμ. 2016</c:v>
                </c:pt>
              </c:strCache>
            </c:strRef>
          </c:cat>
          <c:val>
            <c:numRef>
              <c:f>Sheet1!$B$2:$I$2</c:f>
              <c:numCache>
                <c:formatCode>General</c:formatCode>
                <c:ptCount val="5"/>
                <c:pt idx="0">
                  <c:v>264</c:v>
                </c:pt>
                <c:pt idx="1">
                  <c:v>253</c:v>
                </c:pt>
                <c:pt idx="2">
                  <c:v>250</c:v>
                </c:pt>
                <c:pt idx="3">
                  <c:v>247</c:v>
                </c:pt>
                <c:pt idx="4">
                  <c:v>242</c:v>
                </c:pt>
              </c:numCache>
            </c:numRef>
          </c:val>
        </c:ser>
        <c:ser>
          <c:idx val="1"/>
          <c:order val="1"/>
          <c:tx>
            <c:strRef>
              <c:f>Sheet1!$A$3</c:f>
              <c:strCache>
                <c:ptCount val="1"/>
              </c:strCache>
            </c:strRef>
          </c:tx>
          <c:spPr>
            <a:solidFill>
              <a:srgbClr val="993366"/>
            </a:solidFill>
            <a:ln w="13970">
              <a:solidFill>
                <a:srgbClr val="000000"/>
              </a:solidFill>
              <a:prstDash val="solid"/>
            </a:ln>
          </c:spPr>
          <c:dPt>
            <c:idx val="4"/>
            <c:spPr>
              <a:solidFill>
                <a:srgbClr val="CCCCFF"/>
              </a:solidFill>
              <a:ln w="27941">
                <a:noFill/>
              </a:ln>
            </c:spPr>
          </c:dPt>
          <c:cat>
            <c:strRef>
              <c:f>Sheet1!$B$1:$I$1</c:f>
              <c:strCache>
                <c:ptCount val="5"/>
                <c:pt idx="0">
                  <c:v>Δ΄τριμ. 2015</c:v>
                </c:pt>
                <c:pt idx="1">
                  <c:v>A΄τριμ. 2016</c:v>
                </c:pt>
                <c:pt idx="2">
                  <c:v>B΄τριμ. 2016</c:v>
                </c:pt>
                <c:pt idx="3">
                  <c:v>Γ΄τριμ. 2016</c:v>
                </c:pt>
                <c:pt idx="4">
                  <c:v>Δ΄τριμ. 2016</c:v>
                </c:pt>
              </c:strCache>
            </c:strRef>
          </c:cat>
          <c:val>
            <c:numRef>
              <c:f>Sheet1!$B$3:$I$3</c:f>
              <c:numCache>
                <c:formatCode>General</c:formatCode>
                <c:ptCount val="5"/>
              </c:numCache>
            </c:numRef>
          </c:val>
        </c:ser>
        <c:ser>
          <c:idx val="2"/>
          <c:order val="2"/>
          <c:tx>
            <c:strRef>
              <c:f>Sheet1!$A$4</c:f>
              <c:strCache>
                <c:ptCount val="1"/>
              </c:strCache>
            </c:strRef>
          </c:tx>
          <c:spPr>
            <a:solidFill>
              <a:srgbClr val="FFFFCC"/>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Sheet1!$B$4:$I$4</c:f>
              <c:numCache>
                <c:formatCode>General</c:formatCode>
                <c:ptCount val="5"/>
              </c:numCache>
            </c:numRef>
          </c:val>
        </c:ser>
        <c:ser>
          <c:idx val="3"/>
          <c:order val="3"/>
          <c:tx>
            <c:strRef>
              <c:f>Sheet1!$A$5</c:f>
              <c:strCache>
                <c:ptCount val="1"/>
              </c:strCache>
            </c:strRef>
          </c:tx>
          <c:spPr>
            <a:solidFill>
              <a:srgbClr val="CCFFFF"/>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Sheet1!$B$5:$I$5</c:f>
              <c:numCache>
                <c:formatCode>General</c:formatCode>
                <c:ptCount val="5"/>
              </c:numCache>
            </c:numRef>
          </c:val>
        </c:ser>
        <c:gapWidth val="30"/>
        <c:overlap val="100"/>
        <c:axId val="265568640"/>
        <c:axId val="265570176"/>
      </c:barChart>
      <c:catAx>
        <c:axId val="265568640"/>
        <c:scaling>
          <c:orientation val="minMax"/>
        </c:scaling>
        <c:axPos val="b"/>
        <c:numFmt formatCode="General" sourceLinked="1"/>
        <c:tickLblPos val="nextTo"/>
        <c:spPr>
          <a:ln w="13970">
            <a:solidFill>
              <a:srgbClr val="FFFFFF"/>
            </a:solidFill>
            <a:prstDash val="solid"/>
          </a:ln>
        </c:spPr>
        <c:txPr>
          <a:bodyPr rot="0" vert="horz"/>
          <a:lstStyle/>
          <a:p>
            <a:pPr>
              <a:defRPr sz="660" b="1" i="0" u="none" strike="noStrike" baseline="0">
                <a:solidFill>
                  <a:srgbClr val="000080"/>
                </a:solidFill>
                <a:latin typeface="Arial"/>
                <a:ea typeface="Arial"/>
                <a:cs typeface="Arial"/>
              </a:defRPr>
            </a:pPr>
            <a:endParaRPr lang="en-US"/>
          </a:p>
        </c:txPr>
        <c:crossAx val="265570176"/>
        <c:crossesAt val="0"/>
        <c:auto val="1"/>
        <c:lblAlgn val="ctr"/>
        <c:lblOffset val="100"/>
        <c:tickLblSkip val="1"/>
        <c:tickMarkSkip val="1"/>
      </c:catAx>
      <c:valAx>
        <c:axId val="265570176"/>
        <c:scaling>
          <c:orientation val="minMax"/>
          <c:max val="300"/>
          <c:min val="0"/>
        </c:scaling>
        <c:delete val="1"/>
        <c:axPos val="l"/>
        <c:numFmt formatCode="General" sourceLinked="1"/>
        <c:tickLblPos val="nextTo"/>
        <c:crossAx val="265568640"/>
        <c:crosses val="autoZero"/>
        <c:crossBetween val="between"/>
        <c:majorUnit val="50"/>
        <c:minorUnit val="50"/>
      </c:valAx>
      <c:spPr>
        <a:noFill/>
        <a:ln w="27941">
          <a:noFill/>
        </a:ln>
      </c:spPr>
    </c:plotArea>
    <c:plotVisOnly val="1"/>
    <c:dispBlanksAs val="gap"/>
  </c:chart>
  <c:spPr>
    <a:noFill/>
    <a:ln>
      <a:noFill/>
    </a:ln>
  </c:spPr>
  <c:txPr>
    <a:bodyPr/>
    <a:lstStyle/>
    <a:p>
      <a:pPr>
        <a:defRPr sz="495"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
          <c:y val="5.7522123893805337E-2"/>
          <c:w val="0.93467336683417113"/>
          <c:h val="0.72566371681415953"/>
        </c:manualLayout>
      </c:layout>
      <c:barChart>
        <c:barDir val="col"/>
        <c:grouping val="stacked"/>
        <c:ser>
          <c:idx val="0"/>
          <c:order val="0"/>
          <c:tx>
            <c:strRef>
              <c:f>Sheet1!$A$2</c:f>
              <c:strCache>
                <c:ptCount val="1"/>
                <c:pt idx="0">
                  <c:v>Κέρδη</c:v>
                </c:pt>
              </c:strCache>
            </c:strRef>
          </c:tx>
          <c:spPr>
            <a:solidFill>
              <a:srgbClr val="000080"/>
            </a:solidFill>
            <a:ln w="13970">
              <a:solidFill>
                <a:srgbClr val="FFFFFF"/>
              </a:solidFill>
              <a:prstDash val="solid"/>
            </a:ln>
          </c:spPr>
          <c:dLbls>
            <c:spPr>
              <a:noFill/>
              <a:ln w="27941">
                <a:noFill/>
              </a:ln>
            </c:spPr>
            <c:txPr>
              <a:bodyPr/>
              <a:lstStyle/>
              <a:p>
                <a:pPr>
                  <a:defRPr sz="770" b="1" i="0" u="none" strike="noStrike" baseline="0">
                    <a:solidFill>
                      <a:srgbClr val="FFFFFF"/>
                    </a:solidFill>
                    <a:latin typeface="Arial"/>
                    <a:ea typeface="Arial"/>
                    <a:cs typeface="Arial"/>
                  </a:defRPr>
                </a:pPr>
                <a:endParaRPr lang="en-US"/>
              </a:p>
            </c:txPr>
            <c:dLblPos val="inEnd"/>
            <c:showVal val="1"/>
          </c:dLbls>
          <c:cat>
            <c:strRef>
              <c:f>Sheet1!$B$1:$I$1</c:f>
              <c:strCache>
                <c:ptCount val="5"/>
                <c:pt idx="0">
                  <c:v>Δ΄τριμ. 2015</c:v>
                </c:pt>
                <c:pt idx="1">
                  <c:v>A΄τριμ. 2016</c:v>
                </c:pt>
                <c:pt idx="2">
                  <c:v>B΄τριμ. 2016</c:v>
                </c:pt>
                <c:pt idx="3">
                  <c:v>Γ΄τριμ. 2016</c:v>
                </c:pt>
                <c:pt idx="4">
                  <c:v>Δ΄τριμ. 2016</c:v>
                </c:pt>
              </c:strCache>
            </c:strRef>
          </c:cat>
          <c:val>
            <c:numRef>
              <c:f>Sheet1!$B$2:$I$2</c:f>
              <c:numCache>
                <c:formatCode>General</c:formatCode>
                <c:ptCount val="5"/>
                <c:pt idx="0">
                  <c:v>165</c:v>
                </c:pt>
                <c:pt idx="1">
                  <c:v>261</c:v>
                </c:pt>
                <c:pt idx="2">
                  <c:v>277</c:v>
                </c:pt>
                <c:pt idx="3">
                  <c:v>249</c:v>
                </c:pt>
                <c:pt idx="4">
                  <c:v>284</c:v>
                </c:pt>
              </c:numCache>
            </c:numRef>
          </c:val>
        </c:ser>
        <c:ser>
          <c:idx val="1"/>
          <c:order val="1"/>
          <c:tx>
            <c:strRef>
              <c:f>Sheet1!$A$3</c:f>
              <c:strCache>
                <c:ptCount val="1"/>
              </c:strCache>
            </c:strRef>
          </c:tx>
          <c:spPr>
            <a:solidFill>
              <a:srgbClr val="993366"/>
            </a:solidFill>
            <a:ln w="13970">
              <a:solidFill>
                <a:srgbClr val="000000"/>
              </a:solidFill>
              <a:prstDash val="solid"/>
            </a:ln>
          </c:spPr>
          <c:dPt>
            <c:idx val="4"/>
            <c:spPr>
              <a:solidFill>
                <a:srgbClr val="CCCCFF"/>
              </a:solidFill>
              <a:ln w="27941">
                <a:noFill/>
              </a:ln>
            </c:spPr>
          </c:dPt>
          <c:cat>
            <c:strRef>
              <c:f>Sheet1!$B$1:$I$1</c:f>
              <c:strCache>
                <c:ptCount val="5"/>
                <c:pt idx="0">
                  <c:v>Δ΄τριμ. 2015</c:v>
                </c:pt>
                <c:pt idx="1">
                  <c:v>A΄τριμ. 2016</c:v>
                </c:pt>
                <c:pt idx="2">
                  <c:v>B΄τριμ. 2016</c:v>
                </c:pt>
                <c:pt idx="3">
                  <c:v>Γ΄τριμ. 2016</c:v>
                </c:pt>
                <c:pt idx="4">
                  <c:v>Δ΄τριμ. 2016</c:v>
                </c:pt>
              </c:strCache>
            </c:strRef>
          </c:cat>
          <c:val>
            <c:numRef>
              <c:f>Sheet1!$B$3:$I$3</c:f>
              <c:numCache>
                <c:formatCode>General</c:formatCode>
                <c:ptCount val="5"/>
              </c:numCache>
            </c:numRef>
          </c:val>
        </c:ser>
        <c:ser>
          <c:idx val="2"/>
          <c:order val="2"/>
          <c:tx>
            <c:strRef>
              <c:f>Sheet1!$A$4</c:f>
              <c:strCache>
                <c:ptCount val="1"/>
              </c:strCache>
            </c:strRef>
          </c:tx>
          <c:spPr>
            <a:solidFill>
              <a:srgbClr val="FFFFCC"/>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Sheet1!$B$4:$I$4</c:f>
              <c:numCache>
                <c:formatCode>General</c:formatCode>
                <c:ptCount val="5"/>
              </c:numCache>
            </c:numRef>
          </c:val>
        </c:ser>
        <c:ser>
          <c:idx val="3"/>
          <c:order val="3"/>
          <c:tx>
            <c:strRef>
              <c:f>Sheet1!$A$5</c:f>
              <c:strCache>
                <c:ptCount val="1"/>
              </c:strCache>
            </c:strRef>
          </c:tx>
          <c:spPr>
            <a:solidFill>
              <a:srgbClr val="CCFFFF"/>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Sheet1!$B$5:$I$5</c:f>
              <c:numCache>
                <c:formatCode>General</c:formatCode>
                <c:ptCount val="5"/>
              </c:numCache>
            </c:numRef>
          </c:val>
        </c:ser>
        <c:gapWidth val="30"/>
        <c:overlap val="100"/>
        <c:axId val="265609216"/>
        <c:axId val="265610752"/>
      </c:barChart>
      <c:catAx>
        <c:axId val="265609216"/>
        <c:scaling>
          <c:orientation val="minMax"/>
        </c:scaling>
        <c:axPos val="b"/>
        <c:numFmt formatCode="General" sourceLinked="1"/>
        <c:tickLblPos val="nextTo"/>
        <c:spPr>
          <a:ln w="13970">
            <a:solidFill>
              <a:srgbClr val="FFFFFF"/>
            </a:solidFill>
            <a:prstDash val="solid"/>
          </a:ln>
        </c:spPr>
        <c:txPr>
          <a:bodyPr rot="0" vert="horz"/>
          <a:lstStyle/>
          <a:p>
            <a:pPr>
              <a:defRPr sz="660" b="1" i="0" u="none" strike="noStrike" baseline="0">
                <a:solidFill>
                  <a:srgbClr val="000080"/>
                </a:solidFill>
                <a:latin typeface="Arial"/>
                <a:ea typeface="Arial"/>
                <a:cs typeface="Arial"/>
              </a:defRPr>
            </a:pPr>
            <a:endParaRPr lang="en-US"/>
          </a:p>
        </c:txPr>
        <c:crossAx val="265610752"/>
        <c:crossesAt val="0"/>
        <c:auto val="1"/>
        <c:lblAlgn val="ctr"/>
        <c:lblOffset val="100"/>
        <c:tickLblSkip val="1"/>
        <c:tickMarkSkip val="1"/>
      </c:catAx>
      <c:valAx>
        <c:axId val="265610752"/>
        <c:scaling>
          <c:orientation val="minMax"/>
          <c:max val="300"/>
          <c:min val="0"/>
        </c:scaling>
        <c:delete val="1"/>
        <c:axPos val="l"/>
        <c:numFmt formatCode="General" sourceLinked="1"/>
        <c:tickLblPos val="nextTo"/>
        <c:crossAx val="265609216"/>
        <c:crosses val="autoZero"/>
        <c:crossBetween val="between"/>
        <c:majorUnit val="50"/>
        <c:minorUnit val="50"/>
      </c:valAx>
      <c:spPr>
        <a:noFill/>
        <a:ln w="27941">
          <a:noFill/>
        </a:ln>
      </c:spPr>
    </c:plotArea>
    <c:plotVisOnly val="1"/>
    <c:dispBlanksAs val="gap"/>
  </c:chart>
  <c:spPr>
    <a:noFill/>
    <a:ln>
      <a:noFill/>
    </a:ln>
  </c:spPr>
  <c:txPr>
    <a:bodyPr/>
    <a:lstStyle/>
    <a:p>
      <a:pPr>
        <a:defRPr sz="495"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
          <c:y val="5.7522123893805337E-2"/>
          <c:w val="0.93467336683417113"/>
          <c:h val="0.72566371681415953"/>
        </c:manualLayout>
      </c:layout>
      <c:barChart>
        <c:barDir val="col"/>
        <c:grouping val="stacked"/>
        <c:ser>
          <c:idx val="0"/>
          <c:order val="0"/>
          <c:tx>
            <c:strRef>
              <c:f>Sheet1!$A$2</c:f>
              <c:strCache>
                <c:ptCount val="1"/>
                <c:pt idx="0">
                  <c:v>Κέρδη</c:v>
                </c:pt>
              </c:strCache>
            </c:strRef>
          </c:tx>
          <c:spPr>
            <a:solidFill>
              <a:srgbClr val="000080"/>
            </a:solidFill>
            <a:ln w="13970">
              <a:solidFill>
                <a:srgbClr val="FFFFFF"/>
              </a:solidFill>
              <a:prstDash val="solid"/>
            </a:ln>
          </c:spPr>
          <c:dLbls>
            <c:spPr>
              <a:noFill/>
              <a:ln w="27941">
                <a:noFill/>
              </a:ln>
            </c:spPr>
            <c:txPr>
              <a:bodyPr/>
              <a:lstStyle/>
              <a:p>
                <a:pPr>
                  <a:defRPr sz="770" b="1" i="0" u="none" strike="noStrike" baseline="0">
                    <a:solidFill>
                      <a:srgbClr val="FFFFFF"/>
                    </a:solidFill>
                    <a:latin typeface="Arial"/>
                    <a:ea typeface="Arial"/>
                    <a:cs typeface="Arial"/>
                  </a:defRPr>
                </a:pPr>
                <a:endParaRPr lang="en-US"/>
              </a:p>
            </c:txPr>
            <c:dLblPos val="inEnd"/>
            <c:showVal val="1"/>
          </c:dLbls>
          <c:cat>
            <c:strRef>
              <c:f>Sheet1!$B$1:$I$1</c:f>
              <c:strCache>
                <c:ptCount val="5"/>
                <c:pt idx="0">
                  <c:v>Δ΄τριμ. 2015</c:v>
                </c:pt>
                <c:pt idx="1">
                  <c:v>A΄τριμ. 2016</c:v>
                </c:pt>
                <c:pt idx="2">
                  <c:v>B΄τριμ. 2016</c:v>
                </c:pt>
                <c:pt idx="3">
                  <c:v>Γ΄τριμ. 2016</c:v>
                </c:pt>
                <c:pt idx="4">
                  <c:v>Δ΄τριμ. 2016</c:v>
                </c:pt>
              </c:strCache>
            </c:strRef>
          </c:cat>
          <c:val>
            <c:numRef>
              <c:f>Sheet1!$B$2:$I$2</c:f>
              <c:numCache>
                <c:formatCode>General</c:formatCode>
                <c:ptCount val="5"/>
                <c:pt idx="0">
                  <c:v>15</c:v>
                </c:pt>
                <c:pt idx="1">
                  <c:v>37</c:v>
                </c:pt>
                <c:pt idx="2">
                  <c:v>30</c:v>
                </c:pt>
                <c:pt idx="3">
                  <c:v>26</c:v>
                </c:pt>
                <c:pt idx="4">
                  <c:v>30</c:v>
                </c:pt>
              </c:numCache>
            </c:numRef>
          </c:val>
        </c:ser>
        <c:ser>
          <c:idx val="1"/>
          <c:order val="1"/>
          <c:tx>
            <c:strRef>
              <c:f>Sheet1!$A$3</c:f>
              <c:strCache>
                <c:ptCount val="1"/>
              </c:strCache>
            </c:strRef>
          </c:tx>
          <c:spPr>
            <a:solidFill>
              <a:srgbClr val="993366"/>
            </a:solidFill>
            <a:ln w="13970">
              <a:solidFill>
                <a:srgbClr val="000000"/>
              </a:solidFill>
              <a:prstDash val="solid"/>
            </a:ln>
          </c:spPr>
          <c:dPt>
            <c:idx val="4"/>
            <c:spPr>
              <a:solidFill>
                <a:srgbClr val="CCCCFF"/>
              </a:solidFill>
              <a:ln w="27941">
                <a:noFill/>
              </a:ln>
            </c:spPr>
          </c:dPt>
          <c:cat>
            <c:strRef>
              <c:f>Sheet1!$B$1:$I$1</c:f>
              <c:strCache>
                <c:ptCount val="5"/>
                <c:pt idx="0">
                  <c:v>Δ΄τριμ. 2015</c:v>
                </c:pt>
                <c:pt idx="1">
                  <c:v>A΄τριμ. 2016</c:v>
                </c:pt>
                <c:pt idx="2">
                  <c:v>B΄τριμ. 2016</c:v>
                </c:pt>
                <c:pt idx="3">
                  <c:v>Γ΄τριμ. 2016</c:v>
                </c:pt>
                <c:pt idx="4">
                  <c:v>Δ΄τριμ. 2016</c:v>
                </c:pt>
              </c:strCache>
            </c:strRef>
          </c:cat>
          <c:val>
            <c:numRef>
              <c:f>Sheet1!$B$3:$I$3</c:f>
              <c:numCache>
                <c:formatCode>General</c:formatCode>
                <c:ptCount val="5"/>
              </c:numCache>
            </c:numRef>
          </c:val>
        </c:ser>
        <c:ser>
          <c:idx val="2"/>
          <c:order val="2"/>
          <c:tx>
            <c:strRef>
              <c:f>Sheet1!$A$4</c:f>
              <c:strCache>
                <c:ptCount val="1"/>
              </c:strCache>
            </c:strRef>
          </c:tx>
          <c:spPr>
            <a:solidFill>
              <a:srgbClr val="FFFFCC"/>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Sheet1!$B$4:$I$4</c:f>
              <c:numCache>
                <c:formatCode>General</c:formatCode>
                <c:ptCount val="5"/>
              </c:numCache>
            </c:numRef>
          </c:val>
        </c:ser>
        <c:ser>
          <c:idx val="3"/>
          <c:order val="3"/>
          <c:tx>
            <c:strRef>
              <c:f>Sheet1!$A$5</c:f>
              <c:strCache>
                <c:ptCount val="1"/>
              </c:strCache>
            </c:strRef>
          </c:tx>
          <c:spPr>
            <a:solidFill>
              <a:srgbClr val="CCFFFF"/>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Sheet1!$B$5:$I$5</c:f>
              <c:numCache>
                <c:formatCode>General</c:formatCode>
                <c:ptCount val="5"/>
              </c:numCache>
            </c:numRef>
          </c:val>
        </c:ser>
        <c:gapWidth val="30"/>
        <c:overlap val="100"/>
        <c:axId val="265805184"/>
        <c:axId val="265811072"/>
      </c:barChart>
      <c:catAx>
        <c:axId val="265805184"/>
        <c:scaling>
          <c:orientation val="minMax"/>
        </c:scaling>
        <c:axPos val="b"/>
        <c:numFmt formatCode="General" sourceLinked="1"/>
        <c:tickLblPos val="low"/>
        <c:spPr>
          <a:ln w="13970">
            <a:solidFill>
              <a:srgbClr val="FFFFFF"/>
            </a:solidFill>
            <a:prstDash val="solid"/>
          </a:ln>
        </c:spPr>
        <c:txPr>
          <a:bodyPr rot="0" vert="horz"/>
          <a:lstStyle/>
          <a:p>
            <a:pPr>
              <a:defRPr sz="660" b="1" i="0" u="none" strike="noStrike" baseline="0">
                <a:solidFill>
                  <a:srgbClr val="000080"/>
                </a:solidFill>
                <a:latin typeface="Arial"/>
                <a:ea typeface="Arial"/>
                <a:cs typeface="Arial"/>
              </a:defRPr>
            </a:pPr>
            <a:endParaRPr lang="en-US"/>
          </a:p>
        </c:txPr>
        <c:crossAx val="265811072"/>
        <c:crossesAt val="0"/>
        <c:auto val="1"/>
        <c:lblAlgn val="ctr"/>
        <c:lblOffset val="100"/>
        <c:tickLblSkip val="1"/>
        <c:tickMarkSkip val="1"/>
      </c:catAx>
      <c:valAx>
        <c:axId val="265811072"/>
        <c:scaling>
          <c:orientation val="minMax"/>
          <c:max val="50"/>
          <c:min val="0"/>
        </c:scaling>
        <c:delete val="1"/>
        <c:axPos val="l"/>
        <c:numFmt formatCode="General" sourceLinked="1"/>
        <c:tickLblPos val="nextTo"/>
        <c:crossAx val="265805184"/>
        <c:crosses val="autoZero"/>
        <c:crossBetween val="between"/>
        <c:majorUnit val="20"/>
        <c:minorUnit val="20"/>
      </c:valAx>
      <c:spPr>
        <a:noFill/>
        <a:ln w="27941">
          <a:noFill/>
        </a:ln>
      </c:spPr>
    </c:plotArea>
    <c:plotVisOnly val="1"/>
    <c:dispBlanksAs val="gap"/>
  </c:chart>
  <c:spPr>
    <a:noFill/>
    <a:ln>
      <a:noFill/>
    </a:ln>
  </c:spPr>
  <c:txPr>
    <a:bodyPr/>
    <a:lstStyle/>
    <a:p>
      <a:pPr>
        <a:defRPr sz="495" b="1"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1.0050251256281405E-2"/>
          <c:y val="3.9823008849557535E-2"/>
          <c:w val="0.93467336683417113"/>
          <c:h val="0.7212389380530978"/>
        </c:manualLayout>
      </c:layout>
      <c:barChart>
        <c:barDir val="col"/>
        <c:grouping val="stacked"/>
        <c:ser>
          <c:idx val="0"/>
          <c:order val="0"/>
          <c:tx>
            <c:strRef>
              <c:f>Sheet1!$A$2</c:f>
              <c:strCache>
                <c:ptCount val="1"/>
                <c:pt idx="0">
                  <c:v>Κέρδη</c:v>
                </c:pt>
              </c:strCache>
            </c:strRef>
          </c:tx>
          <c:spPr>
            <a:solidFill>
              <a:srgbClr val="000080"/>
            </a:solidFill>
            <a:ln w="13955">
              <a:solidFill>
                <a:srgbClr val="FFFFFF"/>
              </a:solidFill>
              <a:prstDash val="solid"/>
            </a:ln>
          </c:spPr>
          <c:dLbls>
            <c:spPr>
              <a:noFill/>
              <a:ln w="27911">
                <a:noFill/>
              </a:ln>
            </c:spPr>
            <c:txPr>
              <a:bodyPr/>
              <a:lstStyle/>
              <a:p>
                <a:pPr>
                  <a:defRPr sz="769" b="1" i="0" u="none" strike="noStrike" baseline="0">
                    <a:solidFill>
                      <a:srgbClr val="FFFFFF"/>
                    </a:solidFill>
                    <a:latin typeface="Arial"/>
                    <a:ea typeface="Arial"/>
                    <a:cs typeface="Arial"/>
                  </a:defRPr>
                </a:pPr>
                <a:endParaRPr lang="en-US"/>
              </a:p>
            </c:txPr>
            <c:dLblPos val="inEnd"/>
            <c:showVal val="1"/>
          </c:dLbls>
          <c:cat>
            <c:strRef>
              <c:f>Sheet1!$B$1:$S$1</c:f>
              <c:strCache>
                <c:ptCount val="4"/>
                <c:pt idx="0">
                  <c:v>Α΄τριμ. 2016</c:v>
                </c:pt>
                <c:pt idx="1">
                  <c:v>B΄τριμ. 2016</c:v>
                </c:pt>
                <c:pt idx="2">
                  <c:v>Γτριμ. 2016</c:v>
                </c:pt>
                <c:pt idx="3">
                  <c:v>Δ΄τριμ. 2016</c:v>
                </c:pt>
              </c:strCache>
            </c:strRef>
          </c:cat>
          <c:val>
            <c:numRef>
              <c:f>Sheet1!$B$2:$S$2</c:f>
              <c:numCache>
                <c:formatCode>General</c:formatCode>
                <c:ptCount val="4"/>
                <c:pt idx="0">
                  <c:v>371</c:v>
                </c:pt>
                <c:pt idx="1">
                  <c:v>492</c:v>
                </c:pt>
                <c:pt idx="2">
                  <c:v>149</c:v>
                </c:pt>
                <c:pt idx="3">
                  <c:v>-108</c:v>
                </c:pt>
              </c:numCache>
            </c:numRef>
          </c:val>
        </c:ser>
        <c:ser>
          <c:idx val="2"/>
          <c:order val="1"/>
          <c:tx>
            <c:strRef>
              <c:f>Sheet1!$A$3</c:f>
              <c:strCache>
                <c:ptCount val="1"/>
              </c:strCache>
            </c:strRef>
          </c:tx>
          <c:spPr>
            <a:solidFill>
              <a:srgbClr val="FFFFCC"/>
            </a:solidFill>
            <a:ln w="13955">
              <a:solidFill>
                <a:srgbClr val="000000"/>
              </a:solidFill>
              <a:prstDash val="solid"/>
            </a:ln>
          </c:spPr>
          <c:cat>
            <c:strRef>
              <c:f>Sheet1!$B$1:$S$1</c:f>
              <c:strCache>
                <c:ptCount val="4"/>
                <c:pt idx="0">
                  <c:v>Α΄τριμ. 2016</c:v>
                </c:pt>
                <c:pt idx="1">
                  <c:v>B΄τριμ. 2016</c:v>
                </c:pt>
                <c:pt idx="2">
                  <c:v>Γτριμ. 2016</c:v>
                </c:pt>
                <c:pt idx="3">
                  <c:v>Δ΄τριμ. 2016</c:v>
                </c:pt>
              </c:strCache>
            </c:strRef>
          </c:cat>
          <c:val>
            <c:numRef>
              <c:f>Sheet1!$B$3:$S$3</c:f>
              <c:numCache>
                <c:formatCode>General</c:formatCode>
                <c:ptCount val="4"/>
              </c:numCache>
            </c:numRef>
          </c:val>
        </c:ser>
        <c:ser>
          <c:idx val="3"/>
          <c:order val="2"/>
          <c:tx>
            <c:strRef>
              <c:f>Sheet1!$A$4</c:f>
              <c:strCache>
                <c:ptCount val="1"/>
              </c:strCache>
            </c:strRef>
          </c:tx>
          <c:spPr>
            <a:solidFill>
              <a:srgbClr val="CCFFFF"/>
            </a:solidFill>
            <a:ln w="13955">
              <a:solidFill>
                <a:srgbClr val="000000"/>
              </a:solidFill>
              <a:prstDash val="solid"/>
            </a:ln>
          </c:spPr>
          <c:cat>
            <c:strRef>
              <c:f>Sheet1!$B$1:$S$1</c:f>
              <c:strCache>
                <c:ptCount val="4"/>
                <c:pt idx="0">
                  <c:v>Α΄τριμ. 2016</c:v>
                </c:pt>
                <c:pt idx="1">
                  <c:v>B΄τριμ. 2016</c:v>
                </c:pt>
                <c:pt idx="2">
                  <c:v>Γτριμ. 2016</c:v>
                </c:pt>
                <c:pt idx="3">
                  <c:v>Δ΄τριμ. 2016</c:v>
                </c:pt>
              </c:strCache>
            </c:strRef>
          </c:cat>
          <c:val>
            <c:numRef>
              <c:f>Sheet1!$B$4:$S$4</c:f>
              <c:numCache>
                <c:formatCode>General</c:formatCode>
                <c:ptCount val="4"/>
              </c:numCache>
            </c:numRef>
          </c:val>
        </c:ser>
        <c:gapWidth val="30"/>
        <c:overlap val="100"/>
        <c:axId val="261126016"/>
        <c:axId val="261127552"/>
      </c:barChart>
      <c:catAx>
        <c:axId val="261126016"/>
        <c:scaling>
          <c:orientation val="minMax"/>
        </c:scaling>
        <c:axPos val="b"/>
        <c:numFmt formatCode="General" sourceLinked="1"/>
        <c:tickLblPos val="low"/>
        <c:spPr>
          <a:ln w="13955">
            <a:solidFill>
              <a:srgbClr val="FFFFFF"/>
            </a:solidFill>
            <a:prstDash val="solid"/>
          </a:ln>
        </c:spPr>
        <c:txPr>
          <a:bodyPr rot="0" vert="horz"/>
          <a:lstStyle/>
          <a:p>
            <a:pPr>
              <a:defRPr sz="659" b="1" i="0" u="none" strike="noStrike" baseline="0">
                <a:solidFill>
                  <a:srgbClr val="000080"/>
                </a:solidFill>
                <a:latin typeface="Arial"/>
                <a:ea typeface="Arial"/>
                <a:cs typeface="Arial"/>
              </a:defRPr>
            </a:pPr>
            <a:endParaRPr lang="en-US"/>
          </a:p>
        </c:txPr>
        <c:crossAx val="261127552"/>
        <c:crossesAt val="0"/>
        <c:auto val="1"/>
        <c:lblAlgn val="ctr"/>
        <c:lblOffset val="100"/>
        <c:tickLblSkip val="1"/>
        <c:tickMarkSkip val="1"/>
      </c:catAx>
      <c:valAx>
        <c:axId val="261127552"/>
        <c:scaling>
          <c:orientation val="minMax"/>
          <c:max val="600"/>
          <c:min val="-150"/>
        </c:scaling>
        <c:delete val="1"/>
        <c:axPos val="l"/>
        <c:numFmt formatCode="General" sourceLinked="1"/>
        <c:tickLblPos val="nextTo"/>
        <c:crossAx val="261126016"/>
        <c:crosses val="autoZero"/>
        <c:crossBetween val="between"/>
        <c:majorUnit val="50"/>
        <c:minorUnit val="50"/>
      </c:valAx>
      <c:spPr>
        <a:noFill/>
        <a:ln w="27911">
          <a:noFill/>
        </a:ln>
      </c:spPr>
    </c:plotArea>
    <c:plotVisOnly val="1"/>
    <c:dispBlanksAs val="gap"/>
  </c:chart>
  <c:spPr>
    <a:noFill/>
    <a:ln>
      <a:noFill/>
    </a:ln>
  </c:spPr>
  <c:txPr>
    <a:bodyPr/>
    <a:lstStyle/>
    <a:p>
      <a:pPr>
        <a:defRPr sz="494" b="1"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025125628140701E-3"/>
          <c:y val="8.8495575221238978E-2"/>
          <c:w val="0.93467336683417113"/>
          <c:h val="0.72566371681415953"/>
        </c:manualLayout>
      </c:layout>
      <c:barChart>
        <c:barDir val="col"/>
        <c:grouping val="stacked"/>
        <c:ser>
          <c:idx val="0"/>
          <c:order val="0"/>
          <c:tx>
            <c:strRef>
              <c:f>Sheet1!$A$2</c:f>
              <c:strCache>
                <c:ptCount val="1"/>
                <c:pt idx="0">
                  <c:v>Κέρδη</c:v>
                </c:pt>
              </c:strCache>
            </c:strRef>
          </c:tx>
          <c:spPr>
            <a:solidFill>
              <a:srgbClr val="000080"/>
            </a:solidFill>
            <a:ln w="13970">
              <a:solidFill>
                <a:srgbClr val="FFFFFF"/>
              </a:solidFill>
              <a:prstDash val="solid"/>
            </a:ln>
          </c:spPr>
          <c:dLbls>
            <c:dLbl>
              <c:idx val="0"/>
              <c:layout>
                <c:manualLayout>
                  <c:xMode val="edge"/>
                  <c:yMode val="edge"/>
                  <c:x val="3.0150753768844227E-2"/>
                  <c:y val="0.24336283185840721"/>
                </c:manualLayout>
              </c:layout>
              <c:dLblPos val="ctr"/>
              <c:showVal val="1"/>
            </c:dLbl>
            <c:spPr>
              <a:noFill/>
              <a:ln w="27941">
                <a:noFill/>
              </a:ln>
            </c:spPr>
            <c:txPr>
              <a:bodyPr/>
              <a:lstStyle/>
              <a:p>
                <a:pPr>
                  <a:defRPr sz="770" b="1" i="0" u="none" strike="noStrike" baseline="0">
                    <a:solidFill>
                      <a:srgbClr val="FFFFFF"/>
                    </a:solidFill>
                    <a:latin typeface="Arial"/>
                    <a:ea typeface="Arial"/>
                    <a:cs typeface="Arial"/>
                  </a:defRPr>
                </a:pPr>
                <a:endParaRPr lang="en-US"/>
              </a:p>
            </c:txPr>
            <c:dLblPos val="inEnd"/>
            <c:showVal val="1"/>
          </c:dLbls>
          <c:cat>
            <c:strRef>
              <c:f>Sheet1!$B$1:$I$1</c:f>
              <c:strCache>
                <c:ptCount val="5"/>
                <c:pt idx="0">
                  <c:v>Δ΄τριμ. 2015</c:v>
                </c:pt>
                <c:pt idx="1">
                  <c:v>A΄τριμ. 2016</c:v>
                </c:pt>
                <c:pt idx="2">
                  <c:v>B΄τριμ. 2016</c:v>
                </c:pt>
                <c:pt idx="3">
                  <c:v>Γ΄τριμ. 2016</c:v>
                </c:pt>
                <c:pt idx="4">
                  <c:v>Δ΄τριμ. 2016</c:v>
                </c:pt>
              </c:strCache>
            </c:strRef>
          </c:cat>
          <c:val>
            <c:numRef>
              <c:f>Sheet1!$B$2:$I$2</c:f>
              <c:numCache>
                <c:formatCode>General</c:formatCode>
                <c:ptCount val="5"/>
                <c:pt idx="0">
                  <c:v>25.3</c:v>
                </c:pt>
                <c:pt idx="1">
                  <c:v>22.9</c:v>
                </c:pt>
                <c:pt idx="2">
                  <c:v>21.5</c:v>
                </c:pt>
                <c:pt idx="3">
                  <c:v>16.8</c:v>
                </c:pt>
                <c:pt idx="4">
                  <c:v>13.9</c:v>
                </c:pt>
              </c:numCache>
            </c:numRef>
          </c:val>
        </c:ser>
        <c:ser>
          <c:idx val="2"/>
          <c:order val="1"/>
          <c:tx>
            <c:strRef>
              <c:f>Sheet1!$A$3</c:f>
              <c:strCache>
                <c:ptCount val="1"/>
              </c:strCache>
            </c:strRef>
          </c:tx>
          <c:spPr>
            <a:solidFill>
              <a:srgbClr val="FFFFCC"/>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Sheet1!$B$3:$I$3</c:f>
              <c:numCache>
                <c:formatCode>General</c:formatCode>
                <c:ptCount val="5"/>
              </c:numCache>
            </c:numRef>
          </c:val>
        </c:ser>
        <c:ser>
          <c:idx val="3"/>
          <c:order val="2"/>
          <c:tx>
            <c:strRef>
              <c:f>Sheet1!$A$4</c:f>
              <c:strCache>
                <c:ptCount val="1"/>
              </c:strCache>
            </c:strRef>
          </c:tx>
          <c:spPr>
            <a:solidFill>
              <a:srgbClr val="CCFFFF"/>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Sheet1!$B$4:$I$4</c:f>
              <c:numCache>
                <c:formatCode>General</c:formatCode>
                <c:ptCount val="5"/>
              </c:numCache>
            </c:numRef>
          </c:val>
        </c:ser>
        <c:ser>
          <c:idx val="1"/>
          <c:order val="3"/>
          <c:tx>
            <c:strRef>
              <c:f>Sheet1!$A$5</c:f>
              <c:strCache>
                <c:ptCount val="1"/>
              </c:strCache>
            </c:strRef>
          </c:tx>
          <c:spPr>
            <a:solidFill>
              <a:srgbClr val="993366"/>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Sheet1!$B$5:$I$5</c:f>
              <c:numCache>
                <c:formatCode>General</c:formatCode>
                <c:ptCount val="5"/>
              </c:numCache>
            </c:numRef>
          </c:val>
        </c:ser>
        <c:ser>
          <c:idx val="4"/>
          <c:order val="4"/>
          <c:tx>
            <c:strRef>
              <c:f>Sheet1!$A$6</c:f>
              <c:strCache>
                <c:ptCount val="1"/>
              </c:strCache>
            </c:strRef>
          </c:tx>
          <c:spPr>
            <a:solidFill>
              <a:srgbClr val="660066"/>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Sheet1!$B$6:$I$6</c:f>
              <c:numCache>
                <c:formatCode>General</c:formatCode>
                <c:ptCount val="5"/>
              </c:numCache>
            </c:numRef>
          </c:val>
        </c:ser>
        <c:ser>
          <c:idx val="5"/>
          <c:order val="5"/>
          <c:tx>
            <c:strRef>
              <c:f>Sheet1!$A$7</c:f>
              <c:strCache>
                <c:ptCount val="1"/>
              </c:strCache>
            </c:strRef>
          </c:tx>
          <c:spPr>
            <a:solidFill>
              <a:srgbClr val="FF8080"/>
            </a:solidFill>
            <a:ln w="13970">
              <a:solidFill>
                <a:srgbClr val="000000"/>
              </a:solidFill>
              <a:prstDash val="solid"/>
            </a:ln>
          </c:spPr>
          <c:cat>
            <c:strRef>
              <c:f>Sheet1!$B$1:$I$1</c:f>
              <c:strCache>
                <c:ptCount val="5"/>
                <c:pt idx="0">
                  <c:v>Δ΄τριμ. 2015</c:v>
                </c:pt>
                <c:pt idx="1">
                  <c:v>A΄τριμ. 2016</c:v>
                </c:pt>
                <c:pt idx="2">
                  <c:v>B΄τριμ. 2016</c:v>
                </c:pt>
                <c:pt idx="3">
                  <c:v>Γ΄τριμ. 2016</c:v>
                </c:pt>
                <c:pt idx="4">
                  <c:v>Δ΄τριμ. 2016</c:v>
                </c:pt>
              </c:strCache>
            </c:strRef>
          </c:cat>
          <c:val>
            <c:numRef>
              <c:f>Sheet1!$B$7:$I$7</c:f>
              <c:numCache>
                <c:formatCode>General</c:formatCode>
                <c:ptCount val="5"/>
              </c:numCache>
            </c:numRef>
          </c:val>
        </c:ser>
        <c:gapWidth val="30"/>
        <c:overlap val="100"/>
        <c:axId val="267766400"/>
        <c:axId val="267776384"/>
      </c:barChart>
      <c:catAx>
        <c:axId val="267766400"/>
        <c:scaling>
          <c:orientation val="minMax"/>
        </c:scaling>
        <c:axPos val="b"/>
        <c:numFmt formatCode="General" sourceLinked="1"/>
        <c:tickLblPos val="low"/>
        <c:spPr>
          <a:ln w="13970">
            <a:solidFill>
              <a:srgbClr val="FFFFFF"/>
            </a:solidFill>
            <a:prstDash val="solid"/>
          </a:ln>
        </c:spPr>
        <c:txPr>
          <a:bodyPr rot="0" vert="horz"/>
          <a:lstStyle/>
          <a:p>
            <a:pPr>
              <a:defRPr sz="660" b="1" i="0" u="none" strike="noStrike" baseline="0">
                <a:solidFill>
                  <a:srgbClr val="000080"/>
                </a:solidFill>
                <a:latin typeface="Arial"/>
                <a:ea typeface="Arial"/>
                <a:cs typeface="Arial"/>
              </a:defRPr>
            </a:pPr>
            <a:endParaRPr lang="en-US"/>
          </a:p>
        </c:txPr>
        <c:crossAx val="267776384"/>
        <c:crossesAt val="0"/>
        <c:auto val="1"/>
        <c:lblAlgn val="ctr"/>
        <c:lblOffset val="100"/>
        <c:tickLblSkip val="1"/>
        <c:tickMarkSkip val="1"/>
      </c:catAx>
      <c:valAx>
        <c:axId val="267776384"/>
        <c:scaling>
          <c:orientation val="minMax"/>
          <c:max val="30"/>
          <c:min val="0"/>
        </c:scaling>
        <c:delete val="1"/>
        <c:axPos val="l"/>
        <c:numFmt formatCode="General" sourceLinked="1"/>
        <c:tickLblPos val="nextTo"/>
        <c:crossAx val="267766400"/>
        <c:crosses val="autoZero"/>
        <c:crossBetween val="between"/>
        <c:majorUnit val="10"/>
        <c:minorUnit val="10"/>
      </c:valAx>
      <c:spPr>
        <a:noFill/>
        <a:ln w="27941">
          <a:noFill/>
        </a:ln>
      </c:spPr>
    </c:plotArea>
    <c:plotVisOnly val="1"/>
    <c:dispBlanksAs val="gap"/>
  </c:chart>
  <c:spPr>
    <a:noFill/>
    <a:ln>
      <a:noFill/>
    </a:ln>
  </c:spPr>
  <c:txPr>
    <a:bodyPr/>
    <a:lstStyle/>
    <a:p>
      <a:pPr>
        <a:defRPr sz="495" b="1"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
          <c:y val="7.0796460176991191E-2"/>
          <c:w val="0.93467336683417113"/>
          <c:h val="0.7212389380530978"/>
        </c:manualLayout>
      </c:layout>
      <c:lineChart>
        <c:grouping val="stacked"/>
        <c:ser>
          <c:idx val="0"/>
          <c:order val="0"/>
          <c:tx>
            <c:strRef>
              <c:f>Sheet1!$A$2</c:f>
              <c:strCache>
                <c:ptCount val="1"/>
                <c:pt idx="0">
                  <c:v>Κέρδη</c:v>
                </c:pt>
              </c:strCache>
            </c:strRef>
          </c:tx>
          <c:spPr>
            <a:ln w="13970">
              <a:solidFill>
                <a:srgbClr val="FFFFFF"/>
              </a:solidFill>
              <a:prstDash val="solid"/>
            </a:ln>
          </c:spPr>
          <c:marker>
            <c:symbol val="none"/>
          </c:marker>
          <c:dLbls>
            <c:dLbl>
              <c:idx val="0"/>
              <c:layout>
                <c:manualLayout>
                  <c:xMode val="edge"/>
                  <c:yMode val="edge"/>
                  <c:x val="6.0301507537688467E-2"/>
                  <c:y val="0.27433628318584102"/>
                </c:manualLayout>
              </c:layout>
              <c:dLblPos val="r"/>
              <c:showVal val="1"/>
            </c:dLbl>
            <c:dLbl>
              <c:idx val="1"/>
              <c:layout>
                <c:manualLayout>
                  <c:xMode val="edge"/>
                  <c:yMode val="edge"/>
                  <c:x val="0.2613065326633166"/>
                  <c:y val="0.30530973451327431"/>
                </c:manualLayout>
              </c:layout>
              <c:dLblPos val="r"/>
              <c:showVal val="1"/>
            </c:dLbl>
            <c:dLbl>
              <c:idx val="2"/>
              <c:layout>
                <c:manualLayout>
                  <c:xMode val="edge"/>
                  <c:yMode val="edge"/>
                  <c:x val="0.45226130653266328"/>
                  <c:y val="0.40265486725663735"/>
                </c:manualLayout>
              </c:layout>
              <c:dLblPos val="r"/>
              <c:showVal val="1"/>
            </c:dLbl>
            <c:dLbl>
              <c:idx val="3"/>
              <c:layout>
                <c:manualLayout>
                  <c:xMode val="edge"/>
                  <c:yMode val="edge"/>
                  <c:x val="0.65829145728643257"/>
                  <c:y val="0.42477876106194717"/>
                </c:manualLayout>
              </c:layout>
              <c:dLblPos val="r"/>
              <c:showVal val="1"/>
            </c:dLbl>
            <c:dLbl>
              <c:idx val="4"/>
              <c:layout>
                <c:manualLayout>
                  <c:xMode val="edge"/>
                  <c:yMode val="edge"/>
                  <c:x val="0.82412060301507573"/>
                  <c:y val="0.49557522123893821"/>
                </c:manualLayout>
              </c:layout>
              <c:dLblPos val="r"/>
              <c:showVal val="1"/>
            </c:dLbl>
            <c:numFmt formatCode="0.0" sourceLinked="0"/>
            <c:spPr>
              <a:noFill/>
              <a:ln w="27941">
                <a:noFill/>
              </a:ln>
            </c:spPr>
            <c:txPr>
              <a:bodyPr/>
              <a:lstStyle/>
              <a:p>
                <a:pPr>
                  <a:defRPr sz="770" b="1" i="0" u="none" strike="noStrike" baseline="0">
                    <a:solidFill>
                      <a:srgbClr val="000080"/>
                    </a:solidFill>
                    <a:latin typeface="Arial"/>
                    <a:ea typeface="Arial"/>
                    <a:cs typeface="Arial"/>
                  </a:defRPr>
                </a:pPr>
                <a:endParaRPr lang="en-US"/>
              </a:p>
            </c:txPr>
            <c:dLblPos val="r"/>
            <c:showVal val="1"/>
          </c:dLbls>
          <c:cat>
            <c:strRef>
              <c:f>Sheet1!$B$1:$I$1</c:f>
              <c:strCache>
                <c:ptCount val="5"/>
                <c:pt idx="0">
                  <c:v>Δ΄τριμ. 2015</c:v>
                </c:pt>
                <c:pt idx="1">
                  <c:v>A΄τριμ. 2016</c:v>
                </c:pt>
                <c:pt idx="2">
                  <c:v>B΄τριμ. 2016</c:v>
                </c:pt>
                <c:pt idx="3">
                  <c:v>Γ΄τριμ. 2016</c:v>
                </c:pt>
                <c:pt idx="4">
                  <c:v>Δ΄τριμ. 2016</c:v>
                </c:pt>
              </c:strCache>
            </c:strRef>
          </c:cat>
          <c:val>
            <c:numRef>
              <c:f>Sheet1!$B$2:$I$2</c:f>
              <c:numCache>
                <c:formatCode>General</c:formatCode>
                <c:ptCount val="5"/>
                <c:pt idx="0">
                  <c:v>126.9</c:v>
                </c:pt>
                <c:pt idx="1">
                  <c:v>125.1</c:v>
                </c:pt>
                <c:pt idx="2">
                  <c:v>119.9</c:v>
                </c:pt>
                <c:pt idx="3">
                  <c:v>117.2</c:v>
                </c:pt>
                <c:pt idx="4">
                  <c:v>114.8</c:v>
                </c:pt>
              </c:numCache>
            </c:numRef>
          </c:val>
        </c:ser>
        <c:ser>
          <c:idx val="2"/>
          <c:order val="1"/>
          <c:tx>
            <c:strRef>
              <c:f>Sheet1!$A$3</c:f>
              <c:strCache>
                <c:ptCount val="1"/>
              </c:strCache>
            </c:strRef>
          </c:tx>
          <c:spPr>
            <a:ln w="13970">
              <a:solidFill>
                <a:srgbClr val="FFFF00"/>
              </a:solidFill>
              <a:prstDash val="solid"/>
            </a:ln>
          </c:spPr>
          <c:marker>
            <c:symbol val="none"/>
          </c:marker>
          <c:cat>
            <c:strRef>
              <c:f>Sheet1!$B$1:$I$1</c:f>
              <c:strCache>
                <c:ptCount val="5"/>
                <c:pt idx="0">
                  <c:v>Δ΄τριμ. 2015</c:v>
                </c:pt>
                <c:pt idx="1">
                  <c:v>A΄τριμ. 2016</c:v>
                </c:pt>
                <c:pt idx="2">
                  <c:v>B΄τριμ. 2016</c:v>
                </c:pt>
                <c:pt idx="3">
                  <c:v>Γ΄τριμ. 2016</c:v>
                </c:pt>
                <c:pt idx="4">
                  <c:v>Δ΄τριμ. 2016</c:v>
                </c:pt>
              </c:strCache>
            </c:strRef>
          </c:cat>
          <c:val>
            <c:numRef>
              <c:f>Sheet1!$B$3:$I$3</c:f>
              <c:numCache>
                <c:formatCode>General</c:formatCode>
                <c:ptCount val="5"/>
              </c:numCache>
            </c:numRef>
          </c:val>
        </c:ser>
        <c:ser>
          <c:idx val="3"/>
          <c:order val="2"/>
          <c:tx>
            <c:strRef>
              <c:f>Sheet1!$A$4</c:f>
              <c:strCache>
                <c:ptCount val="1"/>
              </c:strCache>
            </c:strRef>
          </c:tx>
          <c:spPr>
            <a:ln w="13970">
              <a:solidFill>
                <a:srgbClr val="000080"/>
              </a:solidFill>
              <a:prstDash val="solid"/>
            </a:ln>
          </c:spPr>
          <c:marker>
            <c:symbol val="square"/>
            <c:size val="5"/>
            <c:spPr>
              <a:noFill/>
              <a:ln>
                <a:solidFill>
                  <a:srgbClr val="000080"/>
                </a:solidFill>
                <a:prstDash val="solid"/>
              </a:ln>
            </c:spPr>
          </c:marker>
          <c:cat>
            <c:strRef>
              <c:f>Sheet1!$B$1:$I$1</c:f>
              <c:strCache>
                <c:ptCount val="5"/>
                <c:pt idx="0">
                  <c:v>Δ΄τριμ. 2015</c:v>
                </c:pt>
                <c:pt idx="1">
                  <c:v>A΄τριμ. 2016</c:v>
                </c:pt>
                <c:pt idx="2">
                  <c:v>B΄τριμ. 2016</c:v>
                </c:pt>
                <c:pt idx="3">
                  <c:v>Γ΄τριμ. 2016</c:v>
                </c:pt>
                <c:pt idx="4">
                  <c:v>Δ΄τριμ. 2016</c:v>
                </c:pt>
              </c:strCache>
            </c:strRef>
          </c:cat>
          <c:val>
            <c:numRef>
              <c:f>Sheet1!$B$4:$I$4</c:f>
              <c:numCache>
                <c:formatCode>General</c:formatCode>
                <c:ptCount val="5"/>
              </c:numCache>
            </c:numRef>
          </c:val>
        </c:ser>
        <c:marker val="1"/>
        <c:axId val="280589056"/>
        <c:axId val="280590976"/>
      </c:lineChart>
      <c:catAx>
        <c:axId val="280589056"/>
        <c:scaling>
          <c:orientation val="minMax"/>
        </c:scaling>
        <c:axPos val="b"/>
        <c:numFmt formatCode="General" sourceLinked="1"/>
        <c:tickLblPos val="nextTo"/>
        <c:spPr>
          <a:ln w="13970">
            <a:solidFill>
              <a:srgbClr val="FFFFFF"/>
            </a:solidFill>
            <a:prstDash val="solid"/>
          </a:ln>
        </c:spPr>
        <c:txPr>
          <a:bodyPr rot="0" vert="horz"/>
          <a:lstStyle/>
          <a:p>
            <a:pPr>
              <a:defRPr sz="660" b="1" i="0" u="none" strike="noStrike" baseline="0">
                <a:solidFill>
                  <a:srgbClr val="000080"/>
                </a:solidFill>
                <a:latin typeface="Arial"/>
                <a:ea typeface="Arial"/>
                <a:cs typeface="Arial"/>
              </a:defRPr>
            </a:pPr>
            <a:endParaRPr lang="en-US"/>
          </a:p>
        </c:txPr>
        <c:crossAx val="280590976"/>
        <c:crossesAt val="50"/>
        <c:auto val="1"/>
        <c:lblAlgn val="ctr"/>
        <c:lblOffset val="100"/>
        <c:tickLblSkip val="1"/>
        <c:tickMarkSkip val="1"/>
      </c:catAx>
      <c:valAx>
        <c:axId val="280590976"/>
        <c:scaling>
          <c:orientation val="minMax"/>
          <c:max val="150"/>
          <c:min val="100"/>
        </c:scaling>
        <c:delete val="1"/>
        <c:axPos val="l"/>
        <c:numFmt formatCode="General" sourceLinked="1"/>
        <c:tickLblPos val="nextTo"/>
        <c:crossAx val="280589056"/>
        <c:crosses val="autoZero"/>
        <c:crossBetween val="between"/>
        <c:majorUnit val="10"/>
        <c:minorUnit val="10"/>
      </c:valAx>
      <c:spPr>
        <a:noFill/>
        <a:ln w="27941">
          <a:noFill/>
        </a:ln>
      </c:spPr>
    </c:plotArea>
    <c:plotVisOnly val="1"/>
    <c:dispBlanksAs val="zero"/>
  </c:chart>
  <c:spPr>
    <a:noFill/>
    <a:ln>
      <a:noFill/>
    </a:ln>
  </c:spPr>
  <c:txPr>
    <a:bodyPr/>
    <a:lstStyle/>
    <a:p>
      <a:pPr>
        <a:defRPr sz="495"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Φεβρουαρίου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AB506-6D9F-41CA-9DB4-A454B187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EFG EUROBANK S.A.</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JHALARIS</dc:creator>
  <cp:lastModifiedBy>User</cp:lastModifiedBy>
  <cp:revision>2</cp:revision>
  <cp:lastPrinted>2017-03-29T08:27:00Z</cp:lastPrinted>
  <dcterms:created xsi:type="dcterms:W3CDTF">2017-03-29T14:52:00Z</dcterms:created>
  <dcterms:modified xsi:type="dcterms:W3CDTF">2017-03-29T14:52:00Z</dcterms:modified>
</cp:coreProperties>
</file>