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BF" w:rsidRPr="002C29A4" w:rsidRDefault="004D1F42" w:rsidP="00AB5A93">
      <w:pPr>
        <w:spacing w:before="240" w:after="120"/>
        <w:jc w:val="center"/>
        <w:rPr>
          <w:rFonts w:asciiTheme="minorHAnsi" w:hAnsiTheme="minorHAnsi"/>
          <w:b/>
          <w:spacing w:val="-6"/>
          <w:kern w:val="24"/>
          <w:position w:val="6"/>
        </w:rPr>
      </w:pPr>
      <w:r w:rsidRPr="002C29A4">
        <w:rPr>
          <w:rFonts w:asciiTheme="minorHAnsi" w:hAnsiTheme="minorHAnsi"/>
          <w:b/>
          <w:spacing w:val="-6"/>
          <w:kern w:val="24"/>
          <w:position w:val="6"/>
        </w:rPr>
        <w:t>Δελτίο Τύπου</w:t>
      </w:r>
    </w:p>
    <w:p w:rsidR="007278A6" w:rsidRDefault="007278A6" w:rsidP="00AB5A93">
      <w:pPr>
        <w:spacing w:before="240" w:after="120"/>
        <w:jc w:val="right"/>
        <w:rPr>
          <w:rFonts w:asciiTheme="minorHAnsi" w:eastAsia="Times New Roman" w:hAnsiTheme="minorHAnsi" w:cstheme="minorHAnsi"/>
          <w:highlight w:val="yellow"/>
        </w:rPr>
      </w:pPr>
    </w:p>
    <w:p w:rsidR="004215BF" w:rsidRPr="00522B68" w:rsidRDefault="004D1F42" w:rsidP="00AB5A93">
      <w:pPr>
        <w:spacing w:before="240" w:after="120"/>
        <w:jc w:val="right"/>
        <w:rPr>
          <w:rFonts w:asciiTheme="minorHAnsi" w:eastAsia="Times New Roman" w:hAnsiTheme="minorHAnsi" w:cstheme="minorHAnsi"/>
        </w:rPr>
      </w:pPr>
      <w:r w:rsidRPr="003D460C">
        <w:rPr>
          <w:rFonts w:asciiTheme="minorHAnsi" w:eastAsia="Times New Roman" w:hAnsiTheme="minorHAnsi" w:cstheme="minorHAnsi"/>
        </w:rPr>
        <w:t>Αθήνα</w:t>
      </w:r>
      <w:r w:rsidR="00150F29" w:rsidRPr="003D460C">
        <w:rPr>
          <w:rFonts w:asciiTheme="minorHAnsi" w:eastAsia="Times New Roman" w:hAnsiTheme="minorHAnsi" w:cstheme="minorHAnsi"/>
        </w:rPr>
        <w:t xml:space="preserve">, </w:t>
      </w:r>
      <w:r w:rsidR="003262D7" w:rsidRPr="003D460C">
        <w:rPr>
          <w:rFonts w:asciiTheme="minorHAnsi" w:eastAsia="Times New Roman" w:hAnsiTheme="minorHAnsi" w:cstheme="minorHAnsi"/>
        </w:rPr>
        <w:t>2</w:t>
      </w:r>
      <w:r w:rsidR="0091133A" w:rsidRPr="003D460C">
        <w:rPr>
          <w:rFonts w:asciiTheme="minorHAnsi" w:eastAsia="Times New Roman" w:hAnsiTheme="minorHAnsi" w:cstheme="minorHAnsi"/>
        </w:rPr>
        <w:t>3Νοεμβ</w:t>
      </w:r>
      <w:r w:rsidR="003262D7" w:rsidRPr="003D460C">
        <w:rPr>
          <w:rFonts w:asciiTheme="minorHAnsi" w:eastAsia="Times New Roman" w:hAnsiTheme="minorHAnsi" w:cstheme="minorHAnsi"/>
        </w:rPr>
        <w:t>ρίου</w:t>
      </w:r>
      <w:r w:rsidR="00150F29" w:rsidRPr="003D460C">
        <w:rPr>
          <w:rFonts w:asciiTheme="minorHAnsi" w:eastAsia="Times New Roman" w:hAnsiTheme="minorHAnsi" w:cstheme="minorHAnsi"/>
        </w:rPr>
        <w:t xml:space="preserve"> 202</w:t>
      </w:r>
      <w:r w:rsidR="00AB5A93" w:rsidRPr="003D460C">
        <w:rPr>
          <w:rFonts w:asciiTheme="minorHAnsi" w:eastAsia="Times New Roman" w:hAnsiTheme="minorHAnsi" w:cstheme="minorHAnsi"/>
        </w:rPr>
        <w:t>3</w:t>
      </w:r>
    </w:p>
    <w:p w:rsidR="007351A1" w:rsidRPr="00522B68" w:rsidRDefault="007351A1" w:rsidP="00AB5A93">
      <w:pPr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</w:p>
    <w:p w:rsidR="00403377" w:rsidRPr="00522B68" w:rsidRDefault="004D1F42" w:rsidP="00AB5A93">
      <w:pPr>
        <w:spacing w:before="240" w:after="120"/>
        <w:jc w:val="center"/>
        <w:rPr>
          <w:rFonts w:asciiTheme="minorHAnsi" w:eastAsia="Times New Roman" w:hAnsiTheme="minorHAnsi" w:cstheme="minorHAnsi"/>
        </w:rPr>
      </w:pPr>
      <w:r w:rsidRPr="00522B68">
        <w:rPr>
          <w:rFonts w:asciiTheme="minorHAnsi" w:eastAsia="Times New Roman" w:hAnsiTheme="minorHAnsi" w:cstheme="minorHAnsi"/>
          <w:b/>
          <w:bCs/>
        </w:rPr>
        <w:t>Όμιλος ΓΕΚ ΤΕΡΝΑ</w:t>
      </w:r>
      <w:r w:rsidR="00BC2179" w:rsidRPr="00522B68">
        <w:rPr>
          <w:rFonts w:asciiTheme="minorHAnsi" w:eastAsia="Times New Roman" w:hAnsiTheme="minorHAnsi" w:cstheme="minorHAnsi"/>
          <w:b/>
          <w:bCs/>
        </w:rPr>
        <w:t xml:space="preserve">: </w:t>
      </w:r>
      <w:r w:rsidR="00707124" w:rsidRPr="00522B68">
        <w:rPr>
          <w:rFonts w:asciiTheme="minorHAnsi" w:eastAsia="Times New Roman" w:hAnsiTheme="minorHAnsi" w:cstheme="minorHAnsi"/>
          <w:b/>
          <w:bCs/>
        </w:rPr>
        <w:t>Ο</w:t>
      </w:r>
      <w:r w:rsidR="00C83B0D" w:rsidRPr="00522B68">
        <w:rPr>
          <w:rFonts w:asciiTheme="minorHAnsi" w:eastAsia="Times New Roman" w:hAnsiTheme="minorHAnsi" w:cstheme="minorHAnsi"/>
          <w:b/>
          <w:bCs/>
        </w:rPr>
        <w:t xml:space="preserve">ικονομικά </w:t>
      </w:r>
      <w:r w:rsidR="00707124" w:rsidRPr="00522B68">
        <w:rPr>
          <w:rFonts w:asciiTheme="minorHAnsi" w:eastAsia="Times New Roman" w:hAnsiTheme="minorHAnsi" w:cstheme="minorHAnsi"/>
          <w:b/>
          <w:bCs/>
        </w:rPr>
        <w:t>Α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ποτελέσματα </w:t>
      </w:r>
      <w:r w:rsidR="00FD2FC1">
        <w:rPr>
          <w:rFonts w:asciiTheme="minorHAnsi" w:eastAsia="Times New Roman" w:hAnsiTheme="minorHAnsi" w:cstheme="minorHAnsi"/>
          <w:b/>
          <w:bCs/>
        </w:rPr>
        <w:t>Εννεάμηνου</w:t>
      </w:r>
      <w:r w:rsidRPr="00522B68">
        <w:rPr>
          <w:rFonts w:asciiTheme="minorHAnsi" w:eastAsia="Times New Roman" w:hAnsiTheme="minorHAnsi" w:cstheme="minorHAnsi"/>
          <w:b/>
          <w:bCs/>
        </w:rPr>
        <w:t>202</w:t>
      </w:r>
      <w:r w:rsidR="00C83B0D" w:rsidRPr="00522B68">
        <w:rPr>
          <w:rFonts w:asciiTheme="minorHAnsi" w:eastAsia="Times New Roman" w:hAnsiTheme="minorHAnsi" w:cstheme="minorHAnsi"/>
          <w:b/>
          <w:bCs/>
        </w:rPr>
        <w:t>3</w:t>
      </w:r>
    </w:p>
    <w:p w:rsidR="00FA14DE" w:rsidRPr="004C65EB" w:rsidRDefault="00E07F0D" w:rsidP="002C29A4">
      <w:pPr>
        <w:spacing w:before="240" w:after="120"/>
        <w:rPr>
          <w:rFonts w:asciiTheme="minorHAnsi" w:eastAsia="Times New Roman" w:hAnsiTheme="minorHAnsi" w:cstheme="minorHAnsi"/>
          <w:i/>
          <w:iCs/>
          <w:u w:val="single"/>
        </w:rPr>
      </w:pPr>
      <w:r>
        <w:rPr>
          <w:rFonts w:asciiTheme="minorHAnsi" w:eastAsia="Times New Roman" w:hAnsiTheme="minorHAnsi" w:cstheme="minorHAnsi"/>
          <w:i/>
          <w:iCs/>
          <w:u w:val="single"/>
        </w:rPr>
        <w:t xml:space="preserve">Διατήρηση ισχυρών επιπέδων κερδοφορίαςυποστηριζόμενα </w:t>
      </w:r>
      <w:r w:rsidR="0091133A">
        <w:rPr>
          <w:rFonts w:asciiTheme="minorHAnsi" w:eastAsia="Times New Roman" w:hAnsiTheme="minorHAnsi" w:cstheme="minorHAnsi"/>
          <w:i/>
          <w:iCs/>
          <w:u w:val="single"/>
        </w:rPr>
        <w:t xml:space="preserve">από </w:t>
      </w:r>
      <w:r w:rsidR="00A214EC">
        <w:rPr>
          <w:rFonts w:asciiTheme="minorHAnsi" w:eastAsia="Times New Roman" w:hAnsiTheme="minorHAnsi" w:cstheme="minorHAnsi"/>
          <w:i/>
          <w:iCs/>
          <w:u w:val="single"/>
        </w:rPr>
        <w:t>παραχωρήσεις, κατασκευή</w:t>
      </w:r>
      <w:r w:rsidR="0091133A">
        <w:rPr>
          <w:rFonts w:asciiTheme="minorHAnsi" w:eastAsia="Times New Roman" w:hAnsiTheme="minorHAnsi" w:cstheme="minorHAnsi"/>
          <w:i/>
          <w:iCs/>
          <w:u w:val="single"/>
        </w:rPr>
        <w:t xml:space="preserve"> και ΑΠΕ - </w:t>
      </w:r>
      <w:r w:rsidR="00AE7FBE" w:rsidRPr="00522B68">
        <w:rPr>
          <w:rFonts w:asciiTheme="minorHAnsi" w:eastAsia="Times New Roman" w:hAnsiTheme="minorHAnsi" w:cstheme="minorHAnsi"/>
          <w:i/>
          <w:iCs/>
          <w:u w:val="single"/>
        </w:rPr>
        <w:t xml:space="preserve">Προσαρμοσμένα καθαρά κέρδη </w:t>
      </w:r>
      <w:r w:rsidR="00911B5A" w:rsidRPr="002C29A4">
        <w:rPr>
          <w:rFonts w:asciiTheme="minorHAnsi" w:eastAsia="Times New Roman" w:hAnsiTheme="minorHAnsi" w:cstheme="minorHAnsi"/>
          <w:u w:val="single"/>
        </w:rPr>
        <w:t xml:space="preserve">€ </w:t>
      </w:r>
      <w:r w:rsidR="0091133A">
        <w:rPr>
          <w:rFonts w:asciiTheme="minorHAnsi" w:eastAsia="Times New Roman" w:hAnsiTheme="minorHAnsi" w:cstheme="minorHAnsi"/>
          <w:u w:val="single"/>
        </w:rPr>
        <w:t>88,8</w:t>
      </w:r>
      <w:r w:rsidR="00AE7FBE" w:rsidRPr="00522B68">
        <w:rPr>
          <w:rFonts w:asciiTheme="minorHAnsi" w:eastAsia="Times New Roman" w:hAnsiTheme="minorHAnsi" w:cstheme="minorHAnsi"/>
          <w:i/>
          <w:iCs/>
          <w:u w:val="single"/>
        </w:rPr>
        <w:t xml:space="preserve"> εκ.</w:t>
      </w:r>
      <w:r w:rsidR="00A214EC">
        <w:rPr>
          <w:rFonts w:asciiTheme="minorHAnsi" w:eastAsia="Times New Roman" w:hAnsiTheme="minorHAnsi" w:cstheme="minorHAnsi"/>
          <w:i/>
          <w:iCs/>
          <w:u w:val="single"/>
        </w:rPr>
        <w:t>(</w:t>
      </w:r>
      <w:r w:rsidR="004C65EB" w:rsidRPr="004C65EB">
        <w:rPr>
          <w:rFonts w:asciiTheme="minorHAnsi" w:eastAsia="Times New Roman" w:hAnsiTheme="minorHAnsi" w:cstheme="minorHAnsi"/>
          <w:i/>
          <w:iCs/>
          <w:u w:val="single"/>
        </w:rPr>
        <w:t xml:space="preserve">€ </w:t>
      </w:r>
      <w:r w:rsidR="004C65EB">
        <w:rPr>
          <w:rFonts w:asciiTheme="minorHAnsi" w:eastAsia="Times New Roman" w:hAnsiTheme="minorHAnsi" w:cstheme="minorHAnsi"/>
          <w:i/>
          <w:iCs/>
          <w:u w:val="single"/>
        </w:rPr>
        <w:t>0,</w:t>
      </w:r>
      <w:r w:rsidR="0091133A">
        <w:rPr>
          <w:rFonts w:asciiTheme="minorHAnsi" w:eastAsia="Times New Roman" w:hAnsiTheme="minorHAnsi" w:cstheme="minorHAnsi"/>
          <w:i/>
          <w:iCs/>
          <w:u w:val="single"/>
        </w:rPr>
        <w:t>94</w:t>
      </w:r>
      <w:r w:rsidR="004C65EB">
        <w:rPr>
          <w:rFonts w:asciiTheme="minorHAnsi" w:eastAsia="Times New Roman" w:hAnsiTheme="minorHAnsi" w:cstheme="minorHAnsi"/>
          <w:i/>
          <w:iCs/>
          <w:u w:val="single"/>
        </w:rPr>
        <w:t>/μετοχή</w:t>
      </w:r>
      <w:r w:rsidR="00A214EC">
        <w:rPr>
          <w:rFonts w:asciiTheme="minorHAnsi" w:eastAsia="Times New Roman" w:hAnsiTheme="minorHAnsi" w:cstheme="minorHAnsi"/>
          <w:i/>
          <w:iCs/>
          <w:u w:val="single"/>
        </w:rPr>
        <w:t>)</w:t>
      </w:r>
    </w:p>
    <w:p w:rsidR="00F22A35" w:rsidRPr="002C29A4" w:rsidRDefault="00C83B0D" w:rsidP="002C29A4">
      <w:pPr>
        <w:spacing w:before="240" w:after="120"/>
        <w:jc w:val="both"/>
        <w:rPr>
          <w:rFonts w:asciiTheme="minorHAnsi" w:hAnsiTheme="minorHAnsi"/>
        </w:rPr>
      </w:pPr>
      <w:r w:rsidRPr="002C29A4">
        <w:rPr>
          <w:rFonts w:asciiTheme="minorHAnsi" w:hAnsiTheme="minorHAnsi"/>
        </w:rPr>
        <w:t>Ο</w:t>
      </w:r>
      <w:r w:rsidR="008C360A" w:rsidRPr="002C29A4">
        <w:rPr>
          <w:rFonts w:asciiTheme="minorHAnsi" w:hAnsiTheme="minorHAnsi"/>
        </w:rPr>
        <w:t xml:space="preserve"> Όμιλος ΓΕΚ ΤΕΡΝΑ</w:t>
      </w:r>
      <w:r w:rsidR="00A13132" w:rsidRPr="002C29A4">
        <w:rPr>
          <w:rFonts w:asciiTheme="minorHAnsi" w:hAnsiTheme="minorHAnsi"/>
        </w:rPr>
        <w:t xml:space="preserve"> (</w:t>
      </w:r>
      <w:r w:rsidR="00A13132" w:rsidRPr="002C29A4">
        <w:rPr>
          <w:rFonts w:asciiTheme="minorHAnsi" w:hAnsiTheme="minorHAnsi"/>
          <w:lang w:val="en-GB"/>
        </w:rPr>
        <w:t>Bloomberg</w:t>
      </w:r>
      <w:r w:rsidR="00A13132" w:rsidRPr="002C29A4">
        <w:rPr>
          <w:rFonts w:asciiTheme="minorHAnsi" w:hAnsiTheme="minorHAnsi"/>
        </w:rPr>
        <w:t xml:space="preserve">: </w:t>
      </w:r>
      <w:r w:rsidR="00A13132" w:rsidRPr="002C29A4">
        <w:rPr>
          <w:rFonts w:asciiTheme="minorHAnsi" w:hAnsiTheme="minorHAnsi"/>
          <w:lang w:val="en-GB"/>
        </w:rPr>
        <w:t>GEKTERNAGA</w:t>
      </w:r>
      <w:r w:rsidR="00A13132" w:rsidRPr="002C29A4">
        <w:rPr>
          <w:rFonts w:asciiTheme="minorHAnsi" w:hAnsiTheme="minorHAnsi"/>
        </w:rPr>
        <w:t xml:space="preserve"> / </w:t>
      </w:r>
      <w:r w:rsidR="00A13132" w:rsidRPr="002C29A4">
        <w:rPr>
          <w:rFonts w:asciiTheme="minorHAnsi" w:hAnsiTheme="minorHAnsi"/>
          <w:lang w:val="en-GB"/>
        </w:rPr>
        <w:t>RIC</w:t>
      </w:r>
      <w:r w:rsidR="00A13132" w:rsidRPr="002C29A4">
        <w:rPr>
          <w:rFonts w:asciiTheme="minorHAnsi" w:hAnsiTheme="minorHAnsi"/>
        </w:rPr>
        <w:t xml:space="preserve">: </w:t>
      </w:r>
      <w:proofErr w:type="spellStart"/>
      <w:r w:rsidR="00A13132" w:rsidRPr="002C29A4">
        <w:rPr>
          <w:rFonts w:asciiTheme="minorHAnsi" w:hAnsiTheme="minorHAnsi"/>
          <w:lang w:val="en-GB"/>
        </w:rPr>
        <w:t>HRMr</w:t>
      </w:r>
      <w:proofErr w:type="spellEnd"/>
      <w:r w:rsidR="00A13132" w:rsidRPr="002C29A4">
        <w:rPr>
          <w:rFonts w:asciiTheme="minorHAnsi" w:hAnsiTheme="minorHAnsi"/>
        </w:rPr>
        <w:t>.</w:t>
      </w:r>
      <w:r w:rsidR="00A13132" w:rsidRPr="002C29A4">
        <w:rPr>
          <w:rFonts w:asciiTheme="minorHAnsi" w:hAnsiTheme="minorHAnsi"/>
          <w:lang w:val="en-GB"/>
        </w:rPr>
        <w:t>AT</w:t>
      </w:r>
      <w:r w:rsidR="00A13132" w:rsidRPr="002C29A4">
        <w:rPr>
          <w:rFonts w:asciiTheme="minorHAnsi" w:hAnsiTheme="minorHAnsi"/>
        </w:rPr>
        <w:t xml:space="preserve">) </w:t>
      </w:r>
      <w:r w:rsidRPr="002C29A4">
        <w:rPr>
          <w:rFonts w:asciiTheme="minorHAnsi" w:hAnsiTheme="minorHAnsi"/>
        </w:rPr>
        <w:t xml:space="preserve">ανακοινώνει τα συνοπτικά οικονομικά αποτελέσματα για το </w:t>
      </w:r>
      <w:r w:rsidR="0091133A">
        <w:rPr>
          <w:rFonts w:asciiTheme="minorHAnsi" w:hAnsiTheme="minorHAnsi"/>
        </w:rPr>
        <w:t>Ενν</w:t>
      </w:r>
      <w:r w:rsidR="00FD2FC1">
        <w:rPr>
          <w:rFonts w:asciiTheme="minorHAnsi" w:hAnsiTheme="minorHAnsi"/>
        </w:rPr>
        <w:t>ε</w:t>
      </w:r>
      <w:r w:rsidR="0091133A">
        <w:rPr>
          <w:rFonts w:asciiTheme="minorHAnsi" w:hAnsiTheme="minorHAnsi"/>
        </w:rPr>
        <w:t>άμηνο</w:t>
      </w:r>
      <w:r w:rsidRPr="002C29A4">
        <w:rPr>
          <w:rFonts w:asciiTheme="minorHAnsi" w:hAnsiTheme="minorHAnsi"/>
        </w:rPr>
        <w:t xml:space="preserve"> του 2023</w:t>
      </w:r>
      <w:r w:rsidR="00F22A35" w:rsidRPr="002C29A4">
        <w:rPr>
          <w:rFonts w:asciiTheme="minorHAnsi" w:hAnsiTheme="minorHAnsi"/>
        </w:rPr>
        <w:t xml:space="preserve">. </w:t>
      </w:r>
    </w:p>
    <w:p w:rsidR="0000504B" w:rsidRDefault="00F22A35" w:rsidP="002C29A4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 w:rsidRPr="002C29A4">
        <w:rPr>
          <w:rFonts w:asciiTheme="minorHAnsi" w:hAnsiTheme="minorHAnsi"/>
        </w:rPr>
        <w:t xml:space="preserve">Τα </w:t>
      </w:r>
      <w:r w:rsidRPr="00522B68">
        <w:rPr>
          <w:rFonts w:asciiTheme="minorHAnsi" w:eastAsia="Times New Roman" w:hAnsiTheme="minorHAnsi" w:cstheme="minorHAnsi"/>
          <w:b/>
          <w:bCs/>
        </w:rPr>
        <w:t>συνολικά έσοδα</w:t>
      </w:r>
      <w:r w:rsidRPr="002C29A4">
        <w:rPr>
          <w:rFonts w:asciiTheme="minorHAnsi" w:hAnsiTheme="minorHAnsi"/>
        </w:rPr>
        <w:t xml:space="preserve"> του </w:t>
      </w:r>
      <w:r w:rsidR="00707124" w:rsidRPr="002C29A4">
        <w:rPr>
          <w:rFonts w:asciiTheme="minorHAnsi" w:hAnsiTheme="minorHAnsi"/>
        </w:rPr>
        <w:t>Ομίλου</w:t>
      </w:r>
      <w:r w:rsidRPr="002C29A4">
        <w:rPr>
          <w:rFonts w:asciiTheme="minorHAnsi" w:hAnsiTheme="minorHAnsi"/>
        </w:rPr>
        <w:t xml:space="preserve"> για το </w:t>
      </w:r>
      <w:r w:rsidR="0091133A">
        <w:rPr>
          <w:rFonts w:asciiTheme="minorHAnsi" w:hAnsiTheme="minorHAnsi"/>
        </w:rPr>
        <w:t>Εν</w:t>
      </w:r>
      <w:r w:rsidR="00FD2FC1">
        <w:rPr>
          <w:rFonts w:asciiTheme="minorHAnsi" w:hAnsiTheme="minorHAnsi"/>
        </w:rPr>
        <w:t>νε</w:t>
      </w:r>
      <w:r w:rsidR="0091133A">
        <w:rPr>
          <w:rFonts w:asciiTheme="minorHAnsi" w:hAnsiTheme="minorHAnsi"/>
        </w:rPr>
        <w:t>άμηνο</w:t>
      </w:r>
      <w:r w:rsidR="00007D50" w:rsidRPr="002C29A4">
        <w:rPr>
          <w:rFonts w:asciiTheme="minorHAnsi" w:hAnsiTheme="minorHAnsi"/>
        </w:rPr>
        <w:t xml:space="preserve">του </w:t>
      </w:r>
      <w:r w:rsidRPr="002C29A4">
        <w:rPr>
          <w:rFonts w:asciiTheme="minorHAnsi" w:hAnsiTheme="minorHAnsi"/>
        </w:rPr>
        <w:t>202</w:t>
      </w:r>
      <w:r w:rsidR="00007D50" w:rsidRPr="002C29A4">
        <w:rPr>
          <w:rFonts w:asciiTheme="minorHAnsi" w:hAnsiTheme="minorHAnsi"/>
        </w:rPr>
        <w:t>3</w:t>
      </w:r>
      <w:r w:rsidR="00A214EC">
        <w:rPr>
          <w:rFonts w:asciiTheme="minorHAnsi" w:hAnsiTheme="minorHAnsi"/>
        </w:rPr>
        <w:t>διαμορφώθηκαν</w:t>
      </w:r>
      <w:r w:rsidR="003262D7" w:rsidRPr="002C29A4">
        <w:rPr>
          <w:rFonts w:asciiTheme="minorHAnsi" w:hAnsiTheme="minorHAnsi"/>
        </w:rPr>
        <w:t xml:space="preserve">σε </w:t>
      </w:r>
      <w:r w:rsidR="003262D7" w:rsidRPr="00522B68">
        <w:rPr>
          <w:rFonts w:asciiTheme="minorHAnsi" w:eastAsia="Times New Roman" w:hAnsiTheme="minorHAnsi" w:cstheme="minorHAnsi"/>
          <w:b/>
          <w:bCs/>
        </w:rPr>
        <w:t xml:space="preserve">€ </w:t>
      </w:r>
      <w:r w:rsidR="0091133A">
        <w:rPr>
          <w:rFonts w:asciiTheme="minorHAnsi" w:eastAsia="Times New Roman" w:hAnsiTheme="minorHAnsi" w:cstheme="minorHAnsi"/>
          <w:b/>
          <w:bCs/>
        </w:rPr>
        <w:t>2.529,</w:t>
      </w:r>
      <w:r w:rsidR="00A00A73" w:rsidRPr="00A00A73">
        <w:rPr>
          <w:rFonts w:asciiTheme="minorHAnsi" w:eastAsia="Times New Roman" w:hAnsiTheme="minorHAnsi" w:cstheme="minorHAnsi"/>
          <w:b/>
          <w:bCs/>
        </w:rPr>
        <w:t>4</w:t>
      </w:r>
      <w:r w:rsidR="003262D7" w:rsidRPr="00522B68">
        <w:rPr>
          <w:rFonts w:asciiTheme="minorHAnsi" w:hAnsiTheme="minorHAnsi" w:cstheme="minorHAnsi"/>
          <w:b/>
          <w:bCs/>
        </w:rPr>
        <w:t xml:space="preserve"> εκατ.</w:t>
      </w:r>
      <w:r w:rsidR="003262D7" w:rsidRPr="002C29A4">
        <w:rPr>
          <w:rFonts w:asciiTheme="minorHAnsi" w:hAnsiTheme="minorHAnsi"/>
        </w:rPr>
        <w:t xml:space="preserve"> έναντι € </w:t>
      </w:r>
      <w:r w:rsidR="0091133A">
        <w:rPr>
          <w:rFonts w:asciiTheme="minorHAnsi" w:hAnsiTheme="minorHAnsi"/>
        </w:rPr>
        <w:t>2</w:t>
      </w:r>
      <w:r w:rsidR="003262D7" w:rsidRPr="002C29A4">
        <w:rPr>
          <w:rFonts w:asciiTheme="minorHAnsi" w:hAnsiTheme="minorHAnsi"/>
        </w:rPr>
        <w:t>.</w:t>
      </w:r>
      <w:r w:rsidR="0091133A">
        <w:rPr>
          <w:rFonts w:asciiTheme="minorHAnsi" w:hAnsiTheme="minorHAnsi"/>
        </w:rPr>
        <w:t>762,0</w:t>
      </w:r>
      <w:r w:rsidR="00FA14DE" w:rsidRPr="001B7B66">
        <w:rPr>
          <w:rFonts w:asciiTheme="minorHAnsi" w:hAnsiTheme="minorHAnsi" w:cstheme="minorHAnsi"/>
        </w:rPr>
        <w:t>εκατ.</w:t>
      </w:r>
      <w:r w:rsidR="00FA14DE">
        <w:rPr>
          <w:rFonts w:asciiTheme="minorHAnsi" w:hAnsiTheme="minorHAnsi" w:cstheme="minorHAnsi"/>
        </w:rPr>
        <w:t xml:space="preserve"> την αντίστοιχη περίοδο του 2022</w:t>
      </w:r>
      <w:r w:rsidR="00A214EC">
        <w:rPr>
          <w:rFonts w:asciiTheme="minorHAnsi" w:hAnsiTheme="minorHAnsi" w:cstheme="minorHAnsi"/>
        </w:rPr>
        <w:t xml:space="preserve">, </w:t>
      </w:r>
      <w:r w:rsidR="00A214EC">
        <w:rPr>
          <w:rFonts w:asciiTheme="minorHAnsi" w:eastAsia="Times New Roman" w:hAnsiTheme="minorHAnsi" w:cstheme="minorHAnsi"/>
        </w:rPr>
        <w:t>σε ευθυγράμμιση μετη</w:t>
      </w:r>
      <w:r w:rsidR="00EE5992">
        <w:rPr>
          <w:rFonts w:asciiTheme="minorHAnsi" w:eastAsia="Times New Roman" w:hAnsiTheme="minorHAnsi" w:cstheme="minorHAnsi"/>
        </w:rPr>
        <w:t xml:space="preserve">ν </w:t>
      </w:r>
      <w:r w:rsidR="005D0282">
        <w:rPr>
          <w:rFonts w:asciiTheme="minorHAnsi" w:eastAsia="Times New Roman" w:hAnsiTheme="minorHAnsi" w:cstheme="minorHAnsi"/>
        </w:rPr>
        <w:t>εξομάλυνση</w:t>
      </w:r>
      <w:r w:rsidR="00EE5992">
        <w:rPr>
          <w:rFonts w:asciiTheme="minorHAnsi" w:eastAsia="Times New Roman" w:hAnsiTheme="minorHAnsi" w:cstheme="minorHAnsi"/>
        </w:rPr>
        <w:t xml:space="preserve"> των συνθηκών στην αγορά ενέργειας</w:t>
      </w:r>
      <w:r w:rsidR="00A214EC">
        <w:rPr>
          <w:rFonts w:asciiTheme="minorHAnsi" w:eastAsia="Times New Roman" w:hAnsiTheme="minorHAnsi" w:cstheme="minorHAnsi"/>
        </w:rPr>
        <w:t>, όπου το προηγούμενο έτος υπήρξε σημαντική μεταβλητότητα</w:t>
      </w:r>
      <w:r w:rsidR="00EE5992">
        <w:rPr>
          <w:rFonts w:asciiTheme="minorHAnsi" w:eastAsia="Times New Roman" w:hAnsiTheme="minorHAnsi" w:cstheme="minorHAnsi"/>
        </w:rPr>
        <w:t>.</w:t>
      </w:r>
      <w:r w:rsidR="00781003" w:rsidRPr="002C29A4">
        <w:rPr>
          <w:rFonts w:asciiTheme="minorHAnsi" w:hAnsiTheme="minorHAnsi"/>
        </w:rPr>
        <w:t>Η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λειτουργική κερδοφορία (προσαρμοσμένο </w:t>
      </w:r>
      <w:bookmarkStart w:id="0" w:name="_Hlk151390937"/>
      <w:r w:rsidRPr="00522B68">
        <w:rPr>
          <w:rFonts w:asciiTheme="minorHAnsi" w:eastAsia="Times New Roman" w:hAnsiTheme="minorHAnsi" w:cstheme="minorHAnsi"/>
          <w:b/>
          <w:bCs/>
          <w:lang w:val="en-GB"/>
        </w:rPr>
        <w:t>EBITDA</w:t>
      </w:r>
      <w:r w:rsidR="006E5D38" w:rsidRPr="00522B68">
        <w:rPr>
          <w:rStyle w:val="a7"/>
          <w:rFonts w:asciiTheme="minorHAnsi" w:eastAsia="Times New Roman" w:hAnsiTheme="minorHAnsi" w:cstheme="minorHAnsi"/>
          <w:b/>
          <w:bCs/>
          <w:lang w:val="en-GB"/>
        </w:rPr>
        <w:footnoteReference w:id="3"/>
      </w:r>
      <w:r w:rsidRPr="00522B68">
        <w:rPr>
          <w:rFonts w:asciiTheme="minorHAnsi" w:eastAsia="Times New Roman" w:hAnsiTheme="minorHAnsi" w:cstheme="minorHAnsi"/>
          <w:b/>
          <w:bCs/>
        </w:rPr>
        <w:t xml:space="preserve">) </w:t>
      </w:r>
      <w:bookmarkEnd w:id="0"/>
      <w:r w:rsidR="00A214EC">
        <w:rPr>
          <w:rFonts w:asciiTheme="minorHAnsi" w:eastAsia="Times New Roman" w:hAnsiTheme="minorHAnsi" w:cstheme="minorHAnsi"/>
          <w:b/>
          <w:bCs/>
        </w:rPr>
        <w:t>διαμορφώθηκε</w:t>
      </w:r>
      <w:r w:rsidRPr="00522B68">
        <w:rPr>
          <w:rFonts w:asciiTheme="minorHAnsi" w:eastAsia="Times New Roman" w:hAnsiTheme="minorHAnsi" w:cstheme="minorHAnsi"/>
          <w:b/>
          <w:bCs/>
        </w:rPr>
        <w:t>σ</w:t>
      </w:r>
      <w:r w:rsidR="00A214EC">
        <w:rPr>
          <w:rFonts w:asciiTheme="minorHAnsi" w:eastAsia="Times New Roman" w:hAnsiTheme="minorHAnsi" w:cstheme="minorHAnsi"/>
          <w:b/>
          <w:bCs/>
        </w:rPr>
        <w:t>ε</w:t>
      </w:r>
      <w:r w:rsidR="003942F4" w:rsidRPr="00522B68">
        <w:rPr>
          <w:rFonts w:asciiTheme="minorHAnsi" w:eastAsia="Times New Roman" w:hAnsiTheme="minorHAnsi" w:cstheme="minorHAnsi"/>
          <w:b/>
          <w:bCs/>
        </w:rPr>
        <w:t xml:space="preserve">€ </w:t>
      </w:r>
      <w:r w:rsidR="0091133A">
        <w:rPr>
          <w:rFonts w:asciiTheme="minorHAnsi" w:eastAsia="Times New Roman" w:hAnsiTheme="minorHAnsi" w:cstheme="minorHAnsi"/>
          <w:b/>
          <w:bCs/>
        </w:rPr>
        <w:t>396,</w:t>
      </w:r>
      <w:r w:rsidR="00A00A73" w:rsidRPr="00A00A73">
        <w:rPr>
          <w:rFonts w:asciiTheme="minorHAnsi" w:eastAsia="Times New Roman" w:hAnsiTheme="minorHAnsi" w:cstheme="minorHAnsi"/>
          <w:b/>
          <w:bCs/>
        </w:rPr>
        <w:t>3</w:t>
      </w:r>
      <w:r w:rsidRPr="007278A6">
        <w:rPr>
          <w:rFonts w:asciiTheme="minorHAnsi" w:eastAsia="Times New Roman" w:hAnsiTheme="minorHAnsi" w:cstheme="minorHAnsi"/>
          <w:b/>
          <w:bCs/>
        </w:rPr>
        <w:t>εκ</w:t>
      </w:r>
      <w:r w:rsidR="00FA14DE" w:rsidRPr="002C29A4">
        <w:rPr>
          <w:rFonts w:asciiTheme="minorHAnsi" w:eastAsia="Times New Roman" w:hAnsiTheme="minorHAnsi" w:cstheme="minorHAnsi"/>
          <w:b/>
          <w:bCs/>
        </w:rPr>
        <w:t>ατ</w:t>
      </w:r>
      <w:r w:rsidRPr="00522B68">
        <w:rPr>
          <w:rFonts w:asciiTheme="minorHAnsi" w:eastAsia="Times New Roman" w:hAnsiTheme="minorHAnsi" w:cstheme="minorHAnsi"/>
          <w:b/>
          <w:bCs/>
        </w:rPr>
        <w:t>.</w:t>
      </w:r>
      <w:r w:rsidRPr="002C29A4">
        <w:rPr>
          <w:rFonts w:asciiTheme="minorHAnsi" w:hAnsiTheme="minorHAnsi"/>
        </w:rPr>
        <w:t xml:space="preserve"> έναντι </w:t>
      </w:r>
      <w:r w:rsidR="003942F4" w:rsidRPr="002C29A4">
        <w:rPr>
          <w:rFonts w:asciiTheme="minorHAnsi" w:hAnsiTheme="minorHAnsi"/>
        </w:rPr>
        <w:t xml:space="preserve">€ </w:t>
      </w:r>
      <w:r w:rsidR="0091133A">
        <w:rPr>
          <w:rFonts w:asciiTheme="minorHAnsi" w:hAnsiTheme="minorHAnsi"/>
        </w:rPr>
        <w:t>404,8</w:t>
      </w:r>
      <w:r w:rsidRPr="002C29A4">
        <w:rPr>
          <w:rFonts w:asciiTheme="minorHAnsi" w:eastAsia="Times New Roman" w:hAnsiTheme="minorHAnsi" w:cstheme="minorHAnsi"/>
        </w:rPr>
        <w:t>εκ</w:t>
      </w:r>
      <w:r w:rsidR="00FA14DE">
        <w:rPr>
          <w:rFonts w:asciiTheme="minorHAnsi" w:eastAsia="Times New Roman" w:hAnsiTheme="minorHAnsi" w:cstheme="minorHAnsi"/>
        </w:rPr>
        <w:t>ατ</w:t>
      </w:r>
      <w:r w:rsidRPr="002C29A4">
        <w:rPr>
          <w:rFonts w:asciiTheme="minorHAnsi" w:hAnsiTheme="minorHAnsi"/>
        </w:rPr>
        <w:t>.για το</w:t>
      </w:r>
      <w:r w:rsidR="0091133A">
        <w:rPr>
          <w:rFonts w:asciiTheme="minorHAnsi" w:eastAsia="Times New Roman" w:hAnsiTheme="minorHAnsi" w:cstheme="minorHAnsi"/>
        </w:rPr>
        <w:t>Ενν</w:t>
      </w:r>
      <w:r w:rsidR="00A214EC">
        <w:rPr>
          <w:rFonts w:asciiTheme="minorHAnsi" w:eastAsia="Times New Roman" w:hAnsiTheme="minorHAnsi" w:cstheme="minorHAnsi"/>
        </w:rPr>
        <w:t>ε</w:t>
      </w:r>
      <w:r w:rsidR="0091133A">
        <w:rPr>
          <w:rFonts w:asciiTheme="minorHAnsi" w:eastAsia="Times New Roman" w:hAnsiTheme="minorHAnsi" w:cstheme="minorHAnsi"/>
        </w:rPr>
        <w:t>άμηνο</w:t>
      </w:r>
      <w:r w:rsidR="00FA14DE">
        <w:rPr>
          <w:rFonts w:asciiTheme="minorHAnsi" w:eastAsia="Times New Roman" w:hAnsiTheme="minorHAnsi" w:cstheme="minorHAnsi"/>
        </w:rPr>
        <w:t xml:space="preserve"> του</w:t>
      </w:r>
      <w:r w:rsidRPr="002C29A4">
        <w:rPr>
          <w:rFonts w:asciiTheme="minorHAnsi" w:hAnsiTheme="minorHAnsi"/>
        </w:rPr>
        <w:t xml:space="preserve"> 202</w:t>
      </w:r>
      <w:r w:rsidR="00007D50" w:rsidRPr="002C29A4">
        <w:rPr>
          <w:rFonts w:asciiTheme="minorHAnsi" w:hAnsiTheme="minorHAnsi"/>
        </w:rPr>
        <w:t>2</w:t>
      </w:r>
      <w:r w:rsidRPr="002C29A4">
        <w:rPr>
          <w:rFonts w:asciiTheme="minorHAnsi" w:hAnsiTheme="minorHAnsi"/>
        </w:rPr>
        <w:t>.</w:t>
      </w:r>
      <w:r w:rsidR="00781003" w:rsidRPr="002C29A4">
        <w:rPr>
          <w:rFonts w:asciiTheme="minorHAnsi" w:hAnsiTheme="minorHAnsi"/>
        </w:rPr>
        <w:t>Τ</w:t>
      </w:r>
      <w:r w:rsidRPr="002C29A4">
        <w:rPr>
          <w:rFonts w:asciiTheme="minorHAnsi" w:hAnsiTheme="minorHAnsi"/>
        </w:rPr>
        <w:t xml:space="preserve">α </w:t>
      </w:r>
      <w:r w:rsidRPr="00522B68">
        <w:rPr>
          <w:rFonts w:asciiTheme="minorHAnsi" w:eastAsia="Times New Roman" w:hAnsiTheme="minorHAnsi" w:cstheme="minorHAnsi"/>
          <w:b/>
          <w:bCs/>
        </w:rPr>
        <w:t>καθαρά κέρδη</w:t>
      </w:r>
      <w:r w:rsidRPr="002C29A4">
        <w:rPr>
          <w:rFonts w:asciiTheme="minorHAnsi" w:hAnsiTheme="minorHAnsi"/>
        </w:rPr>
        <w:t xml:space="preserve"> αποδιδόμενα στους μετόχους</w:t>
      </w:r>
      <w:r w:rsidR="0000504B" w:rsidRPr="002C29A4">
        <w:rPr>
          <w:rFonts w:asciiTheme="minorHAnsi" w:hAnsiTheme="minorHAnsi"/>
        </w:rPr>
        <w:t xml:space="preserve"> προσαρμοσμένα για </w:t>
      </w:r>
      <w:r w:rsidR="008D20A3">
        <w:rPr>
          <w:rFonts w:asciiTheme="minorHAnsi" w:hAnsiTheme="minorHAnsi"/>
        </w:rPr>
        <w:t>τα</w:t>
      </w:r>
      <w:r w:rsidR="00123043" w:rsidRPr="002C29A4">
        <w:rPr>
          <w:rFonts w:asciiTheme="minorHAnsi" w:hAnsiTheme="minorHAnsi"/>
        </w:rPr>
        <w:t xml:space="preserve">μη </w:t>
      </w:r>
      <w:r w:rsidR="0000504B" w:rsidRPr="002C29A4">
        <w:rPr>
          <w:rFonts w:asciiTheme="minorHAnsi" w:hAnsiTheme="minorHAnsi"/>
        </w:rPr>
        <w:t>λειτουργικά αποτελέσματα</w:t>
      </w:r>
      <w:r w:rsidR="006E5D38" w:rsidRPr="002C29A4">
        <w:rPr>
          <w:rStyle w:val="a7"/>
          <w:rFonts w:asciiTheme="minorHAnsi" w:hAnsiTheme="minorHAnsi"/>
        </w:rPr>
        <w:footnoteReference w:id="4"/>
      </w:r>
      <w:r w:rsidR="0000504B" w:rsidRPr="002C29A4">
        <w:rPr>
          <w:rFonts w:asciiTheme="minorHAnsi" w:hAnsiTheme="minorHAnsi"/>
        </w:rPr>
        <w:t xml:space="preserve">για το </w:t>
      </w:r>
      <w:r w:rsidR="0091133A">
        <w:rPr>
          <w:rFonts w:asciiTheme="minorHAnsi" w:hAnsiTheme="minorHAnsi"/>
        </w:rPr>
        <w:t>Ενν</w:t>
      </w:r>
      <w:r w:rsidR="00A00A73">
        <w:rPr>
          <w:rFonts w:asciiTheme="minorHAnsi" w:hAnsiTheme="minorHAnsi"/>
        </w:rPr>
        <w:t>ε</w:t>
      </w:r>
      <w:r w:rsidR="0091133A">
        <w:rPr>
          <w:rFonts w:asciiTheme="minorHAnsi" w:hAnsiTheme="minorHAnsi"/>
        </w:rPr>
        <w:t>άμηνο</w:t>
      </w:r>
      <w:r w:rsidR="00007D50" w:rsidRPr="002C29A4">
        <w:rPr>
          <w:rFonts w:asciiTheme="minorHAnsi" w:hAnsiTheme="minorHAnsi"/>
        </w:rPr>
        <w:t xml:space="preserve"> του </w:t>
      </w:r>
      <w:r w:rsidR="0000504B" w:rsidRPr="002C29A4">
        <w:rPr>
          <w:rFonts w:asciiTheme="minorHAnsi" w:hAnsiTheme="minorHAnsi"/>
        </w:rPr>
        <w:t>202</w:t>
      </w:r>
      <w:r w:rsidR="00007D50" w:rsidRPr="002C29A4">
        <w:rPr>
          <w:rFonts w:asciiTheme="minorHAnsi" w:hAnsiTheme="minorHAnsi"/>
        </w:rPr>
        <w:t>3</w:t>
      </w:r>
      <w:r w:rsidR="00A214EC">
        <w:rPr>
          <w:rFonts w:asciiTheme="minorHAnsi" w:hAnsiTheme="minorHAnsi"/>
        </w:rPr>
        <w:t>διαμορφώθηκαν</w:t>
      </w:r>
      <w:r w:rsidR="0000504B" w:rsidRPr="002C29A4">
        <w:rPr>
          <w:rFonts w:asciiTheme="minorHAnsi" w:hAnsiTheme="minorHAnsi"/>
        </w:rPr>
        <w:t xml:space="preserve"> σε </w:t>
      </w:r>
      <w:r w:rsidR="003942F4" w:rsidRPr="00522B68">
        <w:rPr>
          <w:rFonts w:asciiTheme="minorHAnsi" w:eastAsia="Times New Roman" w:hAnsiTheme="minorHAnsi" w:cstheme="minorHAnsi"/>
          <w:b/>
          <w:bCs/>
        </w:rPr>
        <w:t>€</w:t>
      </w:r>
      <w:r w:rsidR="0091133A">
        <w:rPr>
          <w:rFonts w:asciiTheme="minorHAnsi" w:eastAsia="Times New Roman" w:hAnsiTheme="minorHAnsi" w:cstheme="minorHAnsi"/>
          <w:b/>
          <w:bCs/>
        </w:rPr>
        <w:t>88,8</w:t>
      </w:r>
      <w:r w:rsidR="0000504B" w:rsidRPr="00522B68">
        <w:rPr>
          <w:rFonts w:asciiTheme="minorHAnsi" w:eastAsia="Times New Roman" w:hAnsiTheme="minorHAnsi" w:cstheme="minorHAnsi"/>
          <w:b/>
          <w:bCs/>
        </w:rPr>
        <w:t>εκ</w:t>
      </w:r>
      <w:r w:rsidR="00E46811">
        <w:rPr>
          <w:rFonts w:asciiTheme="minorHAnsi" w:eastAsia="Times New Roman" w:hAnsiTheme="minorHAnsi" w:cstheme="minorHAnsi"/>
          <w:b/>
          <w:bCs/>
        </w:rPr>
        <w:t>ατ</w:t>
      </w:r>
      <w:r w:rsidR="0000504B" w:rsidRPr="00522B68">
        <w:rPr>
          <w:rFonts w:asciiTheme="minorHAnsi" w:eastAsia="Times New Roman" w:hAnsiTheme="minorHAnsi" w:cstheme="minorHAnsi"/>
          <w:b/>
          <w:bCs/>
        </w:rPr>
        <w:t>.</w:t>
      </w:r>
      <w:r w:rsidR="00A13132" w:rsidRPr="002C29A4">
        <w:rPr>
          <w:rFonts w:asciiTheme="minorHAnsi" w:hAnsiTheme="minorHAnsi"/>
        </w:rPr>
        <w:t>,</w:t>
      </w:r>
      <w:r w:rsidR="0000504B" w:rsidRPr="002C29A4">
        <w:rPr>
          <w:rFonts w:asciiTheme="minorHAnsi" w:hAnsiTheme="minorHAnsi"/>
        </w:rPr>
        <w:t xml:space="preserve"> έναντι </w:t>
      </w:r>
      <w:r w:rsidR="003942F4" w:rsidRPr="002C29A4">
        <w:rPr>
          <w:rFonts w:asciiTheme="minorHAnsi" w:hAnsiTheme="minorHAnsi"/>
        </w:rPr>
        <w:t xml:space="preserve">€ </w:t>
      </w:r>
      <w:r w:rsidR="0091133A">
        <w:rPr>
          <w:rFonts w:asciiTheme="minorHAnsi" w:hAnsiTheme="minorHAnsi"/>
        </w:rPr>
        <w:t>93,2</w:t>
      </w:r>
      <w:r w:rsidR="0000504B" w:rsidRPr="002C29A4">
        <w:rPr>
          <w:rFonts w:asciiTheme="minorHAnsi" w:eastAsia="Times New Roman" w:hAnsiTheme="minorHAnsi" w:cstheme="minorHAnsi"/>
        </w:rPr>
        <w:t>εκ</w:t>
      </w:r>
      <w:r w:rsidR="00FA14DE">
        <w:rPr>
          <w:rFonts w:asciiTheme="minorHAnsi" w:eastAsia="Times New Roman" w:hAnsiTheme="minorHAnsi" w:cstheme="minorHAnsi"/>
        </w:rPr>
        <w:t>ατ</w:t>
      </w:r>
      <w:r w:rsidR="0000504B" w:rsidRPr="002C29A4">
        <w:rPr>
          <w:rFonts w:asciiTheme="minorHAnsi" w:eastAsia="Times New Roman" w:hAnsiTheme="minorHAnsi" w:cstheme="minorHAnsi"/>
        </w:rPr>
        <w:t>.</w:t>
      </w:r>
      <w:r w:rsidR="00FA14DE">
        <w:rPr>
          <w:rFonts w:asciiTheme="minorHAnsi" w:hAnsiTheme="minorHAnsi" w:cstheme="minorHAnsi"/>
        </w:rPr>
        <w:t>την αντίστοιχη περίοδο του 2022.</w:t>
      </w:r>
      <w:r w:rsidR="00EE5992" w:rsidRPr="00077051">
        <w:rPr>
          <w:rFonts w:asciiTheme="minorHAnsi" w:eastAsia="Times New Roman" w:hAnsiTheme="minorHAnsi" w:cstheme="minorHAnsi"/>
        </w:rPr>
        <w:t>Σημειώνεται ότι εξαιρουμένης της συνεισφοράς του Τομέα Παραγωγής, Προμήθειας και Εμπορίας Συμβατικής Ενέργειας</w:t>
      </w:r>
      <w:r w:rsidR="006F05DB" w:rsidRPr="00077051">
        <w:rPr>
          <w:rFonts w:asciiTheme="minorHAnsi" w:eastAsia="Times New Roman" w:hAnsiTheme="minorHAnsi" w:cstheme="minorHAnsi"/>
        </w:rPr>
        <w:t xml:space="preserve"> (η κερδοφορία του οποίου είχε επ</w:t>
      </w:r>
      <w:r w:rsidR="005D0282" w:rsidRPr="00077051">
        <w:rPr>
          <w:rFonts w:asciiTheme="minorHAnsi" w:eastAsia="Times New Roman" w:hAnsiTheme="minorHAnsi" w:cstheme="minorHAnsi"/>
        </w:rPr>
        <w:t>η</w:t>
      </w:r>
      <w:r w:rsidR="006F05DB" w:rsidRPr="00077051">
        <w:rPr>
          <w:rFonts w:asciiTheme="minorHAnsi" w:eastAsia="Times New Roman" w:hAnsiTheme="minorHAnsi" w:cstheme="minorHAnsi"/>
        </w:rPr>
        <w:t>ρεαστεί από την υψηλή μεταβλητότητα των αγορών ενέργειας</w:t>
      </w:r>
      <w:r w:rsidR="00A214EC">
        <w:rPr>
          <w:rFonts w:asciiTheme="minorHAnsi" w:eastAsia="Times New Roman" w:hAnsiTheme="minorHAnsi" w:cstheme="minorHAnsi"/>
        </w:rPr>
        <w:t xml:space="preserve"> το 2022</w:t>
      </w:r>
      <w:r w:rsidR="006F05DB" w:rsidRPr="00077051">
        <w:rPr>
          <w:rFonts w:asciiTheme="minorHAnsi" w:eastAsia="Times New Roman" w:hAnsiTheme="minorHAnsi" w:cstheme="minorHAnsi"/>
        </w:rPr>
        <w:t>)</w:t>
      </w:r>
      <w:r w:rsidR="00EE5992" w:rsidRPr="00077051">
        <w:rPr>
          <w:rFonts w:asciiTheme="minorHAnsi" w:eastAsia="Times New Roman" w:hAnsiTheme="minorHAnsi" w:cstheme="minorHAnsi"/>
        </w:rPr>
        <w:t xml:space="preserve">, το  προσαρμοσμένο </w:t>
      </w:r>
      <w:r w:rsidR="00EE5992" w:rsidRPr="00077051">
        <w:rPr>
          <w:rFonts w:asciiTheme="minorHAnsi" w:eastAsia="Times New Roman" w:hAnsiTheme="minorHAnsi" w:cstheme="minorHAnsi"/>
          <w:lang w:val="en-GB"/>
        </w:rPr>
        <w:t>EBITDA</w:t>
      </w:r>
      <w:r w:rsidR="006F05DB" w:rsidRPr="00077051">
        <w:rPr>
          <w:rFonts w:asciiTheme="minorHAnsi" w:hAnsiTheme="minorHAnsi"/>
        </w:rPr>
        <w:t xml:space="preserve">γιατο </w:t>
      </w:r>
      <w:r w:rsidR="005D0282" w:rsidRPr="00077051">
        <w:rPr>
          <w:rFonts w:asciiTheme="minorHAnsi" w:hAnsiTheme="minorHAnsi"/>
        </w:rPr>
        <w:t>Εν</w:t>
      </w:r>
      <w:r w:rsidR="00A214EC">
        <w:rPr>
          <w:rFonts w:asciiTheme="minorHAnsi" w:hAnsiTheme="minorHAnsi"/>
        </w:rPr>
        <w:t>νε</w:t>
      </w:r>
      <w:r w:rsidR="005D0282" w:rsidRPr="00077051">
        <w:rPr>
          <w:rFonts w:asciiTheme="minorHAnsi" w:hAnsiTheme="minorHAnsi"/>
        </w:rPr>
        <w:t>άμηνο</w:t>
      </w:r>
      <w:r w:rsidR="006F05DB" w:rsidRPr="00077051">
        <w:rPr>
          <w:rFonts w:asciiTheme="minorHAnsi" w:hAnsiTheme="minorHAnsi"/>
        </w:rPr>
        <w:t xml:space="preserve"> του 2023 </w:t>
      </w:r>
      <w:r w:rsidR="00EE5992" w:rsidRPr="00077051">
        <w:rPr>
          <w:rFonts w:asciiTheme="minorHAnsi" w:hAnsiTheme="minorHAnsi"/>
        </w:rPr>
        <w:t xml:space="preserve">σημείωσε </w:t>
      </w:r>
      <w:r w:rsidR="00854405" w:rsidRPr="00077051">
        <w:rPr>
          <w:rFonts w:asciiTheme="minorHAnsi" w:hAnsiTheme="minorHAnsi"/>
        </w:rPr>
        <w:t>αύξηση</w:t>
      </w:r>
      <w:r w:rsidR="00EE5992" w:rsidRPr="00077051">
        <w:rPr>
          <w:rFonts w:asciiTheme="minorHAnsi" w:hAnsiTheme="minorHAnsi"/>
        </w:rPr>
        <w:t xml:space="preserve"> κατά 26,4% σε σχέση με τ</w:t>
      </w:r>
      <w:r w:rsidR="005D0282" w:rsidRPr="00077051">
        <w:rPr>
          <w:rFonts w:asciiTheme="minorHAnsi" w:hAnsiTheme="minorHAnsi"/>
        </w:rPr>
        <w:t>η</w:t>
      </w:r>
      <w:r w:rsidR="00EE5992" w:rsidRPr="00077051">
        <w:rPr>
          <w:rFonts w:asciiTheme="minorHAnsi" w:hAnsiTheme="minorHAnsi"/>
        </w:rPr>
        <w:t xml:space="preserve">ν </w:t>
      </w:r>
      <w:r w:rsidR="00854405" w:rsidRPr="00077051">
        <w:rPr>
          <w:rFonts w:asciiTheme="minorHAnsi" w:hAnsiTheme="minorHAnsi"/>
        </w:rPr>
        <w:t>αντίστοιχη</w:t>
      </w:r>
      <w:r w:rsidR="00EE5992" w:rsidRPr="00077051">
        <w:rPr>
          <w:rFonts w:asciiTheme="minorHAnsi" w:hAnsiTheme="minorHAnsi"/>
        </w:rPr>
        <w:t xml:space="preserve"> περίοδο του 2022.</w:t>
      </w:r>
    </w:p>
    <w:p w:rsidR="00054836" w:rsidRPr="00EE5992" w:rsidRDefault="00054836" w:rsidP="002C29A4">
      <w:pPr>
        <w:spacing w:before="240" w:after="120"/>
        <w:jc w:val="both"/>
        <w:rPr>
          <w:rFonts w:asciiTheme="minorHAnsi" w:hAnsiTheme="minorHAnsi"/>
          <w:b/>
          <w:bCs/>
        </w:rPr>
      </w:pPr>
      <w:r w:rsidRPr="00077051">
        <w:rPr>
          <w:rFonts w:asciiTheme="minorHAnsi" w:eastAsia="Times New Roman" w:hAnsiTheme="minorHAnsi" w:cstheme="minorHAnsi"/>
          <w:b/>
          <w:bCs/>
        </w:rPr>
        <w:t xml:space="preserve">Σε επίπεδο </w:t>
      </w:r>
      <w:r w:rsidR="00077051" w:rsidRPr="00077051">
        <w:rPr>
          <w:rFonts w:asciiTheme="minorHAnsi" w:eastAsia="Times New Roman" w:hAnsiTheme="minorHAnsi" w:cstheme="minorHAnsi"/>
          <w:b/>
          <w:bCs/>
        </w:rPr>
        <w:t>Γ</w:t>
      </w:r>
      <w:r w:rsidR="00FD2FC1">
        <w:rPr>
          <w:rFonts w:asciiTheme="minorHAnsi" w:eastAsia="Times New Roman" w:hAnsiTheme="minorHAnsi" w:cstheme="minorHAnsi"/>
          <w:b/>
          <w:bCs/>
        </w:rPr>
        <w:t>’</w:t>
      </w:r>
      <w:r w:rsidR="00077051" w:rsidRPr="00077051">
        <w:rPr>
          <w:rFonts w:asciiTheme="minorHAnsi" w:eastAsia="Times New Roman" w:hAnsiTheme="minorHAnsi" w:cstheme="minorHAnsi"/>
          <w:b/>
          <w:bCs/>
        </w:rPr>
        <w:t xml:space="preserve"> Τριμήνου</w:t>
      </w:r>
      <w:r w:rsidRPr="00077051">
        <w:rPr>
          <w:rFonts w:asciiTheme="minorHAnsi" w:eastAsia="Times New Roman" w:hAnsiTheme="minorHAnsi" w:cstheme="minorHAnsi"/>
          <w:b/>
          <w:bCs/>
        </w:rPr>
        <w:t xml:space="preserve"> του 2023</w:t>
      </w:r>
      <w:r w:rsidRPr="00EE5992">
        <w:rPr>
          <w:rFonts w:asciiTheme="minorHAnsi" w:eastAsia="Times New Roman" w:hAnsiTheme="minorHAnsi" w:cstheme="minorHAnsi"/>
        </w:rPr>
        <w:t xml:space="preserve">, τα συνολικά έσοδα </w:t>
      </w:r>
      <w:r w:rsidR="00A214EC">
        <w:rPr>
          <w:rFonts w:asciiTheme="minorHAnsi" w:eastAsia="Times New Roman" w:hAnsiTheme="minorHAnsi" w:cstheme="minorHAnsi"/>
        </w:rPr>
        <w:t>ήταν</w:t>
      </w:r>
      <w:r w:rsidRPr="00EE5992">
        <w:rPr>
          <w:rFonts w:asciiTheme="minorHAnsi" w:eastAsia="Times New Roman" w:hAnsiTheme="minorHAnsi" w:cstheme="minorHAnsi"/>
        </w:rPr>
        <w:t xml:space="preserve"> σε € 925,0 </w:t>
      </w:r>
      <w:r w:rsidR="00854405" w:rsidRPr="00EE5992">
        <w:rPr>
          <w:rFonts w:asciiTheme="minorHAnsi" w:eastAsia="Times New Roman" w:hAnsiTheme="minorHAnsi" w:cstheme="minorHAnsi"/>
        </w:rPr>
        <w:t>εκατ.</w:t>
      </w:r>
      <w:r w:rsidRPr="00EE5992">
        <w:rPr>
          <w:rFonts w:asciiTheme="minorHAnsi" w:eastAsia="Times New Roman" w:hAnsiTheme="minorHAnsi" w:cstheme="minorHAnsi"/>
        </w:rPr>
        <w:t xml:space="preserve"> και το προσαρμοσμένο </w:t>
      </w:r>
      <w:r w:rsidR="005D0282" w:rsidRPr="00077051">
        <w:rPr>
          <w:rFonts w:asciiTheme="minorHAnsi" w:eastAsia="Times New Roman" w:hAnsiTheme="minorHAnsi" w:cstheme="minorHAnsi"/>
          <w:lang w:val="en-GB"/>
        </w:rPr>
        <w:t>EBITDA</w:t>
      </w:r>
      <w:r w:rsidR="005D0282" w:rsidRPr="00077051">
        <w:rPr>
          <w:rStyle w:val="a7"/>
          <w:rFonts w:asciiTheme="minorHAnsi" w:eastAsia="Times New Roman" w:hAnsiTheme="minorHAnsi" w:cstheme="minorHAnsi"/>
        </w:rPr>
        <w:t>1</w:t>
      </w:r>
      <w:r w:rsidRPr="00EE5992">
        <w:rPr>
          <w:rFonts w:asciiTheme="minorHAnsi" w:hAnsiTheme="minorHAnsi"/>
        </w:rPr>
        <w:t xml:space="preserve">σε </w:t>
      </w:r>
      <w:r w:rsidRPr="00EE5992">
        <w:rPr>
          <w:rFonts w:asciiTheme="minorHAnsi" w:eastAsia="Times New Roman" w:hAnsiTheme="minorHAnsi" w:cstheme="minorHAnsi"/>
        </w:rPr>
        <w:t>€ 146,1 εκατ. έναντι € 1,300.4 εκατ</w:t>
      </w:r>
      <w:r w:rsidR="00A214EC">
        <w:rPr>
          <w:rFonts w:asciiTheme="minorHAnsi" w:eastAsia="Times New Roman" w:hAnsiTheme="minorHAnsi" w:cstheme="minorHAnsi"/>
        </w:rPr>
        <w:t>.</w:t>
      </w:r>
      <w:r w:rsidRPr="00EE5992">
        <w:rPr>
          <w:rFonts w:asciiTheme="minorHAnsi" w:eastAsia="Times New Roman" w:hAnsiTheme="minorHAnsi" w:cstheme="minorHAnsi"/>
        </w:rPr>
        <w:t xml:space="preserve"> και € 186,7 εκατ. αντίστοιχα</w:t>
      </w:r>
      <w:r w:rsidR="007836B5">
        <w:rPr>
          <w:rFonts w:asciiTheme="minorHAnsi" w:eastAsia="Times New Roman" w:hAnsiTheme="minorHAnsi" w:cstheme="minorHAnsi"/>
        </w:rPr>
        <w:t xml:space="preserve"> την προηγούμενη περίοδο</w:t>
      </w:r>
      <w:r w:rsidR="00EE5992" w:rsidRPr="00EE5992">
        <w:rPr>
          <w:rFonts w:asciiTheme="minorHAnsi" w:eastAsia="Times New Roman" w:hAnsiTheme="minorHAnsi" w:cstheme="minorHAnsi"/>
          <w:b/>
          <w:bCs/>
        </w:rPr>
        <w:t xml:space="preserve">. </w:t>
      </w:r>
      <w:r w:rsidR="00EE5992" w:rsidRPr="00077051">
        <w:rPr>
          <w:rFonts w:asciiTheme="minorHAnsi" w:eastAsia="Times New Roman" w:hAnsiTheme="minorHAnsi" w:cstheme="minorHAnsi"/>
        </w:rPr>
        <w:t xml:space="preserve">Εξαιρούμενης της συνεισφοράς του Τομέα Παραγωγής, Προμήθειας και Εμπορίας Συμβατικής Ενέργειας, προσαρμοσμένο </w:t>
      </w:r>
      <w:r w:rsidR="00EE5992" w:rsidRPr="00077051">
        <w:rPr>
          <w:rFonts w:asciiTheme="minorHAnsi" w:eastAsia="Times New Roman" w:hAnsiTheme="minorHAnsi" w:cstheme="minorHAnsi"/>
          <w:lang w:val="en-GB"/>
        </w:rPr>
        <w:t>EBITDA</w:t>
      </w:r>
      <w:r w:rsidR="007836B5" w:rsidRPr="00077051">
        <w:rPr>
          <w:rFonts w:asciiTheme="minorHAnsi" w:eastAsia="Times New Roman" w:hAnsiTheme="minorHAnsi" w:cstheme="minorHAnsi"/>
          <w:vertAlign w:val="superscript"/>
        </w:rPr>
        <w:t>1</w:t>
      </w:r>
      <w:r w:rsidR="00EE5992" w:rsidRPr="00077051">
        <w:rPr>
          <w:rFonts w:asciiTheme="minorHAnsi" w:hAnsiTheme="minorHAnsi"/>
        </w:rPr>
        <w:t xml:space="preserve"> για το </w:t>
      </w:r>
      <w:r w:rsidR="00854405" w:rsidRPr="00077051">
        <w:rPr>
          <w:rFonts w:asciiTheme="minorHAnsi" w:hAnsiTheme="minorHAnsi"/>
        </w:rPr>
        <w:t>Γ ’Τρίμηνο</w:t>
      </w:r>
      <w:r w:rsidR="00EE5992" w:rsidRPr="00077051">
        <w:rPr>
          <w:rFonts w:asciiTheme="minorHAnsi" w:hAnsiTheme="minorHAnsi"/>
        </w:rPr>
        <w:t xml:space="preserve"> αυξήθηκε κατά 62%.</w:t>
      </w:r>
    </w:p>
    <w:p w:rsidR="0013732D" w:rsidRPr="002C29A4" w:rsidRDefault="00F26994" w:rsidP="002C29A4">
      <w:pPr>
        <w:spacing w:before="240" w:after="120"/>
        <w:jc w:val="both"/>
        <w:rPr>
          <w:rFonts w:asciiTheme="minorHAnsi" w:hAnsiTheme="minorHAnsi"/>
        </w:rPr>
      </w:pPr>
      <w:r w:rsidRPr="007836B5">
        <w:rPr>
          <w:rFonts w:asciiTheme="minorHAnsi" w:hAnsiTheme="minorHAnsi"/>
        </w:rPr>
        <w:t xml:space="preserve">Ο ισολογισμός </w:t>
      </w:r>
      <w:r w:rsidR="00007D50" w:rsidRPr="007836B5">
        <w:rPr>
          <w:rFonts w:asciiTheme="minorHAnsi" w:hAnsiTheme="minorHAnsi"/>
        </w:rPr>
        <w:t>του Ομίλου παραμένει ισχυρ</w:t>
      </w:r>
      <w:r w:rsidRPr="007836B5">
        <w:rPr>
          <w:rFonts w:asciiTheme="minorHAnsi" w:hAnsiTheme="minorHAnsi"/>
        </w:rPr>
        <w:t>ός</w:t>
      </w:r>
      <w:r w:rsidR="00007D50" w:rsidRPr="007836B5">
        <w:rPr>
          <w:rFonts w:asciiTheme="minorHAnsi" w:hAnsiTheme="minorHAnsi"/>
        </w:rPr>
        <w:t xml:space="preserve"> με </w:t>
      </w:r>
      <w:r w:rsidRPr="007836B5">
        <w:rPr>
          <w:rFonts w:asciiTheme="minorHAnsi" w:hAnsiTheme="minorHAnsi"/>
        </w:rPr>
        <w:t xml:space="preserve">το </w:t>
      </w:r>
      <w:r w:rsidR="00F83236" w:rsidRPr="007836B5">
        <w:rPr>
          <w:rFonts w:asciiTheme="minorHAnsi" w:eastAsia="Times New Roman" w:hAnsiTheme="minorHAnsi" w:cstheme="minorHAnsi"/>
          <w:b/>
          <w:bCs/>
        </w:rPr>
        <w:t>Καθαρό Χρέος μετά των δεσμευμένων καταθέσεων και επιχορηγήσεων προς επιστροφή</w:t>
      </w:r>
      <w:r w:rsidRPr="007836B5">
        <w:rPr>
          <w:rFonts w:asciiTheme="minorHAnsi" w:eastAsia="Times New Roman" w:hAnsiTheme="minorHAnsi" w:cstheme="minorHAnsi"/>
          <w:vertAlign w:val="superscript"/>
        </w:rPr>
        <w:t>1</w:t>
      </w:r>
      <w:r w:rsidR="00007D50" w:rsidRPr="007836B5">
        <w:rPr>
          <w:rFonts w:asciiTheme="minorHAnsi" w:hAnsiTheme="minorHAnsi"/>
        </w:rPr>
        <w:t xml:space="preserve"> να </w:t>
      </w:r>
      <w:r w:rsidR="00FA14DE" w:rsidRPr="007836B5">
        <w:rPr>
          <w:rFonts w:asciiTheme="minorHAnsi" w:eastAsia="Times New Roman" w:hAnsiTheme="minorHAnsi" w:cstheme="minorHAnsi"/>
        </w:rPr>
        <w:t>διαμορφώνεται</w:t>
      </w:r>
      <w:r w:rsidR="00007D50" w:rsidRPr="007836B5">
        <w:rPr>
          <w:rFonts w:asciiTheme="minorHAnsi" w:hAnsiTheme="minorHAnsi"/>
        </w:rPr>
        <w:t>σ</w:t>
      </w:r>
      <w:r w:rsidR="00707124" w:rsidRPr="007836B5">
        <w:rPr>
          <w:rFonts w:asciiTheme="minorHAnsi" w:hAnsiTheme="minorHAnsi"/>
        </w:rPr>
        <w:t>ε</w:t>
      </w:r>
      <w:r w:rsidR="003942F4" w:rsidRPr="007836B5">
        <w:rPr>
          <w:rFonts w:asciiTheme="minorHAnsi" w:hAnsiTheme="minorHAnsi"/>
        </w:rPr>
        <w:t xml:space="preserve"> € </w:t>
      </w:r>
      <w:r w:rsidR="00007D50" w:rsidRPr="007836B5">
        <w:rPr>
          <w:rFonts w:asciiTheme="minorHAnsi" w:hAnsiTheme="minorHAnsi"/>
        </w:rPr>
        <w:t>1.</w:t>
      </w:r>
      <w:r w:rsidR="0091133A" w:rsidRPr="007836B5">
        <w:rPr>
          <w:rFonts w:asciiTheme="minorHAnsi" w:hAnsiTheme="minorHAnsi"/>
        </w:rPr>
        <w:t>630</w:t>
      </w:r>
      <w:r w:rsidR="00007D50" w:rsidRPr="007836B5">
        <w:rPr>
          <w:rFonts w:asciiTheme="minorHAnsi" w:hAnsiTheme="minorHAnsi"/>
        </w:rPr>
        <w:t>,</w:t>
      </w:r>
      <w:r w:rsidR="0091133A" w:rsidRPr="007836B5">
        <w:rPr>
          <w:rFonts w:asciiTheme="minorHAnsi" w:hAnsiTheme="minorHAnsi"/>
        </w:rPr>
        <w:t>1</w:t>
      </w:r>
      <w:r w:rsidR="00007D50" w:rsidRPr="007836B5">
        <w:rPr>
          <w:rFonts w:asciiTheme="minorHAnsi" w:eastAsia="Times New Roman" w:hAnsiTheme="minorHAnsi" w:cstheme="minorHAnsi"/>
        </w:rPr>
        <w:t>εκ</w:t>
      </w:r>
      <w:r w:rsidR="00FA14DE" w:rsidRPr="007836B5">
        <w:rPr>
          <w:rFonts w:asciiTheme="minorHAnsi" w:eastAsia="Times New Roman" w:hAnsiTheme="minorHAnsi" w:cstheme="minorHAnsi"/>
        </w:rPr>
        <w:t>ατ</w:t>
      </w:r>
      <w:r w:rsidR="00007D50" w:rsidRPr="007836B5">
        <w:rPr>
          <w:rFonts w:asciiTheme="minorHAnsi" w:hAnsiTheme="minorHAnsi"/>
        </w:rPr>
        <w:t>.</w:t>
      </w:r>
      <w:r w:rsidRPr="007836B5">
        <w:rPr>
          <w:rFonts w:asciiTheme="minorHAnsi" w:hAnsiTheme="minorHAnsi"/>
        </w:rPr>
        <w:t xml:space="preserve"> (εκ των οποίων</w:t>
      </w:r>
      <w:r w:rsidRPr="007836B5">
        <w:rPr>
          <w:rFonts w:asciiTheme="minorHAnsi" w:hAnsiTheme="minorHAnsi"/>
          <w:b/>
          <w:bCs/>
        </w:rPr>
        <w:t>€</w:t>
      </w:r>
      <w:r w:rsidR="00F83236" w:rsidRPr="007836B5">
        <w:rPr>
          <w:rFonts w:asciiTheme="minorHAnsi" w:eastAsia="Times New Roman" w:hAnsiTheme="minorHAnsi" w:cstheme="minorHAnsi"/>
          <w:b/>
          <w:bCs/>
        </w:rPr>
        <w:t>3</w:t>
      </w:r>
      <w:r w:rsidR="007836B5" w:rsidRPr="007836B5">
        <w:rPr>
          <w:rFonts w:asciiTheme="minorHAnsi" w:eastAsia="Times New Roman" w:hAnsiTheme="minorHAnsi" w:cstheme="minorHAnsi"/>
          <w:b/>
          <w:bCs/>
        </w:rPr>
        <w:t>5</w:t>
      </w:r>
      <w:r w:rsidR="000C47C8" w:rsidRPr="006C54F3">
        <w:rPr>
          <w:rFonts w:asciiTheme="minorHAnsi" w:eastAsia="Times New Roman" w:hAnsiTheme="minorHAnsi" w:cstheme="minorHAnsi"/>
          <w:b/>
          <w:bCs/>
        </w:rPr>
        <w:t>2</w:t>
      </w:r>
      <w:r w:rsidR="00E90BAD" w:rsidRPr="007836B5">
        <w:rPr>
          <w:rFonts w:asciiTheme="minorHAnsi" w:eastAsia="Times New Roman" w:hAnsiTheme="minorHAnsi" w:cstheme="minorHAnsi"/>
          <w:b/>
          <w:bCs/>
        </w:rPr>
        <w:t>,</w:t>
      </w:r>
      <w:r w:rsidR="000C47C8" w:rsidRPr="006C54F3">
        <w:rPr>
          <w:rFonts w:asciiTheme="minorHAnsi" w:eastAsia="Times New Roman" w:hAnsiTheme="minorHAnsi" w:cstheme="minorHAnsi"/>
          <w:b/>
          <w:bCs/>
        </w:rPr>
        <w:t>5</w:t>
      </w:r>
      <w:r w:rsidRPr="007836B5">
        <w:rPr>
          <w:rFonts w:asciiTheme="minorHAnsi" w:eastAsia="Times New Roman" w:hAnsiTheme="minorHAnsi" w:cstheme="minorHAnsi"/>
          <w:b/>
          <w:bCs/>
        </w:rPr>
        <w:t>εκ</w:t>
      </w:r>
      <w:r w:rsidR="00E46811" w:rsidRPr="007836B5">
        <w:rPr>
          <w:rFonts w:asciiTheme="minorHAnsi" w:eastAsia="Times New Roman" w:hAnsiTheme="minorHAnsi" w:cstheme="minorHAnsi"/>
          <w:b/>
          <w:bCs/>
        </w:rPr>
        <w:t>ατ</w:t>
      </w:r>
      <w:r w:rsidRPr="007836B5">
        <w:rPr>
          <w:rFonts w:asciiTheme="minorHAnsi" w:hAnsiTheme="minorHAnsi"/>
        </w:rPr>
        <w:t xml:space="preserve">. σε επίπεδο μητρικής εταιρείας) και </w:t>
      </w:r>
      <w:r w:rsidR="0000504B" w:rsidRPr="007836B5">
        <w:rPr>
          <w:rFonts w:asciiTheme="minorHAnsi" w:hAnsiTheme="minorHAnsi"/>
        </w:rPr>
        <w:t xml:space="preserve">τον συντελεστή </w:t>
      </w:r>
      <w:r w:rsidR="0000504B" w:rsidRPr="007836B5">
        <w:rPr>
          <w:rFonts w:asciiTheme="minorHAnsi" w:hAnsiTheme="minorHAnsi"/>
          <w:b/>
          <w:bCs/>
        </w:rPr>
        <w:t>Καθαρό Χρέος</w:t>
      </w:r>
      <w:r w:rsidR="00F83236" w:rsidRPr="007836B5">
        <w:rPr>
          <w:rFonts w:asciiTheme="minorHAnsi" w:eastAsia="Times New Roman" w:hAnsiTheme="minorHAnsi" w:cstheme="minorHAnsi"/>
          <w:b/>
          <w:bCs/>
        </w:rPr>
        <w:t xml:space="preserve"> μετά των δεσμευμένων καταθέσεων και επιχορηγήσεων προς επιστροφή </w:t>
      </w:r>
      <w:r w:rsidR="0000504B" w:rsidRPr="007836B5">
        <w:rPr>
          <w:rFonts w:asciiTheme="minorHAnsi" w:hAnsiTheme="minorHAnsi"/>
        </w:rPr>
        <w:t>/</w:t>
      </w:r>
      <w:r w:rsidR="0000504B" w:rsidRPr="007836B5">
        <w:rPr>
          <w:rFonts w:asciiTheme="minorHAnsi" w:hAnsiTheme="minorHAnsi"/>
          <w:b/>
          <w:bCs/>
        </w:rPr>
        <w:t xml:space="preserve">Προσαρμοσμένο </w:t>
      </w:r>
      <w:r w:rsidR="0000504B" w:rsidRPr="007836B5">
        <w:rPr>
          <w:rFonts w:asciiTheme="minorHAnsi" w:hAnsiTheme="minorHAnsi"/>
          <w:b/>
          <w:bCs/>
          <w:lang w:val="en-US"/>
        </w:rPr>
        <w:t>EBITDA</w:t>
      </w:r>
      <w:r w:rsidR="006E5D38" w:rsidRPr="007836B5">
        <w:rPr>
          <w:rFonts w:asciiTheme="minorHAnsi" w:hAnsiTheme="minorHAnsi"/>
          <w:b/>
          <w:bCs/>
          <w:vertAlign w:val="superscript"/>
        </w:rPr>
        <w:t>1</w:t>
      </w:r>
      <w:r w:rsidR="00007D50" w:rsidRPr="007836B5">
        <w:rPr>
          <w:rFonts w:asciiTheme="minorHAnsi" w:hAnsiTheme="minorHAnsi"/>
          <w:b/>
          <w:bCs/>
        </w:rPr>
        <w:t xml:space="preserve">στο </w:t>
      </w:r>
      <w:r w:rsidR="0000504B" w:rsidRPr="007836B5">
        <w:rPr>
          <w:rFonts w:asciiTheme="minorHAnsi" w:hAnsiTheme="minorHAnsi"/>
          <w:b/>
          <w:bCs/>
        </w:rPr>
        <w:t>2.</w:t>
      </w:r>
      <w:r w:rsidR="0091133A" w:rsidRPr="007836B5">
        <w:rPr>
          <w:rFonts w:asciiTheme="minorHAnsi" w:hAnsiTheme="minorHAnsi"/>
          <w:b/>
          <w:bCs/>
        </w:rPr>
        <w:t>5</w:t>
      </w:r>
      <w:r w:rsidR="0000504B" w:rsidRPr="007836B5">
        <w:rPr>
          <w:rFonts w:asciiTheme="minorHAnsi" w:hAnsiTheme="minorHAnsi"/>
          <w:b/>
          <w:bCs/>
          <w:lang w:val="en-GB"/>
        </w:rPr>
        <w:t>x</w:t>
      </w:r>
      <w:r w:rsidR="00A747DA" w:rsidRPr="007836B5">
        <w:rPr>
          <w:rFonts w:asciiTheme="minorHAnsi" w:hAnsiTheme="minorHAnsi"/>
        </w:rPr>
        <w:t>.</w:t>
      </w:r>
    </w:p>
    <w:p w:rsidR="001968DF" w:rsidRDefault="00EE5992" w:rsidP="002C29A4">
      <w:pPr>
        <w:spacing w:before="24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Κατά τους πρώτους εννέα μήνες του έτους</w:t>
      </w:r>
      <w:r w:rsidR="001A4A95" w:rsidRPr="002C29A4">
        <w:rPr>
          <w:rFonts w:asciiTheme="minorHAnsi" w:hAnsiTheme="minorHAnsi"/>
        </w:rPr>
        <w:t xml:space="preserve">συνεχίστηκε με εντατικούς ρυθμούς η υλοποίηση του στρατηγικού πλάνου του Ομίλου, ενώ παράλληλα </w:t>
      </w:r>
      <w:r w:rsidR="001A4A95" w:rsidRPr="00522B68">
        <w:rPr>
          <w:rFonts w:asciiTheme="minorHAnsi" w:hAnsiTheme="minorHAnsi" w:cstheme="minorHAnsi"/>
          <w:b/>
          <w:bCs/>
        </w:rPr>
        <w:t xml:space="preserve">η οργανική κερδοφορία </w:t>
      </w:r>
      <w:r>
        <w:rPr>
          <w:rFonts w:asciiTheme="minorHAnsi" w:hAnsiTheme="minorHAnsi" w:cstheme="minorHAnsi"/>
          <w:b/>
          <w:bCs/>
        </w:rPr>
        <w:t>δι</w:t>
      </w:r>
      <w:r w:rsidR="007836B5">
        <w:rPr>
          <w:rFonts w:asciiTheme="minorHAnsi" w:hAnsiTheme="minorHAnsi" w:cstheme="minorHAnsi"/>
          <w:b/>
          <w:bCs/>
        </w:rPr>
        <w:t>α</w:t>
      </w:r>
      <w:r>
        <w:rPr>
          <w:rFonts w:asciiTheme="minorHAnsi" w:hAnsiTheme="minorHAnsi" w:cstheme="minorHAnsi"/>
          <w:b/>
          <w:bCs/>
        </w:rPr>
        <w:t xml:space="preserve">τηρήθηκε σε </w:t>
      </w:r>
      <w:r w:rsidR="001968DF">
        <w:rPr>
          <w:rFonts w:asciiTheme="minorHAnsi" w:hAnsiTheme="minorHAnsi" w:cstheme="minorHAnsi"/>
          <w:b/>
          <w:bCs/>
        </w:rPr>
        <w:t>υψηλ</w:t>
      </w:r>
      <w:r w:rsidR="007836B5">
        <w:rPr>
          <w:rFonts w:asciiTheme="minorHAnsi" w:hAnsiTheme="minorHAnsi" w:cstheme="minorHAnsi"/>
          <w:b/>
          <w:bCs/>
        </w:rPr>
        <w:t>ά</w:t>
      </w:r>
      <w:r w:rsidR="001968DF">
        <w:rPr>
          <w:rFonts w:asciiTheme="minorHAnsi" w:hAnsiTheme="minorHAnsi" w:cstheme="minorHAnsi"/>
          <w:b/>
          <w:bCs/>
        </w:rPr>
        <w:t xml:space="preserve">επίπεδα </w:t>
      </w:r>
      <w:r w:rsidR="00FA14DE" w:rsidRPr="002C29A4">
        <w:rPr>
          <w:rFonts w:asciiTheme="minorHAnsi" w:hAnsiTheme="minorHAnsi" w:cstheme="minorHAnsi"/>
          <w:b/>
          <w:bCs/>
        </w:rPr>
        <w:t>ως</w:t>
      </w:r>
      <w:r w:rsidR="001A4A95" w:rsidRPr="00522B68">
        <w:rPr>
          <w:rFonts w:asciiTheme="minorHAnsi" w:hAnsiTheme="minorHAnsi" w:cstheme="minorHAnsi"/>
          <w:b/>
          <w:bCs/>
        </w:rPr>
        <w:t xml:space="preserve">αποτέλεσμα </w:t>
      </w:r>
      <w:r w:rsidR="001968DF">
        <w:rPr>
          <w:rFonts w:asciiTheme="minorHAnsi" w:hAnsiTheme="minorHAnsi" w:cstheme="minorHAnsi"/>
          <w:b/>
          <w:bCs/>
        </w:rPr>
        <w:t>της συνεχιζόμενης μεγέθυνσης της συνεισφοράς του τομέα υποδομών (παραχωρήσεις-κατασκευές) αλλά και τη</w:t>
      </w:r>
      <w:r w:rsidR="00A214EC">
        <w:rPr>
          <w:rFonts w:asciiTheme="minorHAnsi" w:hAnsiTheme="minorHAnsi" w:cstheme="minorHAnsi"/>
          <w:b/>
          <w:bCs/>
        </w:rPr>
        <w:t>ς</w:t>
      </w:r>
      <w:r w:rsidR="00854405">
        <w:rPr>
          <w:rFonts w:asciiTheme="minorHAnsi" w:hAnsiTheme="minorHAnsi" w:cstheme="minorHAnsi"/>
          <w:b/>
          <w:bCs/>
        </w:rPr>
        <w:t>αναμενόμενης</w:t>
      </w:r>
      <w:r w:rsidR="001968DF">
        <w:rPr>
          <w:rFonts w:asciiTheme="minorHAnsi" w:hAnsiTheme="minorHAnsi" w:cstheme="minorHAnsi"/>
          <w:b/>
          <w:bCs/>
        </w:rPr>
        <w:t xml:space="preserve"> αύξησης στον τομέα ΑΠΕ από το Γ΄Τρίμηνο του έτους</w:t>
      </w:r>
      <w:r w:rsidR="001A4A95" w:rsidRPr="002C29A4">
        <w:rPr>
          <w:rFonts w:asciiTheme="minorHAnsi" w:hAnsiTheme="minorHAnsi"/>
        </w:rPr>
        <w:t>.</w:t>
      </w:r>
    </w:p>
    <w:p w:rsidR="00843C4D" w:rsidRPr="002C29A4" w:rsidRDefault="000E724F" w:rsidP="002C29A4">
      <w:pPr>
        <w:spacing w:before="240" w:after="120"/>
        <w:jc w:val="both"/>
        <w:rPr>
          <w:rFonts w:asciiTheme="minorHAnsi" w:hAnsiTheme="minorHAnsi"/>
        </w:rPr>
      </w:pPr>
      <w:r w:rsidRPr="002C29A4">
        <w:rPr>
          <w:rFonts w:asciiTheme="minorHAnsi" w:hAnsiTheme="minorHAnsi"/>
        </w:rPr>
        <w:t>Στον τομέα των παραχωρήσεων συνεχί</w:t>
      </w:r>
      <w:r w:rsidR="001968DF">
        <w:rPr>
          <w:rFonts w:asciiTheme="minorHAnsi" w:hAnsiTheme="minorHAnsi"/>
        </w:rPr>
        <w:t>ζονται</w:t>
      </w:r>
      <w:r w:rsidRPr="002C29A4">
        <w:rPr>
          <w:rFonts w:asciiTheme="minorHAnsi" w:hAnsiTheme="minorHAnsi"/>
        </w:rPr>
        <w:t xml:space="preserve"> οι υγιείς επιδόσεις από τα έργα</w:t>
      </w:r>
      <w:r w:rsidR="00837F63">
        <w:rPr>
          <w:rFonts w:asciiTheme="minorHAnsi" w:hAnsiTheme="minorHAnsi"/>
        </w:rPr>
        <w:t>σε λειτουργία</w:t>
      </w:r>
      <w:r w:rsidR="00FA14DE">
        <w:rPr>
          <w:rFonts w:asciiTheme="minorHAnsi" w:hAnsiTheme="minorHAnsi" w:cstheme="minorHAnsi"/>
        </w:rPr>
        <w:t>,</w:t>
      </w:r>
      <w:r w:rsidR="00A214EC">
        <w:rPr>
          <w:rFonts w:asciiTheme="minorHAnsi" w:hAnsiTheme="minorHAnsi"/>
        </w:rPr>
        <w:t xml:space="preserve">ενώ </w:t>
      </w:r>
      <w:r w:rsidR="001968DF">
        <w:rPr>
          <w:rFonts w:asciiTheme="minorHAnsi" w:hAnsiTheme="minorHAnsi"/>
        </w:rPr>
        <w:t>προχωράει η</w:t>
      </w:r>
      <w:r w:rsidRPr="002C29A4">
        <w:rPr>
          <w:rFonts w:asciiTheme="minorHAnsi" w:hAnsiTheme="minorHAnsi"/>
        </w:rPr>
        <w:t xml:space="preserve">ωρίμανση και υλοποίηση των έργων του χαρτοφυλακίου που βρίσκονται σε διάφορα στάδια ανάπτυξης. </w:t>
      </w:r>
      <w:r w:rsidRPr="001968DF">
        <w:rPr>
          <w:rFonts w:asciiTheme="minorHAnsi" w:hAnsiTheme="minorHAnsi" w:cstheme="minorHAnsi"/>
        </w:rPr>
        <w:t xml:space="preserve">Ορόσημο </w:t>
      </w:r>
      <w:r w:rsidR="00FA14DE" w:rsidRPr="001968DF">
        <w:rPr>
          <w:rFonts w:asciiTheme="minorHAnsi" w:hAnsiTheme="minorHAnsi" w:cstheme="minorHAnsi"/>
        </w:rPr>
        <w:t>αποτελεί</w:t>
      </w:r>
      <w:r w:rsidRPr="001968DF">
        <w:rPr>
          <w:rFonts w:asciiTheme="minorHAnsi" w:hAnsiTheme="minorHAnsi" w:cstheme="minorHAnsi"/>
        </w:rPr>
        <w:t xml:space="preserve">για τον Όμιλο η </w:t>
      </w:r>
      <w:r w:rsidR="00FA14DE" w:rsidRPr="001968DF">
        <w:rPr>
          <w:rFonts w:asciiTheme="minorHAnsi" w:hAnsiTheme="minorHAnsi" w:cstheme="minorHAnsi"/>
        </w:rPr>
        <w:t xml:space="preserve">πρόσφατη </w:t>
      </w:r>
      <w:r w:rsidRPr="001968DF">
        <w:rPr>
          <w:rFonts w:asciiTheme="minorHAnsi" w:hAnsiTheme="minorHAnsi" w:cstheme="minorHAnsi"/>
        </w:rPr>
        <w:t>ανάδειξη σε προτιμητέο επενδυτή για την 25-ετή παραχώρηση της Αττικής Οδού</w:t>
      </w:r>
      <w:r w:rsidR="001968DF" w:rsidRPr="001968DF">
        <w:rPr>
          <w:rFonts w:asciiTheme="minorHAnsi" w:hAnsiTheme="minorHAnsi" w:cstheme="minorHAnsi"/>
        </w:rPr>
        <w:t>, ενώπ</w:t>
      </w:r>
      <w:r w:rsidRPr="002C29A4">
        <w:rPr>
          <w:rFonts w:asciiTheme="minorHAnsi" w:hAnsiTheme="minorHAnsi"/>
        </w:rPr>
        <w:t>αράλληλα</w:t>
      </w:r>
      <w:r w:rsidR="00FA14DE">
        <w:rPr>
          <w:rFonts w:asciiTheme="minorHAnsi" w:hAnsiTheme="minorHAnsi" w:cstheme="minorHAnsi"/>
        </w:rPr>
        <w:t>,</w:t>
      </w:r>
      <w:r w:rsidRPr="002C29A4">
        <w:rPr>
          <w:rFonts w:asciiTheme="minorHAnsi" w:hAnsiTheme="minorHAnsi"/>
        </w:rPr>
        <w:t xml:space="preserve"> συνεχί</w:t>
      </w:r>
      <w:r w:rsidR="001968DF">
        <w:rPr>
          <w:rFonts w:asciiTheme="minorHAnsi" w:hAnsiTheme="minorHAnsi"/>
        </w:rPr>
        <w:t>ζεται</w:t>
      </w:r>
      <w:r w:rsidRPr="002C29A4">
        <w:rPr>
          <w:rFonts w:asciiTheme="minorHAnsi" w:hAnsiTheme="minorHAnsi"/>
        </w:rPr>
        <w:t xml:space="preserve"> η συμμετοχή σε διαγωνισμούς για νέα έργα. </w:t>
      </w:r>
      <w:r w:rsidR="00F24CBB" w:rsidRPr="002C29A4">
        <w:rPr>
          <w:rFonts w:asciiTheme="minorHAnsi" w:hAnsiTheme="minorHAnsi"/>
        </w:rPr>
        <w:t xml:space="preserve">Στον </w:t>
      </w:r>
      <w:r w:rsidRPr="002C29A4">
        <w:rPr>
          <w:rFonts w:asciiTheme="minorHAnsi" w:hAnsiTheme="minorHAnsi"/>
        </w:rPr>
        <w:t>κατασκευαστικό τομέα</w:t>
      </w:r>
      <w:r w:rsidR="00F24CBB" w:rsidRPr="002C29A4">
        <w:rPr>
          <w:rFonts w:asciiTheme="minorHAnsi" w:hAnsiTheme="minorHAnsi"/>
        </w:rPr>
        <w:t xml:space="preserve">, </w:t>
      </w:r>
      <w:r w:rsidR="00F24CBB" w:rsidRPr="00522B68">
        <w:rPr>
          <w:rFonts w:asciiTheme="minorHAnsi" w:hAnsiTheme="minorHAnsi" w:cstheme="minorHAnsi"/>
          <w:b/>
          <w:bCs/>
        </w:rPr>
        <w:t xml:space="preserve">το ανεκτέλεστο </w:t>
      </w:r>
      <w:r w:rsidR="00F83236">
        <w:rPr>
          <w:rFonts w:asciiTheme="minorHAnsi" w:hAnsiTheme="minorHAnsi" w:cstheme="minorHAnsi"/>
          <w:b/>
          <w:bCs/>
        </w:rPr>
        <w:t xml:space="preserve">συμπεριλαμβανομένων των προς υπογραφή νέων συμβάσεων </w:t>
      </w:r>
      <w:r w:rsidR="007836B5">
        <w:rPr>
          <w:rFonts w:asciiTheme="minorHAnsi" w:hAnsiTheme="minorHAnsi" w:cstheme="minorHAnsi"/>
          <w:b/>
          <w:bCs/>
        </w:rPr>
        <w:t>υπερβαίνει</w:t>
      </w:r>
      <w:r w:rsidR="00F24CBB" w:rsidRPr="006F05DB">
        <w:rPr>
          <w:rFonts w:asciiTheme="minorHAnsi" w:eastAsia="Times New Roman" w:hAnsiTheme="minorHAnsi" w:cstheme="minorHAnsi"/>
          <w:b/>
          <w:bCs/>
        </w:rPr>
        <w:t xml:space="preserve">€ </w:t>
      </w:r>
      <w:r w:rsidR="00F24CBB" w:rsidRPr="006F05DB">
        <w:rPr>
          <w:rFonts w:asciiTheme="minorHAnsi" w:hAnsiTheme="minorHAnsi" w:cstheme="minorHAnsi"/>
          <w:b/>
          <w:bCs/>
        </w:rPr>
        <w:t>5,</w:t>
      </w:r>
      <w:r w:rsidR="00904ED4" w:rsidRPr="006F05DB">
        <w:rPr>
          <w:rFonts w:asciiTheme="minorHAnsi" w:hAnsiTheme="minorHAnsi" w:cstheme="minorHAnsi"/>
          <w:b/>
          <w:bCs/>
        </w:rPr>
        <w:t>5</w:t>
      </w:r>
      <w:r w:rsidR="00F24CBB" w:rsidRPr="006F05DB">
        <w:rPr>
          <w:rFonts w:asciiTheme="minorHAnsi" w:hAnsiTheme="minorHAnsi" w:cstheme="minorHAnsi"/>
          <w:b/>
          <w:bCs/>
        </w:rPr>
        <w:t xml:space="preserve"> δι</w:t>
      </w:r>
      <w:r w:rsidR="00FA14DE" w:rsidRPr="006F05DB">
        <w:rPr>
          <w:rFonts w:asciiTheme="minorHAnsi" w:hAnsiTheme="minorHAnsi" w:cstheme="minorHAnsi"/>
          <w:b/>
          <w:bCs/>
        </w:rPr>
        <w:t>σ.</w:t>
      </w:r>
      <w:r w:rsidR="00F24CBB" w:rsidRPr="006F05DB">
        <w:rPr>
          <w:rFonts w:asciiTheme="minorHAnsi" w:hAnsiTheme="minorHAnsi" w:cstheme="minorHAnsi"/>
        </w:rPr>
        <w:t xml:space="preserve">, </w:t>
      </w:r>
      <w:r w:rsidR="001968DF" w:rsidRPr="007836B5">
        <w:rPr>
          <w:rFonts w:asciiTheme="minorHAnsi" w:hAnsiTheme="minorHAnsi" w:cstheme="minorHAnsi"/>
          <w:b/>
          <w:bCs/>
        </w:rPr>
        <w:t>περ</w:t>
      </w:r>
      <w:r w:rsidR="007836B5" w:rsidRPr="007836B5">
        <w:rPr>
          <w:rFonts w:asciiTheme="minorHAnsi" w:hAnsiTheme="minorHAnsi" w:cstheme="minorHAnsi"/>
          <w:b/>
          <w:bCs/>
        </w:rPr>
        <w:t>ι</w:t>
      </w:r>
      <w:r w:rsidR="001968DF" w:rsidRPr="007836B5">
        <w:rPr>
          <w:rFonts w:asciiTheme="minorHAnsi" w:hAnsiTheme="minorHAnsi" w:cstheme="minorHAnsi"/>
          <w:b/>
          <w:bCs/>
        </w:rPr>
        <w:t xml:space="preserve">λαμβάνοντας </w:t>
      </w:r>
      <w:r w:rsidRPr="007836B5">
        <w:rPr>
          <w:rFonts w:asciiTheme="minorHAnsi" w:hAnsiTheme="minorHAnsi"/>
          <w:b/>
          <w:bCs/>
        </w:rPr>
        <w:t>ιδιωτικ</w:t>
      </w:r>
      <w:r w:rsidR="007836B5" w:rsidRPr="007836B5">
        <w:rPr>
          <w:rFonts w:asciiTheme="minorHAnsi" w:hAnsiTheme="minorHAnsi"/>
          <w:b/>
          <w:bCs/>
        </w:rPr>
        <w:t>ά</w:t>
      </w:r>
      <w:r w:rsidRPr="007836B5">
        <w:rPr>
          <w:rFonts w:asciiTheme="minorHAnsi" w:hAnsiTheme="minorHAnsi"/>
          <w:b/>
          <w:bCs/>
        </w:rPr>
        <w:t xml:space="preserve"> έργ</w:t>
      </w:r>
      <w:r w:rsidR="001968DF" w:rsidRPr="007836B5">
        <w:rPr>
          <w:rFonts w:asciiTheme="minorHAnsi" w:hAnsiTheme="minorHAnsi"/>
          <w:b/>
          <w:bCs/>
        </w:rPr>
        <w:t>α</w:t>
      </w:r>
      <w:r w:rsidRPr="007836B5">
        <w:rPr>
          <w:rFonts w:asciiTheme="minorHAnsi" w:hAnsiTheme="minorHAnsi"/>
          <w:b/>
          <w:bCs/>
        </w:rPr>
        <w:t xml:space="preserve"> στην Ελλάδα</w:t>
      </w:r>
      <w:r w:rsidRPr="002C29A4">
        <w:rPr>
          <w:rFonts w:asciiTheme="minorHAnsi" w:hAnsiTheme="minorHAnsi"/>
        </w:rPr>
        <w:t xml:space="preserve"> (ιδίων επενδύσεων </w:t>
      </w:r>
      <w:r w:rsidR="00E36CC7">
        <w:rPr>
          <w:rFonts w:asciiTheme="minorHAnsi" w:hAnsiTheme="minorHAnsi" w:cstheme="minorHAnsi"/>
        </w:rPr>
        <w:t>του Ομίλου αλλά</w:t>
      </w:r>
      <w:r w:rsidRPr="002C29A4">
        <w:rPr>
          <w:rFonts w:asciiTheme="minorHAnsi" w:hAnsiTheme="minorHAnsi"/>
        </w:rPr>
        <w:t>και</w:t>
      </w:r>
      <w:r w:rsidR="00E36CC7">
        <w:rPr>
          <w:rFonts w:asciiTheme="minorHAnsi" w:hAnsiTheme="minorHAnsi" w:cstheme="minorHAnsi"/>
        </w:rPr>
        <w:t>έργων</w:t>
      </w:r>
      <w:r w:rsidRPr="002C29A4">
        <w:rPr>
          <w:rFonts w:asciiTheme="minorHAnsi" w:hAnsiTheme="minorHAnsi"/>
        </w:rPr>
        <w:t xml:space="preserve"> για τρίτους)</w:t>
      </w:r>
      <w:r w:rsidR="007B46C3">
        <w:rPr>
          <w:rFonts w:asciiTheme="minorHAnsi" w:hAnsiTheme="minorHAnsi"/>
        </w:rPr>
        <w:t>,</w:t>
      </w:r>
      <w:r w:rsidRPr="007836B5">
        <w:rPr>
          <w:rFonts w:asciiTheme="minorHAnsi" w:hAnsiTheme="minorHAnsi"/>
          <w:b/>
          <w:bCs/>
        </w:rPr>
        <w:t>που πλέον αποτελούν π</w:t>
      </w:r>
      <w:r w:rsidR="00F24CBB" w:rsidRPr="007836B5">
        <w:rPr>
          <w:rFonts w:asciiTheme="minorHAnsi" w:hAnsiTheme="minorHAnsi"/>
          <w:b/>
          <w:bCs/>
        </w:rPr>
        <w:t xml:space="preserve">ερί το </w:t>
      </w:r>
      <w:r w:rsidR="007836B5" w:rsidRPr="007836B5">
        <w:rPr>
          <w:rFonts w:asciiTheme="minorHAnsi" w:hAnsiTheme="minorHAnsi"/>
          <w:b/>
          <w:bCs/>
        </w:rPr>
        <w:t>6</w:t>
      </w:r>
      <w:r w:rsidR="00DA73AF" w:rsidRPr="007836B5">
        <w:rPr>
          <w:rFonts w:asciiTheme="minorHAnsi" w:hAnsiTheme="minorHAnsi"/>
          <w:b/>
          <w:bCs/>
        </w:rPr>
        <w:t>0</w:t>
      </w:r>
      <w:r w:rsidR="00F24CBB" w:rsidRPr="007836B5">
        <w:rPr>
          <w:rFonts w:asciiTheme="minorHAnsi" w:hAnsiTheme="minorHAnsi"/>
          <w:b/>
          <w:bCs/>
        </w:rPr>
        <w:t>% του συνολικού ανεκτέλεστου</w:t>
      </w:r>
      <w:r w:rsidR="00F24CBB" w:rsidRPr="002C29A4">
        <w:rPr>
          <w:rFonts w:asciiTheme="minorHAnsi" w:hAnsiTheme="minorHAnsi"/>
        </w:rPr>
        <w:t xml:space="preserve"> του Ομίλου. </w:t>
      </w:r>
      <w:r w:rsidR="001D684E" w:rsidRPr="00904ED4">
        <w:rPr>
          <w:rFonts w:asciiTheme="minorHAnsi" w:hAnsiTheme="minorHAnsi"/>
        </w:rPr>
        <w:t>Σημαντικό</w:t>
      </w:r>
      <w:r w:rsidR="00A214EC">
        <w:rPr>
          <w:rFonts w:asciiTheme="minorHAnsi" w:hAnsiTheme="minorHAnsi"/>
        </w:rPr>
        <w:t>,επίσης,</w:t>
      </w:r>
      <w:r w:rsidR="001D684E" w:rsidRPr="00904ED4">
        <w:rPr>
          <w:rFonts w:asciiTheme="minorHAnsi" w:hAnsiTheme="minorHAnsi"/>
        </w:rPr>
        <w:t xml:space="preserve"> σημείο είναι η συνεχιζόμενη α</w:t>
      </w:r>
      <w:r w:rsidR="007836B5">
        <w:rPr>
          <w:rFonts w:asciiTheme="minorHAnsi" w:hAnsiTheme="minorHAnsi"/>
        </w:rPr>
        <w:t>ύ</w:t>
      </w:r>
      <w:r w:rsidR="001D684E" w:rsidRPr="00904ED4">
        <w:rPr>
          <w:rFonts w:asciiTheme="minorHAnsi" w:hAnsiTheme="minorHAnsi"/>
        </w:rPr>
        <w:t xml:space="preserve">ξηση της δραστηριότητας του τομέα (έσοδα τελευταίων 12 μηνών </w:t>
      </w:r>
      <w:r w:rsidR="00904ED4" w:rsidRPr="00904ED4">
        <w:rPr>
          <w:rFonts w:asciiTheme="minorHAnsi" w:hAnsiTheme="minorHAnsi"/>
        </w:rPr>
        <w:t xml:space="preserve">πλέον </w:t>
      </w:r>
      <w:r w:rsidR="001D684E" w:rsidRPr="00904ED4">
        <w:rPr>
          <w:rFonts w:asciiTheme="minorHAnsi" w:hAnsiTheme="minorHAnsi"/>
        </w:rPr>
        <w:t xml:space="preserve">άνω των </w:t>
      </w:r>
      <w:r w:rsidR="001D684E" w:rsidRPr="00904ED4">
        <w:rPr>
          <w:rFonts w:asciiTheme="minorHAnsi" w:eastAsia="Times New Roman" w:hAnsiTheme="minorHAnsi" w:cstheme="minorHAnsi"/>
        </w:rPr>
        <w:t>€</w:t>
      </w:r>
      <w:r w:rsidR="001D684E" w:rsidRPr="00904ED4">
        <w:rPr>
          <w:rFonts w:asciiTheme="minorHAnsi" w:hAnsiTheme="minorHAnsi"/>
        </w:rPr>
        <w:t xml:space="preserve"> 1,3 δι</w:t>
      </w:r>
      <w:r w:rsidR="00A214EC">
        <w:rPr>
          <w:rFonts w:asciiTheme="minorHAnsi" w:hAnsiTheme="minorHAnsi"/>
        </w:rPr>
        <w:t>σ.</w:t>
      </w:r>
      <w:r w:rsidR="001D684E" w:rsidRPr="00904ED4">
        <w:rPr>
          <w:rFonts w:asciiTheme="minorHAnsi" w:hAnsiTheme="minorHAnsi"/>
        </w:rPr>
        <w:t xml:space="preserve">) </w:t>
      </w:r>
      <w:r w:rsidR="00A214EC">
        <w:rPr>
          <w:rFonts w:asciiTheme="minorHAnsi" w:hAnsiTheme="minorHAnsi"/>
        </w:rPr>
        <w:t>ως</w:t>
      </w:r>
      <w:r w:rsidR="001D684E" w:rsidRPr="00904ED4">
        <w:rPr>
          <w:rFonts w:asciiTheme="minorHAnsi" w:hAnsiTheme="minorHAnsi"/>
        </w:rPr>
        <w:t xml:space="preserve"> αποτέλεσμα της </w:t>
      </w:r>
      <w:r w:rsidR="00904ED4" w:rsidRPr="00904ED4">
        <w:rPr>
          <w:rFonts w:asciiTheme="minorHAnsi" w:hAnsiTheme="minorHAnsi"/>
        </w:rPr>
        <w:t xml:space="preserve">ικανότητας και επάρκειας του </w:t>
      </w:r>
      <w:r w:rsidR="007836B5">
        <w:rPr>
          <w:rFonts w:asciiTheme="minorHAnsi" w:hAnsiTheme="minorHAnsi"/>
        </w:rPr>
        <w:t>Ο</w:t>
      </w:r>
      <w:r w:rsidR="00904ED4" w:rsidRPr="00904ED4">
        <w:rPr>
          <w:rFonts w:asciiTheme="minorHAnsi" w:hAnsiTheme="minorHAnsi"/>
        </w:rPr>
        <w:t>μίλου να ανταποκριθεί στο αυξημένο ανεκτέλεστο.</w:t>
      </w:r>
      <w:r w:rsidR="00F24CBB" w:rsidRPr="002C29A4">
        <w:rPr>
          <w:rFonts w:asciiTheme="minorHAnsi" w:hAnsiTheme="minorHAnsi"/>
        </w:rPr>
        <w:t xml:space="preserve">Στον τομέα της ενέργειας </w:t>
      </w:r>
      <w:r w:rsidR="001968DF">
        <w:rPr>
          <w:rFonts w:asciiTheme="minorHAnsi" w:hAnsiTheme="minorHAnsi"/>
        </w:rPr>
        <w:t xml:space="preserve">ο Όμιλος έχει πλέον από το τέλος του Γ΄Τριμήνου σε </w:t>
      </w:r>
      <w:r w:rsidR="00157575">
        <w:rPr>
          <w:rFonts w:asciiTheme="minorHAnsi" w:hAnsiTheme="minorHAnsi"/>
        </w:rPr>
        <w:t xml:space="preserve">πλήρη </w:t>
      </w:r>
      <w:r w:rsidR="001968DF">
        <w:rPr>
          <w:rFonts w:asciiTheme="minorHAnsi" w:hAnsiTheme="minorHAnsi"/>
        </w:rPr>
        <w:t>λειτουργία το μεγαλύτερο αιολικό πάρκο της χώρας (</w:t>
      </w:r>
      <w:r w:rsidR="001968DF" w:rsidRPr="001968DF">
        <w:rPr>
          <w:rFonts w:asciiTheme="minorHAnsi" w:hAnsiTheme="minorHAnsi"/>
        </w:rPr>
        <w:t>330</w:t>
      </w:r>
      <w:r w:rsidR="001968DF">
        <w:rPr>
          <w:rFonts w:asciiTheme="minorHAnsi" w:hAnsiTheme="minorHAnsi"/>
          <w:lang w:val="en-US"/>
        </w:rPr>
        <w:t>MW</w:t>
      </w:r>
      <w:r w:rsidR="001968DF" w:rsidRPr="001968DF">
        <w:rPr>
          <w:rFonts w:asciiTheme="minorHAnsi" w:hAnsiTheme="minorHAnsi"/>
        </w:rPr>
        <w:t xml:space="preserve">) </w:t>
      </w:r>
      <w:r w:rsidR="001968DF">
        <w:rPr>
          <w:rFonts w:asciiTheme="minorHAnsi" w:hAnsiTheme="minorHAnsi"/>
        </w:rPr>
        <w:t xml:space="preserve">ενώ συνεχίζεται η </w:t>
      </w:r>
      <w:r w:rsidR="001968DF" w:rsidRPr="001968DF">
        <w:rPr>
          <w:rFonts w:asciiTheme="minorHAnsi" w:hAnsiTheme="minorHAnsi"/>
          <w:b/>
          <w:bCs/>
        </w:rPr>
        <w:t>πρ</w:t>
      </w:r>
      <w:r w:rsidR="001968DF">
        <w:rPr>
          <w:rFonts w:asciiTheme="minorHAnsi" w:hAnsiTheme="minorHAnsi"/>
          <w:b/>
          <w:bCs/>
        </w:rPr>
        <w:t>ω</w:t>
      </w:r>
      <w:r w:rsidR="001968DF" w:rsidRPr="001968DF">
        <w:rPr>
          <w:rFonts w:asciiTheme="minorHAnsi" w:hAnsiTheme="minorHAnsi"/>
          <w:b/>
          <w:bCs/>
        </w:rPr>
        <w:t>τοπ</w:t>
      </w:r>
      <w:r w:rsidR="001968DF">
        <w:rPr>
          <w:rFonts w:asciiTheme="minorHAnsi" w:hAnsiTheme="minorHAnsi"/>
          <w:b/>
          <w:bCs/>
        </w:rPr>
        <w:t>ό</w:t>
      </w:r>
      <w:r w:rsidR="001968DF" w:rsidRPr="001968DF">
        <w:rPr>
          <w:rFonts w:asciiTheme="minorHAnsi" w:hAnsiTheme="minorHAnsi"/>
          <w:b/>
          <w:bCs/>
        </w:rPr>
        <w:t xml:space="preserve">ρα πορεία με την κατασκευή του μεγάλου </w:t>
      </w:r>
      <w:proofErr w:type="spellStart"/>
      <w:r w:rsidR="001968DF" w:rsidRPr="001968DF">
        <w:rPr>
          <w:rFonts w:asciiTheme="minorHAnsi" w:hAnsiTheme="minorHAnsi"/>
          <w:b/>
          <w:bCs/>
        </w:rPr>
        <w:t>αντλ</w:t>
      </w:r>
      <w:r w:rsidR="00A00A73">
        <w:rPr>
          <w:rFonts w:asciiTheme="minorHAnsi" w:hAnsiTheme="minorHAnsi"/>
          <w:b/>
          <w:bCs/>
        </w:rPr>
        <w:t>η</w:t>
      </w:r>
      <w:r w:rsidR="001968DF" w:rsidRPr="001968DF">
        <w:rPr>
          <w:rFonts w:asciiTheme="minorHAnsi" w:hAnsiTheme="minorHAnsi"/>
          <w:b/>
          <w:bCs/>
        </w:rPr>
        <w:t>σ</w:t>
      </w:r>
      <w:r w:rsidR="00A00A73">
        <w:rPr>
          <w:rFonts w:asciiTheme="minorHAnsi" w:hAnsiTheme="minorHAnsi"/>
          <w:b/>
          <w:bCs/>
        </w:rPr>
        <w:t>ιο</w:t>
      </w:r>
      <w:r w:rsidR="001968DF" w:rsidRPr="001968DF">
        <w:rPr>
          <w:rFonts w:asciiTheme="minorHAnsi" w:hAnsiTheme="minorHAnsi"/>
          <w:b/>
          <w:bCs/>
        </w:rPr>
        <w:t>ταμιευτικού</w:t>
      </w:r>
      <w:proofErr w:type="spellEnd"/>
      <w:r w:rsidR="001968DF" w:rsidRPr="001968DF">
        <w:rPr>
          <w:rFonts w:asciiTheme="minorHAnsi" w:hAnsiTheme="minorHAnsi"/>
          <w:b/>
          <w:bCs/>
        </w:rPr>
        <w:t xml:space="preserve"> έργου στην Αμφιλοχία αλλά και την πρώτη άδεια έρευνας για υπερά</w:t>
      </w:r>
      <w:r w:rsidR="007836B5">
        <w:rPr>
          <w:rFonts w:asciiTheme="minorHAnsi" w:hAnsiTheme="minorHAnsi"/>
          <w:b/>
          <w:bCs/>
        </w:rPr>
        <w:t>κ</w:t>
      </w:r>
      <w:r w:rsidR="001968DF" w:rsidRPr="001968DF">
        <w:rPr>
          <w:rFonts w:asciiTheme="minorHAnsi" w:hAnsiTheme="minorHAnsi"/>
          <w:b/>
          <w:bCs/>
        </w:rPr>
        <w:t xml:space="preserve">τια αιολικά πάρκα στην χώρα. </w:t>
      </w:r>
      <w:r w:rsidR="00F26994" w:rsidRPr="002C29A4">
        <w:rPr>
          <w:rFonts w:asciiTheme="minorHAnsi" w:hAnsiTheme="minorHAnsi"/>
        </w:rPr>
        <w:t>Τέλος</w:t>
      </w:r>
      <w:r w:rsidR="00E36CC7">
        <w:rPr>
          <w:rFonts w:asciiTheme="minorHAnsi" w:hAnsiTheme="minorHAnsi" w:cstheme="minorHAnsi"/>
        </w:rPr>
        <w:t>,</w:t>
      </w:r>
      <w:r w:rsidR="00F26994" w:rsidRPr="002C29A4">
        <w:rPr>
          <w:rFonts w:asciiTheme="minorHAnsi" w:hAnsiTheme="minorHAnsi"/>
        </w:rPr>
        <w:t xml:space="preserve"> στο κομμάτι της</w:t>
      </w:r>
      <w:r w:rsidR="00A269DA">
        <w:rPr>
          <w:rFonts w:asciiTheme="minorHAnsi" w:hAnsiTheme="minorHAnsi"/>
        </w:rPr>
        <w:t>παραγωγής</w:t>
      </w:r>
      <w:r w:rsidR="00F26994" w:rsidRPr="002C29A4">
        <w:rPr>
          <w:rFonts w:asciiTheme="minorHAnsi" w:hAnsiTheme="minorHAnsi"/>
        </w:rPr>
        <w:t xml:space="preserve"> και εμπορίαςενέργειας</w:t>
      </w:r>
      <w:r w:rsidR="00A269DA">
        <w:rPr>
          <w:rFonts w:asciiTheme="minorHAnsi" w:hAnsiTheme="minorHAnsi"/>
        </w:rPr>
        <w:t xml:space="preserve"> (ηλεκτρισμού και φυσικού αερίου) στην Ελλάδα και το </w:t>
      </w:r>
      <w:r w:rsidR="00837F63">
        <w:rPr>
          <w:rFonts w:asciiTheme="minorHAnsi" w:hAnsiTheme="minorHAnsi"/>
        </w:rPr>
        <w:t>ε</w:t>
      </w:r>
      <w:r w:rsidR="00A269DA">
        <w:rPr>
          <w:rFonts w:asciiTheme="minorHAnsi" w:hAnsiTheme="minorHAnsi"/>
        </w:rPr>
        <w:t>ξωτερικ</w:t>
      </w:r>
      <w:r w:rsidR="00837F63">
        <w:rPr>
          <w:rFonts w:asciiTheme="minorHAnsi" w:hAnsiTheme="minorHAnsi"/>
        </w:rPr>
        <w:t>ό,</w:t>
      </w:r>
      <w:r w:rsidR="00F26994" w:rsidRPr="002C29A4">
        <w:rPr>
          <w:rFonts w:asciiTheme="minorHAnsi" w:hAnsiTheme="minorHAnsi"/>
        </w:rPr>
        <w:t xml:space="preserve"> παρά την μεταβλητότητα στην αγορά και τη μείωση της ζήτηση</w:t>
      </w:r>
      <w:r w:rsidR="00A269DA">
        <w:rPr>
          <w:rFonts w:asciiTheme="minorHAnsi" w:hAnsiTheme="minorHAnsi"/>
        </w:rPr>
        <w:t xml:space="preserve">ς </w:t>
      </w:r>
      <w:r w:rsidR="00AB4E40">
        <w:rPr>
          <w:rFonts w:asciiTheme="minorHAnsi" w:hAnsiTheme="minorHAnsi"/>
        </w:rPr>
        <w:t>στην Ελλάδα</w:t>
      </w:r>
      <w:r w:rsidR="00837F63">
        <w:rPr>
          <w:rFonts w:asciiTheme="minorHAnsi" w:hAnsiTheme="minorHAnsi"/>
        </w:rPr>
        <w:t>,</w:t>
      </w:r>
      <w:r w:rsidR="008D20A3">
        <w:rPr>
          <w:rFonts w:asciiTheme="minorHAnsi" w:hAnsiTheme="minorHAnsi"/>
        </w:rPr>
        <w:t>συνεχίστηκε η</w:t>
      </w:r>
      <w:r w:rsidR="00F26994" w:rsidRPr="00522B68">
        <w:rPr>
          <w:rFonts w:asciiTheme="minorHAnsi" w:hAnsiTheme="minorHAnsi" w:cstheme="minorHAnsi"/>
          <w:b/>
          <w:bCs/>
        </w:rPr>
        <w:t xml:space="preserve"> ενίσχυση του μεριδίου αγοράς</w:t>
      </w:r>
      <w:r w:rsidR="001968DF">
        <w:rPr>
          <w:rFonts w:asciiTheme="minorHAnsi" w:hAnsiTheme="minorHAnsi" w:cstheme="minorHAnsi"/>
          <w:b/>
          <w:bCs/>
        </w:rPr>
        <w:t xml:space="preserve"> και η διατήρηση υγιούς κερδοφορίας</w:t>
      </w:r>
      <w:r w:rsidR="00F26994" w:rsidRPr="002C29A4">
        <w:rPr>
          <w:rFonts w:asciiTheme="minorHAnsi" w:hAnsiTheme="minorHAnsi"/>
        </w:rPr>
        <w:t>.</w:t>
      </w:r>
    </w:p>
    <w:p w:rsidR="008A7D96" w:rsidRPr="002C29A4" w:rsidRDefault="008A7D96" w:rsidP="002C29A4">
      <w:pPr>
        <w:spacing w:before="240" w:after="120"/>
        <w:jc w:val="both"/>
        <w:rPr>
          <w:rFonts w:asciiTheme="minorHAnsi" w:hAnsiTheme="minorHAnsi"/>
        </w:rPr>
      </w:pPr>
      <w:r w:rsidRPr="00522B68">
        <w:rPr>
          <w:rFonts w:asciiTheme="minorHAnsi" w:hAnsiTheme="minorHAnsi" w:cstheme="minorHAnsi"/>
          <w:b/>
          <w:bCs/>
        </w:rPr>
        <w:t xml:space="preserve">Για το </w:t>
      </w:r>
      <w:r w:rsidR="00B64D40">
        <w:rPr>
          <w:rFonts w:asciiTheme="minorHAnsi" w:hAnsiTheme="minorHAnsi" w:cstheme="minorHAnsi"/>
          <w:b/>
          <w:bCs/>
        </w:rPr>
        <w:t>σύνολο</w:t>
      </w:r>
      <w:r w:rsidR="001968DF">
        <w:rPr>
          <w:rFonts w:asciiTheme="minorHAnsi" w:hAnsiTheme="minorHAnsi" w:cstheme="minorHAnsi"/>
          <w:b/>
          <w:bCs/>
        </w:rPr>
        <w:t xml:space="preserve"> του έτους αναμένεται μια παρόμοια εικόνα</w:t>
      </w:r>
      <w:r w:rsidR="00B64D40">
        <w:rPr>
          <w:rFonts w:asciiTheme="minorHAnsi" w:hAnsiTheme="minorHAnsi" w:cstheme="minorHAnsi"/>
          <w:b/>
          <w:bCs/>
        </w:rPr>
        <w:t xml:space="preserve"> με σταθεροποίηση της κερδοφορίας σε υγιή επίπεδα υποστηριζόμενη από τους τομείς υποδομών </w:t>
      </w:r>
      <w:r w:rsidR="00A214EC">
        <w:rPr>
          <w:rFonts w:asciiTheme="minorHAnsi" w:hAnsiTheme="minorHAnsi" w:cstheme="minorHAnsi"/>
          <w:b/>
          <w:bCs/>
        </w:rPr>
        <w:t xml:space="preserve">(παραχωρήσεις και κατασκευή) </w:t>
      </w:r>
      <w:r w:rsidR="00B64D40">
        <w:rPr>
          <w:rFonts w:asciiTheme="minorHAnsi" w:hAnsiTheme="minorHAnsi" w:cstheme="minorHAnsi"/>
          <w:b/>
          <w:bCs/>
        </w:rPr>
        <w:t xml:space="preserve">και </w:t>
      </w:r>
      <w:r w:rsidR="003321D5">
        <w:rPr>
          <w:rFonts w:asciiTheme="minorHAnsi" w:hAnsiTheme="minorHAnsi" w:cstheme="minorHAnsi"/>
          <w:b/>
          <w:bCs/>
        </w:rPr>
        <w:t>ενέργειαςμετά</w:t>
      </w:r>
      <w:r w:rsidR="00B64D40">
        <w:rPr>
          <w:rFonts w:asciiTheme="minorHAnsi" w:hAnsiTheme="minorHAnsi" w:cstheme="minorHAnsi"/>
          <w:b/>
          <w:bCs/>
        </w:rPr>
        <w:t xml:space="preserve"> την </w:t>
      </w:r>
      <w:r w:rsidR="003321D5">
        <w:rPr>
          <w:rFonts w:asciiTheme="minorHAnsi" w:hAnsiTheme="minorHAnsi" w:cstheme="minorHAnsi"/>
          <w:b/>
          <w:bCs/>
        </w:rPr>
        <w:t>εξομάλυνση</w:t>
      </w:r>
      <w:r w:rsidR="00B64D40">
        <w:rPr>
          <w:rFonts w:asciiTheme="minorHAnsi" w:hAnsiTheme="minorHAnsi" w:cstheme="minorHAnsi"/>
          <w:b/>
          <w:bCs/>
        </w:rPr>
        <w:t xml:space="preserve"> των συνθηκών στις αγορ</w:t>
      </w:r>
      <w:r w:rsidR="003321D5">
        <w:rPr>
          <w:rFonts w:asciiTheme="minorHAnsi" w:hAnsiTheme="minorHAnsi" w:cstheme="minorHAnsi"/>
          <w:b/>
          <w:bCs/>
        </w:rPr>
        <w:t>ές</w:t>
      </w:r>
      <w:r w:rsidR="00B64D40">
        <w:rPr>
          <w:rFonts w:asciiTheme="minorHAnsi" w:hAnsiTheme="minorHAnsi" w:cstheme="minorHAnsi"/>
          <w:b/>
          <w:bCs/>
        </w:rPr>
        <w:t xml:space="preserve"> ενέργειας. Για τις επόμενες περιόδους αναμένεται ενίσχυση των μεγεθών του Ομίλου </w:t>
      </w:r>
      <w:r w:rsidR="00A214EC">
        <w:rPr>
          <w:rFonts w:asciiTheme="minorHAnsi" w:hAnsiTheme="minorHAnsi" w:cstheme="minorHAnsi"/>
          <w:b/>
          <w:bCs/>
        </w:rPr>
        <w:t>λόγο</w:t>
      </w:r>
      <w:r w:rsidR="00B64D40">
        <w:rPr>
          <w:rFonts w:asciiTheme="minorHAnsi" w:hAnsiTheme="minorHAnsi" w:cstheme="minorHAnsi"/>
          <w:b/>
          <w:bCs/>
        </w:rPr>
        <w:t xml:space="preserve"> της σταδιακής ενσωμάτωσης διαφόρων έργων του χαρτοφυλακίου που ολοκληρώνονται (μονάδα φυσικού αερίου Κομοτηνής, έναρξη παραχώρηση</w:t>
      </w:r>
      <w:r w:rsidR="00A214EC">
        <w:rPr>
          <w:rFonts w:asciiTheme="minorHAnsi" w:hAnsiTheme="minorHAnsi" w:cstheme="minorHAnsi"/>
          <w:b/>
          <w:bCs/>
        </w:rPr>
        <w:t>ς</w:t>
      </w:r>
      <w:r w:rsidR="00B64D40">
        <w:rPr>
          <w:rFonts w:asciiTheme="minorHAnsi" w:hAnsiTheme="minorHAnsi" w:cstheme="minorHAnsi"/>
          <w:b/>
          <w:bCs/>
        </w:rPr>
        <w:t xml:space="preserve"> Εγνατίας</w:t>
      </w:r>
      <w:r w:rsidR="00A214EC">
        <w:rPr>
          <w:rFonts w:asciiTheme="minorHAnsi" w:hAnsiTheme="minorHAnsi" w:cstheme="minorHAnsi"/>
          <w:b/>
          <w:bCs/>
        </w:rPr>
        <w:t xml:space="preserve"> Οδού</w:t>
      </w:r>
      <w:r w:rsidR="00B64D40">
        <w:rPr>
          <w:rFonts w:asciiTheme="minorHAnsi" w:hAnsiTheme="minorHAnsi" w:cstheme="minorHAnsi"/>
          <w:b/>
          <w:bCs/>
        </w:rPr>
        <w:t xml:space="preserve"> και Αττικής Οδού</w:t>
      </w:r>
      <w:r w:rsidR="00A214EC">
        <w:rPr>
          <w:rFonts w:asciiTheme="minorHAnsi" w:hAnsiTheme="minorHAnsi" w:cstheme="minorHAnsi"/>
          <w:b/>
          <w:bCs/>
        </w:rPr>
        <w:t>,</w:t>
      </w:r>
      <w:r w:rsidR="00B64D40">
        <w:rPr>
          <w:rFonts w:asciiTheme="minorHAnsi" w:hAnsiTheme="minorHAnsi" w:cstheme="minorHAnsi"/>
          <w:b/>
          <w:bCs/>
        </w:rPr>
        <w:t xml:space="preserve"> αλλά και </w:t>
      </w:r>
      <w:r w:rsidR="00A214EC">
        <w:rPr>
          <w:rFonts w:asciiTheme="minorHAnsi" w:hAnsiTheme="minorHAnsi" w:cstheme="minorHAnsi"/>
          <w:b/>
          <w:bCs/>
        </w:rPr>
        <w:t xml:space="preserve">της </w:t>
      </w:r>
      <w:r w:rsidR="00B64D40">
        <w:rPr>
          <w:rFonts w:asciiTheme="minorHAnsi" w:hAnsiTheme="minorHAnsi" w:cstheme="minorHAnsi"/>
          <w:b/>
          <w:bCs/>
        </w:rPr>
        <w:t>συνεισφορά</w:t>
      </w:r>
      <w:r w:rsidR="00A214EC">
        <w:rPr>
          <w:rFonts w:asciiTheme="minorHAnsi" w:hAnsiTheme="minorHAnsi" w:cstheme="minorHAnsi"/>
          <w:b/>
          <w:bCs/>
        </w:rPr>
        <w:t>ς</w:t>
      </w:r>
      <w:r w:rsidR="00B64D40">
        <w:rPr>
          <w:rFonts w:asciiTheme="minorHAnsi" w:hAnsiTheme="minorHAnsi" w:cstheme="minorHAnsi"/>
          <w:b/>
          <w:bCs/>
        </w:rPr>
        <w:t xml:space="preserve"> του αιολικού πάρκου στον </w:t>
      </w:r>
      <w:proofErr w:type="spellStart"/>
      <w:r w:rsidR="00B64D40">
        <w:rPr>
          <w:rFonts w:asciiTheme="minorHAnsi" w:hAnsiTheme="minorHAnsi" w:cstheme="minorHAnsi"/>
          <w:b/>
          <w:bCs/>
        </w:rPr>
        <w:t>Καφηρέα</w:t>
      </w:r>
      <w:proofErr w:type="spellEnd"/>
      <w:r w:rsidR="00A214EC">
        <w:rPr>
          <w:rFonts w:asciiTheme="minorHAnsi" w:hAnsiTheme="minorHAnsi" w:cstheme="minorHAnsi"/>
          <w:b/>
          <w:bCs/>
        </w:rPr>
        <w:t xml:space="preserve"> για το σύνολο του 12μήνου</w:t>
      </w:r>
      <w:r w:rsidR="00B64D40">
        <w:rPr>
          <w:rFonts w:asciiTheme="minorHAnsi" w:hAnsiTheme="minorHAnsi" w:cstheme="minorHAnsi"/>
          <w:b/>
          <w:bCs/>
        </w:rPr>
        <w:t>). Αντίστοιχα</w:t>
      </w:r>
      <w:r w:rsidR="00A214EC">
        <w:rPr>
          <w:rFonts w:asciiTheme="minorHAnsi" w:hAnsiTheme="minorHAnsi" w:cstheme="minorHAnsi"/>
          <w:b/>
          <w:bCs/>
        </w:rPr>
        <w:t>,</w:t>
      </w:r>
      <w:r w:rsidR="00B64D40">
        <w:rPr>
          <w:rFonts w:asciiTheme="minorHAnsi" w:hAnsiTheme="minorHAnsi" w:cstheme="minorHAnsi"/>
          <w:b/>
          <w:bCs/>
        </w:rPr>
        <w:t xml:space="preserve"> αναμένεται και η </w:t>
      </w:r>
      <w:r w:rsidR="00854405">
        <w:rPr>
          <w:rFonts w:asciiTheme="minorHAnsi" w:hAnsiTheme="minorHAnsi" w:cstheme="minorHAnsi"/>
          <w:b/>
          <w:bCs/>
        </w:rPr>
        <w:t>μεγέθυνση</w:t>
      </w:r>
      <w:r w:rsidR="00B64D40">
        <w:rPr>
          <w:rFonts w:asciiTheme="minorHAnsi" w:hAnsiTheme="minorHAnsi" w:cstheme="minorHAnsi"/>
          <w:b/>
          <w:bCs/>
        </w:rPr>
        <w:t xml:space="preserve"> του ισολογισμού του Ομίλου από την ενσωμάτωση των νέων έργων.        </w:t>
      </w:r>
    </w:p>
    <w:p w:rsidR="00150F29" w:rsidRPr="00522B68" w:rsidRDefault="00F40E72" w:rsidP="002E343A">
      <w:pPr>
        <w:spacing w:before="240" w:after="120"/>
        <w:jc w:val="both"/>
        <w:rPr>
          <w:rFonts w:asciiTheme="minorHAnsi" w:hAnsiTheme="minorHAnsi" w:cstheme="minorHAnsi"/>
          <w:b/>
          <w:bCs/>
        </w:rPr>
      </w:pPr>
      <w:r w:rsidRPr="00522B68">
        <w:rPr>
          <w:rFonts w:asciiTheme="minorHAnsi" w:eastAsia="Times New Roman" w:hAnsiTheme="minorHAnsi" w:cstheme="minorHAnsi"/>
          <w:b/>
          <w:bCs/>
        </w:rPr>
        <w:t>Βασικά χρηματοοικονομικά μεγέθη</w:t>
      </w:r>
    </w:p>
    <w:tbl>
      <w:tblPr>
        <w:tblW w:w="9737" w:type="dxa"/>
        <w:tblLook w:val="04A0"/>
      </w:tblPr>
      <w:tblGrid>
        <w:gridCol w:w="5721"/>
        <w:gridCol w:w="2008"/>
        <w:gridCol w:w="1925"/>
        <w:gridCol w:w="83"/>
      </w:tblGrid>
      <w:tr w:rsidR="00E93504" w:rsidRPr="00522B68" w:rsidTr="002C29A4">
        <w:trPr>
          <w:trHeight w:val="258"/>
        </w:trPr>
        <w:tc>
          <w:tcPr>
            <w:tcW w:w="5721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AE31D2" w:rsidRPr="00522B68" w:rsidRDefault="00AE31D2" w:rsidP="00AB5A9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522B68">
              <w:rPr>
                <w:rFonts w:asciiTheme="minorHAnsi" w:eastAsia="Times New Roman" w:hAnsiTheme="minorHAnsi" w:cstheme="minorHAnsi"/>
                <w:b/>
                <w:bCs/>
              </w:rPr>
              <w:t xml:space="preserve">Εκατ. </w:t>
            </w:r>
            <w:r w:rsidRPr="00522B68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€</w:t>
            </w:r>
          </w:p>
        </w:tc>
        <w:tc>
          <w:tcPr>
            <w:tcW w:w="20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:rsidR="00AE31D2" w:rsidRPr="00522B68" w:rsidRDefault="0091133A" w:rsidP="00AB5A9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9Μ</w:t>
            </w:r>
            <w:r w:rsidR="00AE31D2" w:rsidRPr="00522B68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2</w:t>
            </w:r>
            <w:r w:rsidR="00C83B0D" w:rsidRPr="00522B68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023</w:t>
            </w:r>
          </w:p>
        </w:tc>
        <w:tc>
          <w:tcPr>
            <w:tcW w:w="2008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</w:tcPr>
          <w:p w:rsidR="00AE31D2" w:rsidRPr="00522B68" w:rsidRDefault="0091133A" w:rsidP="00AB5A9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>
              <w:rPr>
                <w:rFonts w:asciiTheme="minorHAnsi" w:eastAsia="Times New Roman" w:hAnsiTheme="minorHAnsi" w:cstheme="minorHAnsi"/>
              </w:rPr>
              <w:t>9Μ</w:t>
            </w:r>
            <w:r w:rsidR="00AE31D2" w:rsidRPr="00522B68">
              <w:rPr>
                <w:rFonts w:asciiTheme="minorHAnsi" w:eastAsia="Times New Roman" w:hAnsiTheme="minorHAnsi" w:cstheme="minorHAnsi"/>
                <w:lang w:val="en-US"/>
              </w:rPr>
              <w:t>202</w:t>
            </w:r>
            <w:r w:rsidR="00C83B0D" w:rsidRPr="00522B68">
              <w:rPr>
                <w:rFonts w:asciiTheme="minorHAnsi" w:eastAsia="Times New Roman" w:hAnsiTheme="minorHAnsi" w:cstheme="minorHAnsi"/>
                <w:lang w:val="en-US"/>
              </w:rPr>
              <w:t>2</w:t>
            </w:r>
          </w:p>
        </w:tc>
      </w:tr>
      <w:tr w:rsidR="0091133A" w:rsidRPr="00522B68" w:rsidTr="002C29A4">
        <w:trPr>
          <w:trHeight w:val="258"/>
        </w:trPr>
        <w:tc>
          <w:tcPr>
            <w:tcW w:w="5721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33A" w:rsidRPr="00522B68" w:rsidRDefault="0091133A" w:rsidP="0091133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522B68">
              <w:rPr>
                <w:rFonts w:asciiTheme="minorHAnsi" w:eastAsia="Times New Roman" w:hAnsiTheme="minorHAnsi" w:cstheme="minorHAnsi"/>
              </w:rPr>
              <w:t>Συνολικά έσοδα</w:t>
            </w:r>
          </w:p>
        </w:tc>
        <w:tc>
          <w:tcPr>
            <w:tcW w:w="2008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</w:pPr>
            <w:r>
              <w:rPr>
                <w:rFonts w:cs="Calibri"/>
                <w:color w:val="000000"/>
              </w:rPr>
              <w:t>2</w:t>
            </w:r>
            <w:r w:rsidR="00A00A73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529</w:t>
            </w:r>
            <w:r w:rsidR="00A00A73">
              <w:rPr>
                <w:rFonts w:cs="Calibri"/>
                <w:color w:val="000000"/>
              </w:rPr>
              <w:t>,4</w:t>
            </w:r>
          </w:p>
        </w:tc>
        <w:tc>
          <w:tcPr>
            <w:tcW w:w="2008" w:type="dxa"/>
            <w:gridSpan w:val="2"/>
            <w:tcBorders>
              <w:top w:val="single" w:sz="4" w:space="0" w:color="00B0F0"/>
              <w:left w:val="nil"/>
              <w:bottom w:val="nil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cs="Calibri"/>
                <w:color w:val="000000"/>
              </w:rPr>
              <w:t>2</w:t>
            </w:r>
            <w:r w:rsidR="00A00A73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762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91133A" w:rsidRPr="00522B68" w:rsidTr="002C29A4">
        <w:trPr>
          <w:trHeight w:val="258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33A" w:rsidRPr="00522B68" w:rsidRDefault="0091133A" w:rsidP="0091133A">
            <w:pPr>
              <w:spacing w:after="0"/>
              <w:rPr>
                <w:rFonts w:asciiTheme="minorHAnsi" w:eastAsia="Times New Roman" w:hAnsiTheme="minorHAnsi" w:cstheme="minorHAnsi"/>
                <w:vertAlign w:val="superscript"/>
                <w:lang w:val="en-GB"/>
              </w:rPr>
            </w:pPr>
            <w:r w:rsidRPr="00522B68">
              <w:rPr>
                <w:rFonts w:asciiTheme="minorHAnsi" w:eastAsia="Times New Roman" w:hAnsiTheme="minorHAnsi" w:cstheme="minorHAnsi"/>
              </w:rPr>
              <w:t xml:space="preserve">Λειτουργική κερδοφορία (προσαρμοσμένο </w:t>
            </w:r>
            <w:r w:rsidRPr="00522B68">
              <w:rPr>
                <w:rFonts w:asciiTheme="minorHAnsi" w:eastAsia="Times New Roman" w:hAnsiTheme="minorHAnsi" w:cstheme="minorHAnsi"/>
                <w:lang w:val="en-US"/>
              </w:rPr>
              <w:t>EBITDA</w:t>
            </w:r>
            <w:r w:rsidRPr="00522B68">
              <w:rPr>
                <w:rFonts w:asciiTheme="minorHAnsi" w:eastAsia="Times New Roman" w:hAnsiTheme="minorHAnsi" w:cstheme="minorHAnsi"/>
              </w:rPr>
              <w:t>)</w:t>
            </w:r>
            <w:r w:rsidRPr="00522B68">
              <w:rPr>
                <w:rFonts w:asciiTheme="minorHAnsi" w:eastAsia="Times New Roman" w:hAnsiTheme="minorHAnsi" w:cstheme="minorHAnsi"/>
                <w:vertAlign w:val="superscript"/>
              </w:rPr>
              <w:t>(1)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</w:pPr>
            <w:r>
              <w:rPr>
                <w:rFonts w:cs="Calibri"/>
                <w:color w:val="000000"/>
              </w:rPr>
              <w:t>396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cs="Calibri"/>
                <w:color w:val="000000"/>
              </w:rPr>
              <w:t>404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</w:t>
            </w:r>
          </w:p>
        </w:tc>
      </w:tr>
      <w:tr w:rsidR="0091133A" w:rsidRPr="00522B68" w:rsidTr="002C29A4">
        <w:trPr>
          <w:trHeight w:val="258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33A" w:rsidRPr="00522B68" w:rsidRDefault="0091133A" w:rsidP="0091133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522B68">
              <w:rPr>
                <w:rFonts w:asciiTheme="minorHAnsi" w:eastAsia="Times New Roman" w:hAnsiTheme="minorHAnsi" w:cstheme="minorHAnsi"/>
              </w:rPr>
              <w:t>Καθαρά κέρδη αποδιδόμενα στους μετόχους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cs="Calibri"/>
                <w:color w:val="000000"/>
              </w:rPr>
              <w:t>99</w:t>
            </w:r>
            <w:r w:rsidR="00A00A73">
              <w:rPr>
                <w:rFonts w:cs="Calibri"/>
                <w:color w:val="000000"/>
              </w:rPr>
              <w:t>,5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>
              <w:rPr>
                <w:rFonts w:cs="Calibri"/>
                <w:color w:val="000000"/>
              </w:rPr>
              <w:t>68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</w:t>
            </w:r>
          </w:p>
        </w:tc>
      </w:tr>
      <w:tr w:rsidR="0091133A" w:rsidRPr="00522B68" w:rsidTr="0091133A">
        <w:trPr>
          <w:gridAfter w:val="1"/>
          <w:wAfter w:w="83" w:type="dxa"/>
          <w:trHeight w:val="258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33A" w:rsidRPr="00522B68" w:rsidRDefault="0091133A" w:rsidP="0091133A">
            <w:pPr>
              <w:spacing w:after="0"/>
              <w:rPr>
                <w:rFonts w:asciiTheme="minorHAnsi" w:eastAsia="Times New Roman" w:hAnsiTheme="minorHAnsi" w:cstheme="minorHAnsi"/>
                <w:vertAlign w:val="superscript"/>
              </w:rPr>
            </w:pPr>
            <w:r w:rsidRPr="00522B68">
              <w:rPr>
                <w:rFonts w:asciiTheme="minorHAnsi" w:eastAsia="Times New Roman" w:hAnsiTheme="minorHAnsi" w:cstheme="minorHAnsi"/>
              </w:rPr>
              <w:t>Κέρδη αποδιδόμενα στους μετόχους προσαρμοσμένα για μη λειτουργικά αποτελέσματα</w:t>
            </w:r>
            <w:r w:rsidRPr="00522B68">
              <w:rPr>
                <w:rFonts w:asciiTheme="minorHAnsi" w:eastAsia="Times New Roman" w:hAnsiTheme="minorHAnsi" w:cstheme="minorHAnsi"/>
                <w:vertAlign w:val="superscript"/>
              </w:rPr>
              <w:t>(2)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cs="Calibri"/>
                <w:color w:val="000000"/>
              </w:rPr>
              <w:t>88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cs="Calibri"/>
                <w:color w:val="000000"/>
              </w:rPr>
              <w:t>93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2</w:t>
            </w:r>
          </w:p>
        </w:tc>
      </w:tr>
      <w:tr w:rsidR="0091133A" w:rsidRPr="00522B68" w:rsidTr="0091133A">
        <w:trPr>
          <w:gridAfter w:val="1"/>
          <w:wAfter w:w="83" w:type="dxa"/>
          <w:trHeight w:val="258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133A" w:rsidRPr="0091133A" w:rsidRDefault="0091133A" w:rsidP="0091133A">
            <w:pPr>
              <w:spacing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Κέρδη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ανα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μετοχή </w:t>
            </w:r>
            <w:r w:rsidRPr="00522B68">
              <w:rPr>
                <w:rFonts w:asciiTheme="minorHAnsi" w:eastAsia="Times New Roman" w:hAnsiTheme="minorHAnsi" w:cstheme="minorHAnsi"/>
              </w:rPr>
              <w:t>προσαρμοσμένα για μη λειτουργικά αποτελέσματα</w:t>
            </w:r>
            <w:r w:rsidRPr="00522B68">
              <w:rPr>
                <w:rFonts w:asciiTheme="minorHAnsi" w:eastAsia="Times New Roman" w:hAnsiTheme="minorHAnsi" w:cstheme="minorHAnsi"/>
                <w:vertAlign w:val="superscript"/>
              </w:rPr>
              <w:t>(2)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33A" w:rsidRDefault="0091133A" w:rsidP="009113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A00A73">
              <w:rPr>
                <w:rFonts w:cs="Calibri"/>
                <w:color w:val="000000"/>
              </w:rPr>
              <w:t>,9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97</w:t>
            </w:r>
          </w:p>
        </w:tc>
      </w:tr>
      <w:tr w:rsidR="00E41F06" w:rsidRPr="00522B68" w:rsidTr="002C29A4">
        <w:trPr>
          <w:trHeight w:val="68"/>
        </w:trPr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1F06" w:rsidRPr="00522B68" w:rsidRDefault="00E41F06" w:rsidP="00AB5A93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F06" w:rsidRPr="00522B68" w:rsidRDefault="00E41F06" w:rsidP="002C29A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F06" w:rsidRPr="00522B68" w:rsidRDefault="00E41F06" w:rsidP="00AB5A9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B5A93" w:rsidRPr="00522B68" w:rsidTr="002C29A4">
        <w:trPr>
          <w:trHeight w:val="258"/>
        </w:trPr>
        <w:tc>
          <w:tcPr>
            <w:tcW w:w="5721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</w:tcPr>
          <w:p w:rsidR="00AB5A93" w:rsidRPr="00522B68" w:rsidRDefault="00AB5A93" w:rsidP="00AB5A93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522B68">
              <w:rPr>
                <w:rFonts w:asciiTheme="minorHAnsi" w:eastAsia="Times New Roman" w:hAnsiTheme="minorHAnsi" w:cstheme="minorHAnsi"/>
                <w:b/>
                <w:bCs/>
              </w:rPr>
              <w:t xml:space="preserve">Εκατ. </w:t>
            </w:r>
            <w:r w:rsidRPr="00522B68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€</w:t>
            </w:r>
          </w:p>
        </w:tc>
        <w:tc>
          <w:tcPr>
            <w:tcW w:w="2008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</w:tcPr>
          <w:p w:rsidR="00AB5A93" w:rsidRPr="00522B68" w:rsidRDefault="0091133A" w:rsidP="00AB5A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9Μ</w:t>
            </w:r>
            <w:r w:rsidR="00C83B0D" w:rsidRPr="00522B68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2023</w:t>
            </w:r>
          </w:p>
        </w:tc>
        <w:tc>
          <w:tcPr>
            <w:tcW w:w="2008" w:type="dxa"/>
            <w:gridSpan w:val="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vAlign w:val="center"/>
          </w:tcPr>
          <w:p w:rsidR="00AB5A93" w:rsidRPr="00522B68" w:rsidRDefault="002E343A" w:rsidP="00AB5A9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2B68">
              <w:rPr>
                <w:rFonts w:asciiTheme="minorHAnsi" w:eastAsia="Times New Roman" w:hAnsiTheme="minorHAnsi" w:cstheme="minorHAnsi"/>
                <w:lang w:val="en-US"/>
              </w:rPr>
              <w:t>YE-</w:t>
            </w:r>
            <w:r w:rsidR="00AB5A93" w:rsidRPr="00522B68">
              <w:rPr>
                <w:rFonts w:asciiTheme="minorHAnsi" w:eastAsia="Times New Roman" w:hAnsiTheme="minorHAnsi" w:cstheme="minorHAnsi"/>
                <w:lang w:val="en-US"/>
              </w:rPr>
              <w:t>202</w:t>
            </w:r>
            <w:r w:rsidR="00C83B0D" w:rsidRPr="00522B68">
              <w:rPr>
                <w:rFonts w:asciiTheme="minorHAnsi" w:eastAsia="Times New Roman" w:hAnsiTheme="minorHAnsi" w:cstheme="minorHAnsi"/>
                <w:lang w:val="en-US"/>
              </w:rPr>
              <w:t>2</w:t>
            </w:r>
          </w:p>
        </w:tc>
      </w:tr>
      <w:tr w:rsidR="0091133A" w:rsidRPr="00522B68" w:rsidTr="0091133A">
        <w:trPr>
          <w:gridAfter w:val="1"/>
          <w:wAfter w:w="83" w:type="dxa"/>
          <w:trHeight w:val="258"/>
        </w:trPr>
        <w:tc>
          <w:tcPr>
            <w:tcW w:w="5721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33A" w:rsidRPr="002C29A4" w:rsidRDefault="0091133A" w:rsidP="0091133A">
            <w:pPr>
              <w:spacing w:after="0"/>
              <w:rPr>
                <w:rFonts w:asciiTheme="minorHAnsi" w:hAnsiTheme="minorHAnsi"/>
                <w:vertAlign w:val="superscript"/>
              </w:rPr>
            </w:pPr>
            <w:r w:rsidRPr="00522B68">
              <w:rPr>
                <w:rFonts w:asciiTheme="minorHAnsi" w:eastAsia="Times New Roman" w:hAnsiTheme="minorHAnsi" w:cstheme="minorHAnsi"/>
              </w:rPr>
              <w:t>Καθαρό Χρέος</w:t>
            </w:r>
            <w:r>
              <w:rPr>
                <w:rFonts w:asciiTheme="minorHAnsi" w:eastAsia="Times New Roman" w:hAnsiTheme="minorHAnsi" w:cstheme="minorHAnsi"/>
              </w:rPr>
              <w:t xml:space="preserve"> μετά των δεσμευμένων καταθέσεων και των </w:t>
            </w:r>
            <w:r>
              <w:rPr>
                <w:rFonts w:asciiTheme="minorHAnsi" w:eastAsia="Times New Roman" w:hAnsiTheme="minorHAnsi" w:cstheme="minorHAnsi"/>
              </w:rPr>
              <w:lastRenderedPageBreak/>
              <w:t>επιχορηγήσεων προς επιστροφή</w:t>
            </w:r>
            <w:r w:rsidRPr="00522B68">
              <w:rPr>
                <w:rFonts w:asciiTheme="minorHAnsi" w:eastAsia="Times New Roman" w:hAnsiTheme="minorHAnsi" w:cstheme="minorHAnsi"/>
                <w:vertAlign w:val="superscript"/>
              </w:rPr>
              <w:t>(1)</w:t>
            </w:r>
          </w:p>
        </w:tc>
        <w:tc>
          <w:tcPr>
            <w:tcW w:w="2008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A" w:rsidRPr="002C29A4" w:rsidRDefault="0091133A" w:rsidP="0091133A">
            <w:pPr>
              <w:spacing w:after="0"/>
              <w:jc w:val="center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  <w:r w:rsidR="00A00A73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630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B0F0"/>
              <w:left w:val="nil"/>
              <w:bottom w:val="nil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highlight w:val="yellow"/>
              </w:rPr>
            </w:pPr>
            <w:r w:rsidRPr="00522B68">
              <w:rPr>
                <w:rFonts w:asciiTheme="minorHAnsi" w:hAnsiTheme="minorHAnsi" w:cstheme="minorHAnsi"/>
                <w:color w:val="000000"/>
              </w:rPr>
              <w:t>1</w:t>
            </w:r>
            <w:r w:rsidR="00A52A18">
              <w:rPr>
                <w:rFonts w:asciiTheme="minorHAnsi" w:hAnsiTheme="minorHAnsi" w:cstheme="minorHAnsi"/>
                <w:color w:val="000000"/>
                <w:lang w:val="en-GB"/>
              </w:rPr>
              <w:t>.</w:t>
            </w:r>
            <w:r w:rsidRPr="00522B68">
              <w:rPr>
                <w:rFonts w:asciiTheme="minorHAnsi" w:hAnsiTheme="minorHAnsi" w:cstheme="minorHAnsi"/>
                <w:color w:val="000000"/>
              </w:rPr>
              <w:t>365</w:t>
            </w:r>
            <w:r w:rsidR="00A52A18">
              <w:rPr>
                <w:rFonts w:asciiTheme="minorHAnsi" w:hAnsiTheme="minorHAnsi" w:cstheme="minorHAnsi"/>
                <w:color w:val="000000"/>
                <w:lang w:val="en-GB"/>
              </w:rPr>
              <w:t>,</w:t>
            </w:r>
            <w:r w:rsidRPr="00522B68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91133A" w:rsidRPr="00522B68" w:rsidTr="0091133A">
        <w:trPr>
          <w:gridAfter w:val="1"/>
          <w:wAfter w:w="83" w:type="dxa"/>
          <w:trHeight w:val="258"/>
        </w:trPr>
        <w:tc>
          <w:tcPr>
            <w:tcW w:w="572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</w:tcPr>
          <w:p w:rsidR="0091133A" w:rsidRPr="00522B68" w:rsidRDefault="0091133A" w:rsidP="0091133A">
            <w:pPr>
              <w:spacing w:after="0"/>
              <w:rPr>
                <w:rFonts w:asciiTheme="minorHAnsi" w:eastAsia="Times New Roman" w:hAnsiTheme="minorHAnsi" w:cstheme="minorHAnsi"/>
                <w:vertAlign w:val="superscript"/>
              </w:rPr>
            </w:pPr>
            <w:bookmarkStart w:id="1" w:name="_Hlk120605461"/>
            <w:r w:rsidRPr="00522B68">
              <w:rPr>
                <w:rFonts w:asciiTheme="minorHAnsi" w:eastAsia="Times New Roman" w:hAnsiTheme="minorHAnsi" w:cstheme="minorHAnsi"/>
              </w:rPr>
              <w:lastRenderedPageBreak/>
              <w:t>Καθαρό Χρέος</w:t>
            </w:r>
            <w:r>
              <w:rPr>
                <w:rFonts w:asciiTheme="minorHAnsi" w:eastAsia="Times New Roman" w:hAnsiTheme="minorHAnsi" w:cstheme="minorHAnsi"/>
              </w:rPr>
              <w:t xml:space="preserve"> μετά των δεσμευμένων καταθέσεων και των επιχορηγήσεων προς επιστροφή</w:t>
            </w:r>
            <w:r w:rsidRPr="00522B68">
              <w:rPr>
                <w:rFonts w:asciiTheme="minorHAnsi" w:eastAsia="Times New Roman" w:hAnsiTheme="minorHAnsi" w:cstheme="minorHAnsi"/>
              </w:rPr>
              <w:t xml:space="preserve">/Προσαρμοσμένο </w:t>
            </w:r>
            <w:r w:rsidRPr="00522B68">
              <w:rPr>
                <w:rFonts w:asciiTheme="minorHAnsi" w:eastAsia="Times New Roman" w:hAnsiTheme="minorHAnsi" w:cstheme="minorHAnsi"/>
                <w:lang w:val="en-US"/>
              </w:rPr>
              <w:t>EBITDA</w:t>
            </w:r>
            <w:bookmarkEnd w:id="1"/>
            <w:r w:rsidRPr="00522B68">
              <w:rPr>
                <w:rFonts w:asciiTheme="minorHAnsi" w:eastAsia="Times New Roman" w:hAnsiTheme="minorHAnsi" w:cstheme="minorHAnsi"/>
                <w:vertAlign w:val="superscript"/>
              </w:rPr>
              <w:t>(1)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bottom"/>
          </w:tcPr>
          <w:p w:rsidR="0091133A" w:rsidRPr="00A00A73" w:rsidRDefault="0091133A" w:rsidP="0091133A">
            <w:pPr>
              <w:spacing w:after="0"/>
              <w:jc w:val="center"/>
              <w:rPr>
                <w:rFonts w:asciiTheme="minorHAnsi" w:hAnsiTheme="minorHAns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>2</w:t>
            </w:r>
            <w:r w:rsidR="00A00A7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</w:t>
            </w:r>
            <w:r w:rsidR="00A00A73">
              <w:rPr>
                <w:rFonts w:cs="Calibri"/>
                <w:color w:val="000000"/>
                <w:lang w:val="en-GB"/>
              </w:rPr>
              <w:t>x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B0F0"/>
              <w:right w:val="nil"/>
            </w:tcBorders>
            <w:vAlign w:val="bottom"/>
          </w:tcPr>
          <w:p w:rsidR="0091133A" w:rsidRPr="00522B68" w:rsidRDefault="0091133A" w:rsidP="009113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522B68">
              <w:rPr>
                <w:rFonts w:asciiTheme="minorHAnsi" w:hAnsiTheme="minorHAnsi" w:cstheme="minorHAnsi"/>
                <w:color w:val="000000"/>
                <w:lang w:val="en-GB"/>
              </w:rPr>
              <w:t>2</w:t>
            </w:r>
            <w:r w:rsidR="00A00A73">
              <w:rPr>
                <w:rFonts w:asciiTheme="minorHAnsi" w:hAnsiTheme="minorHAnsi" w:cstheme="minorHAnsi"/>
                <w:color w:val="000000"/>
              </w:rPr>
              <w:t>,</w:t>
            </w:r>
            <w:r w:rsidRPr="00522B68">
              <w:rPr>
                <w:rFonts w:asciiTheme="minorHAnsi" w:hAnsiTheme="minorHAnsi" w:cstheme="minorHAnsi"/>
                <w:color w:val="000000"/>
              </w:rPr>
              <w:t>1</w:t>
            </w:r>
            <w:r w:rsidRPr="00522B68">
              <w:rPr>
                <w:rFonts w:asciiTheme="minorHAnsi" w:hAnsiTheme="minorHAnsi" w:cstheme="minorHAnsi"/>
                <w:color w:val="000000"/>
                <w:lang w:val="en-GB"/>
              </w:rPr>
              <w:t>x</w:t>
            </w:r>
          </w:p>
        </w:tc>
      </w:tr>
    </w:tbl>
    <w:p w:rsidR="00B67D5B" w:rsidRPr="00522B68" w:rsidRDefault="00B67D5B" w:rsidP="00AB5A93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 w:rsidRPr="00522B68">
        <w:rPr>
          <w:rFonts w:asciiTheme="minorHAnsi" w:eastAsia="Times New Roman" w:hAnsiTheme="minorHAnsi" w:cstheme="minorHAnsi"/>
        </w:rPr>
        <w:t>Αναλυτικά:</w:t>
      </w:r>
    </w:p>
    <w:p w:rsidR="00AC33BA" w:rsidRPr="00522B68" w:rsidRDefault="009F05A1" w:rsidP="002C29A4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 w:rsidRPr="00522B68">
        <w:rPr>
          <w:rFonts w:asciiTheme="minorHAnsi" w:eastAsia="Times New Roman" w:hAnsiTheme="minorHAnsi" w:cstheme="minorHAnsi"/>
          <w:b/>
          <w:bCs/>
        </w:rPr>
        <w:t xml:space="preserve">Τα συνολικά έσοδα του </w:t>
      </w:r>
      <w:r w:rsidR="003C59FA" w:rsidRPr="00522B68">
        <w:rPr>
          <w:rFonts w:asciiTheme="minorHAnsi" w:eastAsia="Times New Roman" w:hAnsiTheme="minorHAnsi" w:cstheme="minorHAnsi"/>
          <w:b/>
          <w:bCs/>
        </w:rPr>
        <w:t>Ομίλου</w:t>
      </w:r>
      <w:r w:rsidR="00DE6331" w:rsidRPr="00522B68">
        <w:rPr>
          <w:rFonts w:asciiTheme="minorHAnsi" w:eastAsia="Times New Roman" w:hAnsiTheme="minorHAnsi" w:cstheme="minorHAnsi"/>
          <w:b/>
          <w:bCs/>
        </w:rPr>
        <w:t xml:space="preserve">κατά </w:t>
      </w:r>
      <w:r w:rsidR="00336072" w:rsidRPr="00522B68">
        <w:rPr>
          <w:rFonts w:asciiTheme="minorHAnsi" w:eastAsia="Times New Roman" w:hAnsiTheme="minorHAnsi" w:cstheme="minorHAnsi"/>
          <w:b/>
          <w:bCs/>
        </w:rPr>
        <w:t>το</w:t>
      </w:r>
      <w:r w:rsidR="00B64D40">
        <w:rPr>
          <w:rFonts w:asciiTheme="minorHAnsi" w:eastAsia="Times New Roman" w:hAnsiTheme="minorHAnsi" w:cstheme="minorHAnsi"/>
          <w:b/>
          <w:bCs/>
        </w:rPr>
        <w:t xml:space="preserve">υς πρώτους εννέα μήνες </w:t>
      </w:r>
      <w:r w:rsidR="00007D50" w:rsidRPr="00522B68">
        <w:rPr>
          <w:rFonts w:asciiTheme="minorHAnsi" w:eastAsia="Times New Roman" w:hAnsiTheme="minorHAnsi" w:cstheme="minorHAnsi"/>
          <w:b/>
          <w:bCs/>
        </w:rPr>
        <w:t xml:space="preserve">του τρέχοντος έτους 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διαμορφώθηκαν σε </w:t>
      </w:r>
      <w:r w:rsidR="00AC33BA" w:rsidRPr="00522B68">
        <w:rPr>
          <w:rFonts w:asciiTheme="minorHAnsi" w:eastAsia="Times New Roman" w:hAnsiTheme="minorHAnsi" w:cstheme="minorHAnsi"/>
          <w:b/>
          <w:bCs/>
        </w:rPr>
        <w:t xml:space="preserve">€ </w:t>
      </w:r>
      <w:r w:rsidR="00B64D40">
        <w:rPr>
          <w:rFonts w:asciiTheme="minorHAnsi" w:eastAsia="Times New Roman" w:hAnsiTheme="minorHAnsi" w:cstheme="minorHAnsi"/>
          <w:b/>
          <w:bCs/>
        </w:rPr>
        <w:t>2</w:t>
      </w:r>
      <w:r w:rsidR="003262D7" w:rsidRPr="00522B68">
        <w:rPr>
          <w:rFonts w:asciiTheme="minorHAnsi" w:eastAsia="Times New Roman" w:hAnsiTheme="minorHAnsi" w:cstheme="minorHAnsi"/>
          <w:b/>
          <w:bCs/>
        </w:rPr>
        <w:t>.</w:t>
      </w:r>
      <w:r w:rsidR="00B64D40">
        <w:rPr>
          <w:rFonts w:asciiTheme="minorHAnsi" w:eastAsia="Times New Roman" w:hAnsiTheme="minorHAnsi" w:cstheme="minorHAnsi"/>
          <w:b/>
          <w:bCs/>
        </w:rPr>
        <w:t>529,</w:t>
      </w:r>
      <w:r w:rsidR="00A52A18" w:rsidRPr="00A52A18">
        <w:rPr>
          <w:rFonts w:asciiTheme="minorHAnsi" w:eastAsia="Times New Roman" w:hAnsiTheme="minorHAnsi" w:cstheme="minorHAnsi"/>
          <w:b/>
          <w:bCs/>
        </w:rPr>
        <w:t>4</w:t>
      </w:r>
      <w:r w:rsidR="00DE6331" w:rsidRPr="00522B68">
        <w:rPr>
          <w:rFonts w:asciiTheme="minorHAnsi" w:hAnsiTheme="minorHAnsi" w:cstheme="minorHAnsi"/>
          <w:b/>
          <w:bCs/>
        </w:rPr>
        <w:t xml:space="preserve"> εκ</w:t>
      </w:r>
      <w:r w:rsidR="00DF54BC" w:rsidRPr="00522B68">
        <w:rPr>
          <w:rFonts w:asciiTheme="minorHAnsi" w:hAnsiTheme="minorHAnsi" w:cstheme="minorHAnsi"/>
          <w:b/>
          <w:bCs/>
        </w:rPr>
        <w:t>ατ</w:t>
      </w:r>
      <w:r w:rsidR="00DE6331" w:rsidRPr="00522B68">
        <w:rPr>
          <w:rFonts w:asciiTheme="minorHAnsi" w:hAnsiTheme="minorHAnsi" w:cstheme="minorHAnsi"/>
          <w:b/>
          <w:bCs/>
        </w:rPr>
        <w:t xml:space="preserve">. έναντι </w:t>
      </w:r>
      <w:bookmarkStart w:id="2" w:name="BIP_SEL020"/>
      <w:r w:rsidR="00DE6331" w:rsidRPr="00522B68">
        <w:rPr>
          <w:rFonts w:asciiTheme="minorHAnsi" w:eastAsia="Times New Roman" w:hAnsiTheme="minorHAnsi" w:cstheme="minorHAnsi"/>
          <w:b/>
          <w:bCs/>
        </w:rPr>
        <w:t xml:space="preserve">€ </w:t>
      </w:r>
      <w:bookmarkEnd w:id="2"/>
      <w:r w:rsidR="00B64D40">
        <w:rPr>
          <w:rFonts w:asciiTheme="minorHAnsi" w:eastAsia="Times New Roman" w:hAnsiTheme="minorHAnsi" w:cstheme="minorHAnsi"/>
          <w:b/>
          <w:bCs/>
        </w:rPr>
        <w:t>2</w:t>
      </w:r>
      <w:r w:rsidR="003262D7" w:rsidRPr="00522B68">
        <w:rPr>
          <w:rFonts w:asciiTheme="minorHAnsi" w:eastAsia="Times New Roman" w:hAnsiTheme="minorHAnsi" w:cstheme="minorHAnsi"/>
          <w:b/>
          <w:bCs/>
        </w:rPr>
        <w:t>.</w:t>
      </w:r>
      <w:r w:rsidR="00B64D40">
        <w:rPr>
          <w:rFonts w:asciiTheme="minorHAnsi" w:eastAsia="Times New Roman" w:hAnsiTheme="minorHAnsi" w:cstheme="minorHAnsi"/>
          <w:b/>
          <w:bCs/>
        </w:rPr>
        <w:t>762</w:t>
      </w:r>
      <w:r w:rsidR="003262D7" w:rsidRPr="00522B68">
        <w:rPr>
          <w:rFonts w:asciiTheme="minorHAnsi" w:eastAsia="Times New Roman" w:hAnsiTheme="minorHAnsi" w:cstheme="minorHAnsi"/>
          <w:b/>
          <w:bCs/>
        </w:rPr>
        <w:t>,</w:t>
      </w:r>
      <w:r w:rsidR="00B64D40">
        <w:rPr>
          <w:rFonts w:asciiTheme="minorHAnsi" w:eastAsia="Times New Roman" w:hAnsiTheme="minorHAnsi" w:cstheme="minorHAnsi"/>
          <w:b/>
          <w:bCs/>
        </w:rPr>
        <w:t>0</w:t>
      </w:r>
      <w:r w:rsidR="00DE6331" w:rsidRPr="00522B68">
        <w:rPr>
          <w:rFonts w:asciiTheme="minorHAnsi" w:hAnsiTheme="minorHAnsi" w:cstheme="minorHAnsi"/>
          <w:b/>
          <w:bCs/>
        </w:rPr>
        <w:t xml:space="preserve"> εκ</w:t>
      </w:r>
      <w:r w:rsidR="00E36CC7">
        <w:rPr>
          <w:rFonts w:asciiTheme="minorHAnsi" w:hAnsiTheme="minorHAnsi" w:cstheme="minorHAnsi"/>
          <w:b/>
          <w:bCs/>
        </w:rPr>
        <w:t>ατ</w:t>
      </w:r>
      <w:r w:rsidR="00DE6331" w:rsidRPr="00522B68">
        <w:rPr>
          <w:rFonts w:asciiTheme="minorHAnsi" w:hAnsiTheme="minorHAnsi" w:cstheme="minorHAnsi"/>
          <w:b/>
          <w:bCs/>
        </w:rPr>
        <w:t xml:space="preserve">. την αντίστοιχη περίοδο του </w:t>
      </w:r>
      <w:bookmarkStart w:id="3" w:name="BIP_SEL013"/>
      <w:r w:rsidR="00DE6331" w:rsidRPr="00522B68">
        <w:rPr>
          <w:rFonts w:asciiTheme="minorHAnsi" w:hAnsiTheme="minorHAnsi" w:cstheme="minorHAnsi"/>
          <w:b/>
          <w:bCs/>
        </w:rPr>
        <w:t>202</w:t>
      </w:r>
      <w:bookmarkEnd w:id="3"/>
      <w:r w:rsidR="00007D50" w:rsidRPr="00522B68">
        <w:rPr>
          <w:rFonts w:asciiTheme="minorHAnsi" w:hAnsiTheme="minorHAnsi" w:cstheme="minorHAnsi"/>
          <w:b/>
          <w:bCs/>
        </w:rPr>
        <w:t>2</w:t>
      </w:r>
      <w:r w:rsidR="00781003" w:rsidRPr="00522B68">
        <w:rPr>
          <w:rFonts w:asciiTheme="minorHAnsi" w:hAnsiTheme="minorHAnsi" w:cstheme="minorHAnsi"/>
          <w:b/>
          <w:bCs/>
        </w:rPr>
        <w:t xml:space="preserve">κυρίως </w:t>
      </w:r>
      <w:r w:rsidR="00707124" w:rsidRPr="00522B68">
        <w:rPr>
          <w:rFonts w:asciiTheme="minorHAnsi" w:hAnsiTheme="minorHAnsi" w:cstheme="minorHAnsi"/>
          <w:b/>
          <w:bCs/>
        </w:rPr>
        <w:t>λόγω</w:t>
      </w:r>
      <w:r w:rsidR="004D0610">
        <w:rPr>
          <w:rFonts w:asciiTheme="minorHAnsi" w:hAnsiTheme="minorHAnsi" w:cstheme="minorHAnsi"/>
          <w:b/>
          <w:bCs/>
        </w:rPr>
        <w:t>μειωμένων</w:t>
      </w:r>
      <w:r w:rsidR="00781003" w:rsidRPr="00522B68">
        <w:rPr>
          <w:rFonts w:asciiTheme="minorHAnsi" w:hAnsiTheme="minorHAnsi" w:cstheme="minorHAnsi"/>
          <w:b/>
          <w:bCs/>
        </w:rPr>
        <w:t xml:space="preserve"> εσόδων στ</w:t>
      </w:r>
      <w:r w:rsidR="003262D7" w:rsidRPr="00522B68">
        <w:rPr>
          <w:rFonts w:asciiTheme="minorHAnsi" w:hAnsiTheme="minorHAnsi" w:cstheme="minorHAnsi"/>
          <w:b/>
          <w:bCs/>
        </w:rPr>
        <w:t xml:space="preserve">ο τομέα </w:t>
      </w:r>
      <w:r w:rsidR="004D0610">
        <w:rPr>
          <w:rFonts w:asciiTheme="minorHAnsi" w:hAnsiTheme="minorHAnsi" w:cstheme="minorHAnsi"/>
          <w:b/>
          <w:bCs/>
        </w:rPr>
        <w:t>ενέργειας αλλά και αυξημένων εσόδων από του τομείς των</w:t>
      </w:r>
      <w:r w:rsidR="003262D7" w:rsidRPr="00522B68">
        <w:rPr>
          <w:rFonts w:asciiTheme="minorHAnsi" w:hAnsiTheme="minorHAnsi" w:cstheme="minorHAnsi"/>
          <w:b/>
          <w:bCs/>
        </w:rPr>
        <w:t xml:space="preserve"> κατασκευών και των παραχωρήσεων</w:t>
      </w:r>
      <w:r w:rsidR="00AC33BA" w:rsidRPr="00522B68">
        <w:rPr>
          <w:rFonts w:asciiTheme="minorHAnsi" w:eastAsia="Times New Roman" w:hAnsiTheme="minorHAnsi" w:cstheme="minorHAnsi"/>
        </w:rPr>
        <w:t>.</w:t>
      </w:r>
      <w:r w:rsidR="00FF2D01" w:rsidRPr="00522B68">
        <w:rPr>
          <w:rFonts w:asciiTheme="minorHAnsi" w:eastAsia="Times New Roman" w:hAnsiTheme="minorHAnsi" w:cstheme="minorHAnsi"/>
        </w:rPr>
        <w:t xml:space="preserve"> Συγκριμένα</w:t>
      </w:r>
      <w:r w:rsidRPr="00522B68">
        <w:rPr>
          <w:rFonts w:asciiTheme="minorHAnsi" w:eastAsia="Times New Roman" w:hAnsiTheme="minorHAnsi" w:cstheme="minorHAnsi"/>
        </w:rPr>
        <w:t xml:space="preserve">: </w:t>
      </w:r>
    </w:p>
    <w:p w:rsidR="00DB580C" w:rsidRPr="00522B68" w:rsidRDefault="009F05A1" w:rsidP="002C29A4">
      <w:pPr>
        <w:pStyle w:val="a9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22B68">
        <w:rPr>
          <w:rFonts w:asciiTheme="minorHAnsi" w:hAnsiTheme="minorHAnsi" w:cstheme="minorHAnsi"/>
          <w:sz w:val="22"/>
          <w:szCs w:val="22"/>
        </w:rPr>
        <w:t>Τα έσοδα του κατασκευαστικού τομέα</w:t>
      </w:r>
      <w:r w:rsidR="00FA55B5" w:rsidRPr="00522B68">
        <w:rPr>
          <w:rFonts w:asciiTheme="minorHAnsi" w:hAnsiTheme="minorHAnsi" w:cstheme="minorHAnsi"/>
          <w:sz w:val="22"/>
          <w:szCs w:val="22"/>
        </w:rPr>
        <w:t xml:space="preserve"> αυξήθηκαν στα</w:t>
      </w:r>
      <w:r w:rsidR="00AC33BA" w:rsidRPr="00522B68">
        <w:rPr>
          <w:rFonts w:asciiTheme="minorHAnsi" w:hAnsiTheme="minorHAnsi" w:cstheme="minorHAnsi"/>
          <w:sz w:val="22"/>
          <w:szCs w:val="22"/>
        </w:rPr>
        <w:t xml:space="preserve"> € </w:t>
      </w:r>
      <w:r w:rsidR="004D0610">
        <w:rPr>
          <w:rFonts w:asciiTheme="minorHAnsi" w:hAnsiTheme="minorHAnsi" w:cstheme="minorHAnsi"/>
          <w:sz w:val="22"/>
          <w:szCs w:val="22"/>
        </w:rPr>
        <w:t>991,6</w:t>
      </w:r>
      <w:r w:rsidR="00FA55B5"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E36CC7">
        <w:rPr>
          <w:rFonts w:asciiTheme="minorHAnsi" w:hAnsiTheme="minorHAnsi" w:cstheme="minorHAnsi"/>
          <w:sz w:val="22"/>
          <w:szCs w:val="22"/>
        </w:rPr>
        <w:t>ατ</w:t>
      </w:r>
      <w:r w:rsidR="00FA55B5" w:rsidRPr="00522B68">
        <w:rPr>
          <w:rFonts w:asciiTheme="minorHAnsi" w:hAnsiTheme="minorHAnsi" w:cstheme="minorHAnsi"/>
          <w:sz w:val="22"/>
          <w:szCs w:val="22"/>
        </w:rPr>
        <w:t>.</w:t>
      </w:r>
      <w:r w:rsidR="00F47137" w:rsidRPr="00522B68">
        <w:rPr>
          <w:rFonts w:asciiTheme="minorHAnsi" w:hAnsiTheme="minorHAnsi" w:cstheme="minorHAnsi"/>
          <w:sz w:val="22"/>
          <w:szCs w:val="22"/>
        </w:rPr>
        <w:t xml:space="preserve">έναντι € </w:t>
      </w:r>
      <w:r w:rsidR="004D0610">
        <w:rPr>
          <w:rFonts w:asciiTheme="minorHAnsi" w:hAnsiTheme="minorHAnsi" w:cstheme="minorHAnsi"/>
          <w:sz w:val="22"/>
          <w:szCs w:val="22"/>
        </w:rPr>
        <w:t>649,7</w:t>
      </w:r>
      <w:r w:rsidR="00F47137"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E36CC7">
        <w:rPr>
          <w:rFonts w:asciiTheme="minorHAnsi" w:hAnsiTheme="minorHAnsi" w:cstheme="minorHAnsi"/>
          <w:sz w:val="22"/>
          <w:szCs w:val="22"/>
        </w:rPr>
        <w:t>ατ</w:t>
      </w:r>
      <w:r w:rsidR="00B70D6D" w:rsidRPr="00522B68">
        <w:rPr>
          <w:rFonts w:asciiTheme="minorHAnsi" w:hAnsiTheme="minorHAnsi" w:cstheme="minorHAnsi"/>
          <w:sz w:val="22"/>
          <w:szCs w:val="22"/>
        </w:rPr>
        <w:t>.</w:t>
      </w:r>
      <w:r w:rsidR="00F47137" w:rsidRPr="00522B68">
        <w:rPr>
          <w:rFonts w:asciiTheme="minorHAnsi" w:hAnsiTheme="minorHAnsi" w:cstheme="minorHAnsi"/>
          <w:sz w:val="22"/>
          <w:szCs w:val="22"/>
        </w:rPr>
        <w:t xml:space="preserve">την </w:t>
      </w:r>
      <w:r w:rsidR="00707124" w:rsidRPr="00522B68">
        <w:rPr>
          <w:rFonts w:asciiTheme="minorHAnsi" w:hAnsiTheme="minorHAnsi" w:cstheme="minorHAnsi"/>
          <w:sz w:val="22"/>
          <w:szCs w:val="22"/>
        </w:rPr>
        <w:t xml:space="preserve">αντίστοιχη </w:t>
      </w:r>
      <w:r w:rsidR="00F47137" w:rsidRPr="00522B68">
        <w:rPr>
          <w:rFonts w:asciiTheme="minorHAnsi" w:hAnsiTheme="minorHAnsi" w:cstheme="minorHAnsi"/>
          <w:sz w:val="22"/>
          <w:szCs w:val="22"/>
        </w:rPr>
        <w:t>περίοδο του 202</w:t>
      </w:r>
      <w:r w:rsidR="00781003" w:rsidRPr="00522B68">
        <w:rPr>
          <w:rFonts w:asciiTheme="minorHAnsi" w:hAnsiTheme="minorHAnsi" w:cstheme="minorHAnsi"/>
          <w:sz w:val="22"/>
          <w:szCs w:val="22"/>
        </w:rPr>
        <w:t>2</w:t>
      </w:r>
      <w:r w:rsidR="00893206" w:rsidRPr="00522B68">
        <w:rPr>
          <w:rFonts w:asciiTheme="minorHAnsi" w:hAnsiTheme="minorHAnsi" w:cstheme="minorHAnsi"/>
          <w:sz w:val="22"/>
          <w:szCs w:val="22"/>
        </w:rPr>
        <w:t>,</w:t>
      </w:r>
      <w:r w:rsidR="00DB580C" w:rsidRPr="00522B68">
        <w:rPr>
          <w:rFonts w:asciiTheme="minorHAnsi" w:hAnsiTheme="minorHAnsi" w:cstheme="minorHAnsi"/>
          <w:sz w:val="22"/>
          <w:szCs w:val="22"/>
        </w:rPr>
        <w:t>αποδιδόμενα στην αύξηση της κατασκευαστικής δραστηριότητας σε έργα δημοσίου και ιδιωτών και στην υλοποίηση του επενδυτικού προγράμματος του Ομίλου</w:t>
      </w:r>
      <w:r w:rsidR="00E36CC7">
        <w:rPr>
          <w:rFonts w:asciiTheme="minorHAnsi" w:hAnsiTheme="minorHAnsi" w:cstheme="minorHAnsi"/>
          <w:sz w:val="22"/>
          <w:szCs w:val="22"/>
        </w:rPr>
        <w:t>.</w:t>
      </w:r>
    </w:p>
    <w:p w:rsidR="00B67D5B" w:rsidRPr="00522B68" w:rsidRDefault="00FA55B5" w:rsidP="002C29A4">
      <w:pPr>
        <w:pStyle w:val="a9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22B68">
        <w:rPr>
          <w:rFonts w:asciiTheme="minorHAnsi" w:hAnsiTheme="minorHAnsi" w:cstheme="minorHAnsi"/>
          <w:sz w:val="22"/>
          <w:szCs w:val="22"/>
        </w:rPr>
        <w:t xml:space="preserve">Ο τομέας των παραχωρήσεων είχε έσοδα </w:t>
      </w:r>
      <w:r w:rsidR="009B257D" w:rsidRPr="00522B68">
        <w:rPr>
          <w:rFonts w:asciiTheme="minorHAnsi" w:hAnsiTheme="minorHAnsi" w:cstheme="minorHAnsi"/>
          <w:sz w:val="22"/>
          <w:szCs w:val="22"/>
        </w:rPr>
        <w:t xml:space="preserve">€ </w:t>
      </w:r>
      <w:r w:rsidR="00DB580C" w:rsidRPr="00522B68">
        <w:rPr>
          <w:rFonts w:asciiTheme="minorHAnsi" w:hAnsiTheme="minorHAnsi" w:cstheme="minorHAnsi"/>
          <w:sz w:val="22"/>
          <w:szCs w:val="22"/>
        </w:rPr>
        <w:t>1</w:t>
      </w:r>
      <w:r w:rsidR="004D0610">
        <w:rPr>
          <w:rFonts w:asciiTheme="minorHAnsi" w:hAnsiTheme="minorHAnsi" w:cstheme="minorHAnsi"/>
          <w:sz w:val="22"/>
          <w:szCs w:val="22"/>
        </w:rPr>
        <w:t>66,0</w:t>
      </w:r>
      <w:r w:rsidRPr="00522B68">
        <w:rPr>
          <w:rFonts w:asciiTheme="minorHAnsi" w:hAnsiTheme="minorHAnsi" w:cstheme="minorHAnsi"/>
          <w:sz w:val="22"/>
          <w:szCs w:val="22"/>
        </w:rPr>
        <w:t>εκ</w:t>
      </w:r>
      <w:r w:rsidR="00E36CC7">
        <w:rPr>
          <w:rFonts w:asciiTheme="minorHAnsi" w:hAnsiTheme="minorHAnsi" w:cstheme="minorHAnsi"/>
          <w:sz w:val="22"/>
          <w:szCs w:val="22"/>
        </w:rPr>
        <w:t>ατ</w:t>
      </w:r>
      <w:r w:rsidRPr="00522B68">
        <w:rPr>
          <w:rFonts w:asciiTheme="minorHAnsi" w:hAnsiTheme="minorHAnsi" w:cstheme="minorHAnsi"/>
          <w:sz w:val="22"/>
          <w:szCs w:val="22"/>
        </w:rPr>
        <w:t>.έναντι</w:t>
      </w:r>
      <w:r w:rsidR="007740D4" w:rsidRPr="00522B68">
        <w:rPr>
          <w:rFonts w:asciiTheme="minorHAnsi" w:hAnsiTheme="minorHAnsi" w:cstheme="minorHAnsi"/>
          <w:sz w:val="22"/>
          <w:szCs w:val="22"/>
        </w:rPr>
        <w:t xml:space="preserve"> €</w:t>
      </w:r>
      <w:r w:rsidR="004D0610">
        <w:rPr>
          <w:rFonts w:asciiTheme="minorHAnsi" w:hAnsiTheme="minorHAnsi" w:cstheme="minorHAnsi"/>
          <w:sz w:val="22"/>
          <w:szCs w:val="22"/>
        </w:rPr>
        <w:t>152,7</w:t>
      </w:r>
      <w:r w:rsidRPr="00522B68">
        <w:rPr>
          <w:rFonts w:asciiTheme="minorHAnsi" w:hAnsiTheme="minorHAnsi" w:cstheme="minorHAnsi"/>
          <w:sz w:val="22"/>
          <w:szCs w:val="22"/>
        </w:rPr>
        <w:t>εκ</w:t>
      </w:r>
      <w:r w:rsidR="00E36CC7">
        <w:rPr>
          <w:rFonts w:asciiTheme="minorHAnsi" w:hAnsiTheme="minorHAnsi" w:cstheme="minorHAnsi"/>
          <w:sz w:val="22"/>
          <w:szCs w:val="22"/>
        </w:rPr>
        <w:t>ατ</w:t>
      </w:r>
      <w:r w:rsidRPr="00522B68">
        <w:rPr>
          <w:rFonts w:asciiTheme="minorHAnsi" w:hAnsiTheme="minorHAnsi" w:cstheme="minorHAnsi"/>
          <w:sz w:val="22"/>
          <w:szCs w:val="22"/>
        </w:rPr>
        <w:t>. την αντίστοιχη περίοδο του 202</w:t>
      </w:r>
      <w:r w:rsidR="00781003" w:rsidRPr="00522B68">
        <w:rPr>
          <w:rFonts w:asciiTheme="minorHAnsi" w:hAnsiTheme="minorHAnsi" w:cstheme="minorHAnsi"/>
          <w:sz w:val="22"/>
          <w:szCs w:val="22"/>
        </w:rPr>
        <w:t>2</w:t>
      </w:r>
      <w:r w:rsidR="00CC2D87" w:rsidRPr="00522B68">
        <w:rPr>
          <w:rFonts w:asciiTheme="minorHAnsi" w:hAnsiTheme="minorHAnsi" w:cstheme="minorHAnsi"/>
          <w:sz w:val="22"/>
          <w:szCs w:val="22"/>
        </w:rPr>
        <w:t>,</w:t>
      </w:r>
      <w:r w:rsidR="00781003" w:rsidRPr="00522B68">
        <w:rPr>
          <w:rFonts w:asciiTheme="minorHAnsi" w:hAnsiTheme="minorHAnsi" w:cstheme="minorHAnsi"/>
          <w:sz w:val="22"/>
          <w:szCs w:val="22"/>
        </w:rPr>
        <w:t>σε συνέχεια της αύξησης της κίνησης στη Νέα και Κεντρική Οδό</w:t>
      </w:r>
      <w:r w:rsidR="00E36CC7">
        <w:rPr>
          <w:rFonts w:asciiTheme="minorHAnsi" w:hAnsiTheme="minorHAnsi" w:cstheme="minorHAnsi"/>
          <w:sz w:val="22"/>
          <w:szCs w:val="22"/>
        </w:rPr>
        <w:t>,</w:t>
      </w:r>
      <w:r w:rsidR="00B82B05" w:rsidRPr="00522B68">
        <w:rPr>
          <w:rFonts w:asciiTheme="minorHAnsi" w:hAnsiTheme="minorHAnsi" w:cstheme="minorHAnsi"/>
          <w:sz w:val="22"/>
          <w:szCs w:val="22"/>
        </w:rPr>
        <w:t xml:space="preserve"> αλλά και της </w:t>
      </w:r>
      <w:r w:rsidR="00E36CC7">
        <w:rPr>
          <w:rFonts w:asciiTheme="minorHAnsi" w:hAnsiTheme="minorHAnsi" w:cstheme="minorHAnsi"/>
          <w:sz w:val="22"/>
          <w:szCs w:val="22"/>
        </w:rPr>
        <w:t>διευρυμένης</w:t>
      </w:r>
      <w:r w:rsidR="007945B1">
        <w:rPr>
          <w:rFonts w:asciiTheme="minorHAnsi" w:hAnsiTheme="minorHAnsi" w:cstheme="minorHAnsi"/>
          <w:sz w:val="22"/>
          <w:szCs w:val="22"/>
        </w:rPr>
        <w:t xml:space="preserve">σταδιακής </w:t>
      </w:r>
      <w:r w:rsidR="00B82B05" w:rsidRPr="00522B68">
        <w:rPr>
          <w:rFonts w:asciiTheme="minorHAnsi" w:hAnsiTheme="minorHAnsi" w:cstheme="minorHAnsi"/>
          <w:sz w:val="22"/>
          <w:szCs w:val="22"/>
        </w:rPr>
        <w:t xml:space="preserve"> λειτουργίας τ</w:t>
      </w:r>
      <w:r w:rsidR="00E36CC7">
        <w:rPr>
          <w:rFonts w:asciiTheme="minorHAnsi" w:hAnsiTheme="minorHAnsi" w:cstheme="minorHAnsi"/>
          <w:sz w:val="22"/>
          <w:szCs w:val="22"/>
        </w:rPr>
        <w:t>ου έργου</w:t>
      </w:r>
      <w:r w:rsidR="00B82B05" w:rsidRPr="00522B68">
        <w:rPr>
          <w:rFonts w:asciiTheme="minorHAnsi" w:hAnsiTheme="minorHAnsi" w:cstheme="minorHAnsi"/>
          <w:sz w:val="22"/>
          <w:szCs w:val="22"/>
        </w:rPr>
        <w:t xml:space="preserve"> διαχείρισης απο</w:t>
      </w:r>
      <w:r w:rsidR="00DA639E" w:rsidRPr="00522B68">
        <w:rPr>
          <w:rFonts w:asciiTheme="minorHAnsi" w:hAnsiTheme="minorHAnsi" w:cstheme="minorHAnsi"/>
          <w:sz w:val="22"/>
          <w:szCs w:val="22"/>
        </w:rPr>
        <w:t>ρ</w:t>
      </w:r>
      <w:r w:rsidR="00B82B05" w:rsidRPr="00522B68">
        <w:rPr>
          <w:rFonts w:asciiTheme="minorHAnsi" w:hAnsiTheme="minorHAnsi" w:cstheme="minorHAnsi"/>
          <w:sz w:val="22"/>
          <w:szCs w:val="22"/>
        </w:rPr>
        <w:t>ρι</w:t>
      </w:r>
      <w:r w:rsidR="00DA639E" w:rsidRPr="00522B68">
        <w:rPr>
          <w:rFonts w:asciiTheme="minorHAnsi" w:hAnsiTheme="minorHAnsi" w:cstheme="minorHAnsi"/>
          <w:sz w:val="22"/>
          <w:szCs w:val="22"/>
        </w:rPr>
        <w:t>μ</w:t>
      </w:r>
      <w:r w:rsidR="00B82B05" w:rsidRPr="00522B68">
        <w:rPr>
          <w:rFonts w:asciiTheme="minorHAnsi" w:hAnsiTheme="minorHAnsi" w:cstheme="minorHAnsi"/>
          <w:sz w:val="22"/>
          <w:szCs w:val="22"/>
        </w:rPr>
        <w:t xml:space="preserve">μάτων στην Πελοπόννησο. </w:t>
      </w:r>
    </w:p>
    <w:p w:rsidR="00D0125C" w:rsidRPr="00522B68" w:rsidRDefault="005628DF" w:rsidP="002C29A4">
      <w:pPr>
        <w:pStyle w:val="a9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22B68">
        <w:rPr>
          <w:rFonts w:asciiTheme="minorHAnsi" w:hAnsiTheme="minorHAnsi" w:cstheme="minorHAnsi"/>
          <w:sz w:val="22"/>
          <w:szCs w:val="22"/>
        </w:rPr>
        <w:t xml:space="preserve">Στον </w:t>
      </w:r>
      <w:r w:rsidR="006373AB" w:rsidRPr="00522B68">
        <w:rPr>
          <w:rFonts w:asciiTheme="minorHAnsi" w:hAnsiTheme="minorHAnsi" w:cstheme="minorHAnsi"/>
          <w:sz w:val="22"/>
          <w:szCs w:val="22"/>
        </w:rPr>
        <w:t xml:space="preserve">τομέα παραγωγής και εμπορίας ενέργειας (ηλεκτρισμού και φυσικού αερίου) στην Ελλάδα και το </w:t>
      </w:r>
      <w:r w:rsidR="00CC2D87" w:rsidRPr="00522B68">
        <w:rPr>
          <w:rFonts w:asciiTheme="minorHAnsi" w:hAnsiTheme="minorHAnsi" w:cstheme="minorHAnsi"/>
          <w:sz w:val="22"/>
          <w:szCs w:val="22"/>
        </w:rPr>
        <w:t>ε</w:t>
      </w:r>
      <w:r w:rsidR="006373AB" w:rsidRPr="00522B68">
        <w:rPr>
          <w:rFonts w:asciiTheme="minorHAnsi" w:hAnsiTheme="minorHAnsi" w:cstheme="minorHAnsi"/>
          <w:sz w:val="22"/>
          <w:szCs w:val="22"/>
        </w:rPr>
        <w:t>ξωτερικό</w:t>
      </w:r>
      <w:r w:rsidR="00CC2D87" w:rsidRPr="00522B68">
        <w:rPr>
          <w:rFonts w:asciiTheme="minorHAnsi" w:hAnsiTheme="minorHAnsi" w:cstheme="minorHAnsi"/>
          <w:sz w:val="22"/>
          <w:szCs w:val="22"/>
        </w:rPr>
        <w:t>,</w:t>
      </w:r>
      <w:r w:rsidRPr="00522B68">
        <w:rPr>
          <w:rFonts w:asciiTheme="minorHAnsi" w:hAnsiTheme="minorHAnsi" w:cstheme="minorHAnsi"/>
          <w:sz w:val="22"/>
          <w:szCs w:val="22"/>
        </w:rPr>
        <w:t xml:space="preserve">τα έσοδα από πωλήσεις </w:t>
      </w:r>
      <w:r w:rsidR="00E36CC7">
        <w:rPr>
          <w:rFonts w:asciiTheme="minorHAnsi" w:hAnsiTheme="minorHAnsi" w:cstheme="minorHAnsi"/>
          <w:sz w:val="22"/>
          <w:szCs w:val="22"/>
        </w:rPr>
        <w:t>διαμορφώθηκαν</w:t>
      </w:r>
      <w:r w:rsidRPr="00522B68">
        <w:rPr>
          <w:rFonts w:asciiTheme="minorHAnsi" w:hAnsiTheme="minorHAnsi" w:cstheme="minorHAnsi"/>
          <w:sz w:val="22"/>
          <w:szCs w:val="22"/>
        </w:rPr>
        <w:t xml:space="preserve"> σε € </w:t>
      </w:r>
      <w:r w:rsidR="004D0610">
        <w:rPr>
          <w:rFonts w:asciiTheme="minorHAnsi" w:hAnsiTheme="minorHAnsi" w:cstheme="minorHAnsi"/>
          <w:sz w:val="22"/>
          <w:szCs w:val="22"/>
        </w:rPr>
        <w:t>1.444</w:t>
      </w:r>
      <w:r w:rsidR="00DB580C" w:rsidRPr="00522B68">
        <w:rPr>
          <w:rFonts w:asciiTheme="minorHAnsi" w:hAnsiTheme="minorHAnsi" w:cstheme="minorHAnsi"/>
          <w:sz w:val="22"/>
          <w:szCs w:val="22"/>
        </w:rPr>
        <w:t>,6</w:t>
      </w:r>
      <w:r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E36CC7">
        <w:rPr>
          <w:rFonts w:asciiTheme="minorHAnsi" w:hAnsiTheme="minorHAnsi" w:cstheme="minorHAnsi"/>
          <w:sz w:val="22"/>
          <w:szCs w:val="22"/>
        </w:rPr>
        <w:t>ατ</w:t>
      </w:r>
      <w:r w:rsidRPr="00522B68">
        <w:rPr>
          <w:rFonts w:asciiTheme="minorHAnsi" w:hAnsiTheme="minorHAnsi" w:cstheme="minorHAnsi"/>
          <w:sz w:val="22"/>
          <w:szCs w:val="22"/>
        </w:rPr>
        <w:t xml:space="preserve">.έναντι </w:t>
      </w:r>
      <w:r w:rsidR="00960C1C" w:rsidRPr="00522B68">
        <w:rPr>
          <w:rFonts w:asciiTheme="minorHAnsi" w:hAnsiTheme="minorHAnsi" w:cstheme="minorHAnsi"/>
          <w:sz w:val="22"/>
          <w:szCs w:val="22"/>
        </w:rPr>
        <w:t xml:space="preserve">€ </w:t>
      </w:r>
      <w:r w:rsidR="004D0610">
        <w:rPr>
          <w:rFonts w:asciiTheme="minorHAnsi" w:hAnsiTheme="minorHAnsi" w:cstheme="minorHAnsi"/>
          <w:sz w:val="22"/>
          <w:szCs w:val="22"/>
        </w:rPr>
        <w:t>2.076,4</w:t>
      </w:r>
      <w:r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E36CC7">
        <w:rPr>
          <w:rFonts w:asciiTheme="minorHAnsi" w:hAnsiTheme="minorHAnsi" w:cstheme="minorHAnsi"/>
          <w:sz w:val="22"/>
          <w:szCs w:val="22"/>
        </w:rPr>
        <w:t>ατ</w:t>
      </w:r>
      <w:r w:rsidR="00B70D6D" w:rsidRPr="00522B68">
        <w:rPr>
          <w:rFonts w:asciiTheme="minorHAnsi" w:hAnsiTheme="minorHAnsi" w:cstheme="minorHAnsi"/>
          <w:sz w:val="22"/>
          <w:szCs w:val="22"/>
        </w:rPr>
        <w:t>.</w:t>
      </w:r>
      <w:r w:rsidRPr="00522B68">
        <w:rPr>
          <w:rFonts w:asciiTheme="minorHAnsi" w:hAnsiTheme="minorHAnsi" w:cstheme="minorHAnsi"/>
          <w:sz w:val="22"/>
          <w:szCs w:val="22"/>
        </w:rPr>
        <w:t>την</w:t>
      </w:r>
      <w:r w:rsidR="00DC17A0" w:rsidRPr="00522B68">
        <w:rPr>
          <w:rFonts w:asciiTheme="minorHAnsi" w:hAnsiTheme="minorHAnsi" w:cstheme="minorHAnsi"/>
          <w:sz w:val="22"/>
          <w:szCs w:val="22"/>
        </w:rPr>
        <w:t xml:space="preserve"> αντίστοιχη περσινή</w:t>
      </w:r>
      <w:r w:rsidRPr="00522B68">
        <w:rPr>
          <w:rFonts w:asciiTheme="minorHAnsi" w:hAnsiTheme="minorHAnsi" w:cstheme="minorHAnsi"/>
          <w:sz w:val="22"/>
          <w:szCs w:val="22"/>
        </w:rPr>
        <w:t xml:space="preserve"> περίοδο</w:t>
      </w:r>
      <w:r w:rsidR="00B70D6D" w:rsidRPr="00522B68">
        <w:rPr>
          <w:rFonts w:asciiTheme="minorHAnsi" w:hAnsiTheme="minorHAnsi" w:cstheme="minorHAnsi"/>
          <w:sz w:val="22"/>
          <w:szCs w:val="22"/>
        </w:rPr>
        <w:t>,</w:t>
      </w:r>
      <w:r w:rsidR="00DB580C" w:rsidRPr="00522B68">
        <w:rPr>
          <w:rFonts w:asciiTheme="minorHAnsi" w:hAnsiTheme="minorHAnsi" w:cstheme="minorHAnsi"/>
          <w:sz w:val="22"/>
          <w:szCs w:val="22"/>
        </w:rPr>
        <w:t>κυρίως λόγ</w:t>
      </w:r>
      <w:r w:rsidR="00E36CC7">
        <w:rPr>
          <w:rFonts w:asciiTheme="minorHAnsi" w:hAnsiTheme="minorHAnsi" w:cstheme="minorHAnsi"/>
          <w:sz w:val="22"/>
          <w:szCs w:val="22"/>
        </w:rPr>
        <w:t>ω</w:t>
      </w:r>
      <w:r w:rsidR="00DB580C" w:rsidRPr="00522B68">
        <w:rPr>
          <w:rFonts w:asciiTheme="minorHAnsi" w:hAnsiTheme="minorHAnsi" w:cstheme="minorHAnsi"/>
          <w:sz w:val="22"/>
          <w:szCs w:val="22"/>
        </w:rPr>
        <w:t xml:space="preserve"> των χαμηλότερων τιμών ενέργειας και των πιο ήπιων </w:t>
      </w:r>
      <w:proofErr w:type="spellStart"/>
      <w:r w:rsidR="00DB580C" w:rsidRPr="00522B68">
        <w:rPr>
          <w:rFonts w:asciiTheme="minorHAnsi" w:hAnsiTheme="minorHAnsi" w:cstheme="minorHAnsi"/>
          <w:sz w:val="22"/>
          <w:szCs w:val="22"/>
        </w:rPr>
        <w:t>ανεμολογ</w:t>
      </w:r>
      <w:r w:rsidR="00E36CC7">
        <w:rPr>
          <w:rFonts w:asciiTheme="minorHAnsi" w:hAnsiTheme="minorHAnsi" w:cstheme="minorHAnsi"/>
          <w:sz w:val="22"/>
          <w:szCs w:val="22"/>
        </w:rPr>
        <w:t>ικώ</w:t>
      </w:r>
      <w:r w:rsidR="00DB580C" w:rsidRPr="00522B68">
        <w:rPr>
          <w:rFonts w:asciiTheme="minorHAnsi" w:hAnsiTheme="minorHAnsi" w:cstheme="minorHAnsi"/>
          <w:sz w:val="22"/>
          <w:szCs w:val="22"/>
        </w:rPr>
        <w:t>ν</w:t>
      </w:r>
      <w:proofErr w:type="spellEnd"/>
      <w:r w:rsidR="00DB580C" w:rsidRPr="00522B68">
        <w:rPr>
          <w:rFonts w:asciiTheme="minorHAnsi" w:hAnsiTheme="minorHAnsi" w:cstheme="minorHAnsi"/>
          <w:sz w:val="22"/>
          <w:szCs w:val="22"/>
        </w:rPr>
        <w:t xml:space="preserve"> συνθηκών σε σχέση με την προηγούμενη </w:t>
      </w:r>
      <w:r w:rsidR="00E36CC7">
        <w:rPr>
          <w:rFonts w:asciiTheme="minorHAnsi" w:hAnsiTheme="minorHAnsi" w:cstheme="minorHAnsi"/>
          <w:sz w:val="22"/>
          <w:szCs w:val="22"/>
        </w:rPr>
        <w:t>εξεταζόμενη</w:t>
      </w:r>
      <w:r w:rsidR="00DB580C" w:rsidRPr="00522B68">
        <w:rPr>
          <w:rFonts w:asciiTheme="minorHAnsi" w:hAnsiTheme="minorHAnsi" w:cstheme="minorHAnsi"/>
          <w:sz w:val="22"/>
          <w:szCs w:val="22"/>
        </w:rPr>
        <w:t xml:space="preserve"> περίοδο</w:t>
      </w:r>
      <w:r w:rsidR="00B70D6D" w:rsidRPr="00522B68">
        <w:rPr>
          <w:rFonts w:asciiTheme="minorHAnsi" w:hAnsiTheme="minorHAnsi" w:cstheme="minorHAnsi"/>
          <w:sz w:val="22"/>
          <w:szCs w:val="22"/>
        </w:rPr>
        <w:t>.</w:t>
      </w:r>
    </w:p>
    <w:p w:rsidR="009028B7" w:rsidRPr="00522B68" w:rsidRDefault="009028B7" w:rsidP="002C29A4">
      <w:pPr>
        <w:pStyle w:val="a9"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8A2C73" w:rsidRPr="00522B68" w:rsidRDefault="00893206" w:rsidP="002C29A4">
      <w:pPr>
        <w:jc w:val="both"/>
        <w:rPr>
          <w:rFonts w:asciiTheme="minorHAnsi" w:eastAsia="Times New Roman" w:hAnsiTheme="minorHAnsi" w:cstheme="minorHAnsi"/>
        </w:rPr>
      </w:pPr>
      <w:r w:rsidRPr="00522B68">
        <w:rPr>
          <w:rFonts w:asciiTheme="minorHAnsi" w:hAnsiTheme="minorHAnsi" w:cstheme="minorHAnsi"/>
          <w:b/>
          <w:bCs/>
        </w:rPr>
        <w:t xml:space="preserve">Η </w:t>
      </w:r>
      <w:r w:rsidR="004F3C92" w:rsidRPr="00522B68">
        <w:rPr>
          <w:rFonts w:asciiTheme="minorHAnsi" w:hAnsiTheme="minorHAnsi" w:cstheme="minorHAnsi"/>
          <w:b/>
          <w:bCs/>
        </w:rPr>
        <w:t>λειτουργική κερδοφορία (</w:t>
      </w:r>
      <w:r w:rsidR="005B4D66" w:rsidRPr="00522B68">
        <w:rPr>
          <w:rFonts w:asciiTheme="minorHAnsi" w:hAnsiTheme="minorHAnsi" w:cstheme="minorHAnsi"/>
          <w:b/>
          <w:bCs/>
        </w:rPr>
        <w:t xml:space="preserve">προσαρμοσμένο </w:t>
      </w:r>
      <w:r w:rsidR="003575B8" w:rsidRPr="00522B68">
        <w:rPr>
          <w:rFonts w:asciiTheme="minorHAnsi" w:hAnsiTheme="minorHAnsi" w:cstheme="minorHAnsi"/>
          <w:b/>
          <w:bCs/>
          <w:lang w:val="en-US"/>
        </w:rPr>
        <w:t>EBITDA</w:t>
      </w:r>
      <w:r w:rsidR="004F3C92" w:rsidRPr="00522B68">
        <w:rPr>
          <w:rFonts w:asciiTheme="minorHAnsi" w:hAnsiTheme="minorHAnsi" w:cstheme="minorHAnsi"/>
          <w:b/>
          <w:bCs/>
        </w:rPr>
        <w:t>)</w:t>
      </w:r>
      <w:r w:rsidR="00551301" w:rsidRPr="00522B68">
        <w:rPr>
          <w:rFonts w:asciiTheme="minorHAnsi" w:hAnsiTheme="minorHAnsi" w:cstheme="minorHAnsi"/>
          <w:b/>
          <w:bCs/>
          <w:vertAlign w:val="superscript"/>
        </w:rPr>
        <w:t>1</w:t>
      </w:r>
      <w:r w:rsidR="00162F0B" w:rsidRPr="00522B68">
        <w:rPr>
          <w:rFonts w:asciiTheme="minorHAnsi" w:hAnsiTheme="minorHAnsi" w:cstheme="minorHAnsi"/>
          <w:b/>
          <w:bCs/>
        </w:rPr>
        <w:t xml:space="preserve"> του </w:t>
      </w:r>
      <w:r w:rsidR="003C59FA" w:rsidRPr="00522B68">
        <w:rPr>
          <w:rFonts w:asciiTheme="minorHAnsi" w:hAnsiTheme="minorHAnsi" w:cstheme="minorHAnsi"/>
          <w:b/>
          <w:bCs/>
        </w:rPr>
        <w:t>Ομίλου</w:t>
      </w:r>
      <w:r w:rsidR="00A214EC">
        <w:rPr>
          <w:rFonts w:asciiTheme="minorHAnsi" w:hAnsiTheme="minorHAnsi" w:cstheme="minorHAnsi"/>
          <w:b/>
          <w:bCs/>
        </w:rPr>
        <w:t>διαμορφώθηκε</w:t>
      </w:r>
      <w:r w:rsidR="00E36CC7">
        <w:rPr>
          <w:rFonts w:asciiTheme="minorHAnsi" w:hAnsiTheme="minorHAnsi" w:cstheme="minorHAnsi"/>
          <w:b/>
          <w:bCs/>
        </w:rPr>
        <w:t xml:space="preserve">το </w:t>
      </w:r>
      <w:r w:rsidR="004D0610">
        <w:rPr>
          <w:rFonts w:asciiTheme="minorHAnsi" w:hAnsiTheme="minorHAnsi" w:cstheme="minorHAnsi"/>
          <w:b/>
          <w:bCs/>
        </w:rPr>
        <w:t>Εν</w:t>
      </w:r>
      <w:r w:rsidR="00FD2FC1">
        <w:rPr>
          <w:rFonts w:asciiTheme="minorHAnsi" w:hAnsiTheme="minorHAnsi" w:cstheme="minorHAnsi"/>
          <w:b/>
          <w:bCs/>
        </w:rPr>
        <w:t>νε</w:t>
      </w:r>
      <w:r w:rsidR="004D0610">
        <w:rPr>
          <w:rFonts w:asciiTheme="minorHAnsi" w:hAnsiTheme="minorHAnsi" w:cstheme="minorHAnsi"/>
          <w:b/>
          <w:bCs/>
        </w:rPr>
        <w:t>άμηνο</w:t>
      </w:r>
      <w:r w:rsidR="00E36CC7">
        <w:rPr>
          <w:rFonts w:asciiTheme="minorHAnsi" w:hAnsiTheme="minorHAnsi" w:cstheme="minorHAnsi"/>
          <w:b/>
          <w:bCs/>
        </w:rPr>
        <w:t xml:space="preserve"> του 2023 </w:t>
      </w:r>
      <w:r w:rsidR="00162F0B" w:rsidRPr="00522B68">
        <w:rPr>
          <w:rFonts w:asciiTheme="minorHAnsi" w:hAnsiTheme="minorHAnsi" w:cstheme="minorHAnsi"/>
          <w:b/>
          <w:bCs/>
        </w:rPr>
        <w:t>σε</w:t>
      </w:r>
      <w:r w:rsidR="003575B8" w:rsidRPr="00522B68">
        <w:rPr>
          <w:rFonts w:asciiTheme="minorHAnsi" w:hAnsiTheme="minorHAnsi" w:cstheme="minorHAnsi"/>
          <w:b/>
          <w:bCs/>
        </w:rPr>
        <w:t xml:space="preserve"> € </w:t>
      </w:r>
      <w:r w:rsidR="004D0610">
        <w:rPr>
          <w:rFonts w:asciiTheme="minorHAnsi" w:hAnsiTheme="minorHAnsi" w:cstheme="minorHAnsi"/>
          <w:b/>
          <w:bCs/>
        </w:rPr>
        <w:t>396,3</w:t>
      </w:r>
      <w:r w:rsidR="00162F0B" w:rsidRPr="00522B68">
        <w:rPr>
          <w:rFonts w:asciiTheme="minorHAnsi" w:hAnsiTheme="minorHAnsi" w:cstheme="minorHAnsi"/>
          <w:b/>
          <w:bCs/>
        </w:rPr>
        <w:t xml:space="preserve"> εκ</w:t>
      </w:r>
      <w:r w:rsidR="00E36CC7">
        <w:rPr>
          <w:rFonts w:asciiTheme="minorHAnsi" w:hAnsiTheme="minorHAnsi" w:cstheme="minorHAnsi"/>
          <w:b/>
          <w:bCs/>
        </w:rPr>
        <w:t>ατ</w:t>
      </w:r>
      <w:r w:rsidR="00162F0B" w:rsidRPr="00522B68">
        <w:rPr>
          <w:rFonts w:asciiTheme="minorHAnsi" w:hAnsiTheme="minorHAnsi" w:cstheme="minorHAnsi"/>
          <w:b/>
          <w:bCs/>
        </w:rPr>
        <w:t xml:space="preserve">. </w:t>
      </w:r>
      <w:r w:rsidR="004F3C92" w:rsidRPr="00522B68">
        <w:rPr>
          <w:rFonts w:asciiTheme="minorHAnsi" w:hAnsiTheme="minorHAnsi" w:cstheme="minorHAnsi"/>
          <w:b/>
          <w:bCs/>
        </w:rPr>
        <w:t>έναντι €</w:t>
      </w:r>
      <w:r w:rsidR="004D0610">
        <w:rPr>
          <w:rFonts w:asciiTheme="minorHAnsi" w:hAnsiTheme="minorHAnsi" w:cstheme="minorHAnsi"/>
          <w:b/>
          <w:bCs/>
        </w:rPr>
        <w:t>404,8</w:t>
      </w:r>
      <w:r w:rsidR="004F3C92" w:rsidRPr="00522B68">
        <w:rPr>
          <w:rFonts w:asciiTheme="minorHAnsi" w:hAnsiTheme="minorHAnsi" w:cstheme="minorHAnsi"/>
          <w:b/>
          <w:bCs/>
        </w:rPr>
        <w:t xml:space="preserve"> εκ</w:t>
      </w:r>
      <w:r w:rsidR="00E36CC7">
        <w:rPr>
          <w:rFonts w:asciiTheme="minorHAnsi" w:hAnsiTheme="minorHAnsi" w:cstheme="minorHAnsi"/>
          <w:b/>
          <w:bCs/>
        </w:rPr>
        <w:t>ατ</w:t>
      </w:r>
      <w:r w:rsidR="004F3C92" w:rsidRPr="00522B68">
        <w:rPr>
          <w:rFonts w:asciiTheme="minorHAnsi" w:hAnsiTheme="minorHAnsi" w:cstheme="minorHAnsi"/>
          <w:b/>
          <w:bCs/>
        </w:rPr>
        <w:t>.</w:t>
      </w:r>
      <w:r w:rsidR="00625750">
        <w:rPr>
          <w:rFonts w:asciiTheme="minorHAnsi" w:hAnsiTheme="minorHAnsi" w:cstheme="minorHAnsi"/>
          <w:b/>
          <w:bCs/>
        </w:rPr>
        <w:t xml:space="preserve">το </w:t>
      </w:r>
      <w:r w:rsidR="004D0610">
        <w:rPr>
          <w:rFonts w:asciiTheme="minorHAnsi" w:hAnsiTheme="minorHAnsi" w:cstheme="minorHAnsi"/>
          <w:b/>
          <w:bCs/>
        </w:rPr>
        <w:t>Εν</w:t>
      </w:r>
      <w:r w:rsidR="00FD2FC1">
        <w:rPr>
          <w:rFonts w:asciiTheme="minorHAnsi" w:hAnsiTheme="minorHAnsi" w:cstheme="minorHAnsi"/>
          <w:b/>
          <w:bCs/>
        </w:rPr>
        <w:t>νε</w:t>
      </w:r>
      <w:r w:rsidR="004D0610">
        <w:rPr>
          <w:rFonts w:asciiTheme="minorHAnsi" w:hAnsiTheme="minorHAnsi" w:cstheme="minorHAnsi"/>
          <w:b/>
          <w:bCs/>
        </w:rPr>
        <w:t>άμηνο</w:t>
      </w:r>
      <w:r w:rsidR="00E36CC7">
        <w:rPr>
          <w:rFonts w:asciiTheme="minorHAnsi" w:hAnsiTheme="minorHAnsi" w:cstheme="minorHAnsi"/>
          <w:b/>
          <w:bCs/>
        </w:rPr>
        <w:t xml:space="preserve"> του</w:t>
      </w:r>
      <w:r w:rsidR="00162F0B" w:rsidRPr="00522B68">
        <w:rPr>
          <w:rFonts w:asciiTheme="minorHAnsi" w:hAnsiTheme="minorHAnsi" w:cstheme="minorHAnsi"/>
          <w:b/>
          <w:bCs/>
        </w:rPr>
        <w:t xml:space="preserve"> 202</w:t>
      </w:r>
      <w:r w:rsidR="00555524" w:rsidRPr="00522B68">
        <w:rPr>
          <w:rFonts w:asciiTheme="minorHAnsi" w:hAnsiTheme="minorHAnsi" w:cstheme="minorHAnsi"/>
          <w:b/>
          <w:bCs/>
        </w:rPr>
        <w:t>2</w:t>
      </w:r>
      <w:r w:rsidR="004D0610">
        <w:rPr>
          <w:rFonts w:asciiTheme="minorHAnsi" w:hAnsiTheme="minorHAnsi" w:cstheme="minorHAnsi"/>
          <w:b/>
          <w:bCs/>
        </w:rPr>
        <w:t>.</w:t>
      </w:r>
      <w:r w:rsidR="00105849" w:rsidRPr="00522B68">
        <w:rPr>
          <w:rFonts w:asciiTheme="minorHAnsi" w:eastAsia="Times New Roman" w:hAnsiTheme="minorHAnsi" w:cstheme="minorHAnsi"/>
        </w:rPr>
        <w:t>Συγκεκριμένα</w:t>
      </w:r>
      <w:r w:rsidR="00FE22E5" w:rsidRPr="00522B68">
        <w:rPr>
          <w:rFonts w:asciiTheme="minorHAnsi" w:eastAsia="Times New Roman" w:hAnsiTheme="minorHAnsi" w:cstheme="minorHAnsi"/>
        </w:rPr>
        <w:t>:</w:t>
      </w:r>
    </w:p>
    <w:p w:rsidR="00FE22E5" w:rsidRPr="00522B68" w:rsidRDefault="00105849" w:rsidP="002C29A4">
      <w:pPr>
        <w:pStyle w:val="a9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22B68">
        <w:rPr>
          <w:rFonts w:asciiTheme="minorHAnsi" w:hAnsiTheme="minorHAnsi" w:cstheme="minorHAnsi"/>
          <w:sz w:val="22"/>
          <w:szCs w:val="22"/>
        </w:rPr>
        <w:t xml:space="preserve">Στον τομέα </w:t>
      </w:r>
      <w:r w:rsidR="001A64E7" w:rsidRPr="00522B68">
        <w:rPr>
          <w:rFonts w:asciiTheme="minorHAnsi" w:hAnsiTheme="minorHAnsi" w:cstheme="minorHAnsi"/>
          <w:sz w:val="22"/>
          <w:szCs w:val="22"/>
        </w:rPr>
        <w:t xml:space="preserve">της </w:t>
      </w:r>
      <w:r w:rsidRPr="00522B68">
        <w:rPr>
          <w:rFonts w:asciiTheme="minorHAnsi" w:hAnsiTheme="minorHAnsi" w:cstheme="minorHAnsi"/>
          <w:sz w:val="22"/>
          <w:szCs w:val="22"/>
        </w:rPr>
        <w:t>κατασκευής</w:t>
      </w:r>
      <w:r w:rsidR="00DF54BC" w:rsidRPr="00522B68">
        <w:rPr>
          <w:rFonts w:asciiTheme="minorHAnsi" w:hAnsiTheme="minorHAnsi" w:cstheme="minorHAnsi"/>
          <w:sz w:val="22"/>
          <w:szCs w:val="22"/>
        </w:rPr>
        <w:t>,</w:t>
      </w:r>
      <w:r w:rsidRPr="00522B68">
        <w:rPr>
          <w:rFonts w:asciiTheme="minorHAnsi" w:hAnsiTheme="minorHAnsi" w:cstheme="minorHAnsi"/>
          <w:sz w:val="22"/>
          <w:szCs w:val="22"/>
        </w:rPr>
        <w:t xml:space="preserve"> το </w:t>
      </w:r>
      <w:r w:rsidR="00B70D6D" w:rsidRPr="00522B68">
        <w:rPr>
          <w:rFonts w:asciiTheme="minorHAnsi" w:hAnsiTheme="minorHAnsi" w:cstheme="minorHAnsi"/>
          <w:sz w:val="22"/>
          <w:szCs w:val="22"/>
        </w:rPr>
        <w:t>προσαρμοσμένο E</w:t>
      </w:r>
      <w:r w:rsidR="00FE22E5" w:rsidRPr="00522B68">
        <w:rPr>
          <w:rFonts w:asciiTheme="minorHAnsi" w:hAnsiTheme="minorHAnsi" w:cstheme="minorHAnsi"/>
          <w:sz w:val="22"/>
          <w:szCs w:val="22"/>
        </w:rPr>
        <w:t xml:space="preserve">BITDA </w:t>
      </w:r>
      <w:r w:rsidR="004D0610">
        <w:rPr>
          <w:rFonts w:asciiTheme="minorHAnsi" w:hAnsiTheme="minorHAnsi" w:cstheme="minorHAnsi"/>
          <w:sz w:val="22"/>
          <w:szCs w:val="22"/>
        </w:rPr>
        <w:t>αυξήθηκε</w:t>
      </w:r>
      <w:r w:rsidRPr="00522B68">
        <w:rPr>
          <w:rFonts w:asciiTheme="minorHAnsi" w:hAnsiTheme="minorHAnsi" w:cstheme="minorHAnsi"/>
          <w:sz w:val="22"/>
          <w:szCs w:val="22"/>
        </w:rPr>
        <w:t xml:space="preserve"> σε </w:t>
      </w:r>
      <w:r w:rsidR="00FE22E5" w:rsidRPr="00522B68">
        <w:rPr>
          <w:rFonts w:asciiTheme="minorHAnsi" w:hAnsiTheme="minorHAnsi" w:cstheme="minorHAnsi"/>
          <w:sz w:val="22"/>
          <w:szCs w:val="22"/>
        </w:rPr>
        <w:t xml:space="preserve">€ </w:t>
      </w:r>
      <w:r w:rsidR="003E436A">
        <w:rPr>
          <w:rFonts w:asciiTheme="minorHAnsi" w:hAnsiTheme="minorHAnsi" w:cstheme="minorHAnsi"/>
          <w:sz w:val="22"/>
          <w:szCs w:val="22"/>
        </w:rPr>
        <w:t>80</w:t>
      </w:r>
      <w:r w:rsidR="004D0610">
        <w:rPr>
          <w:rFonts w:asciiTheme="minorHAnsi" w:hAnsiTheme="minorHAnsi" w:cstheme="minorHAnsi"/>
          <w:sz w:val="22"/>
          <w:szCs w:val="22"/>
        </w:rPr>
        <w:t>,</w:t>
      </w:r>
      <w:r w:rsidR="003E436A">
        <w:rPr>
          <w:rFonts w:asciiTheme="minorHAnsi" w:hAnsiTheme="minorHAnsi" w:cstheme="minorHAnsi"/>
          <w:sz w:val="22"/>
          <w:szCs w:val="22"/>
        </w:rPr>
        <w:t>0</w:t>
      </w:r>
      <w:r w:rsidRPr="00522B68">
        <w:rPr>
          <w:rFonts w:asciiTheme="minorHAnsi" w:hAnsiTheme="minorHAnsi" w:cstheme="minorHAnsi"/>
          <w:sz w:val="22"/>
          <w:szCs w:val="22"/>
        </w:rPr>
        <w:t>εκ</w:t>
      </w:r>
      <w:r w:rsidR="004E57D0">
        <w:rPr>
          <w:rFonts w:asciiTheme="minorHAnsi" w:hAnsiTheme="minorHAnsi" w:cstheme="minorHAnsi"/>
          <w:sz w:val="22"/>
          <w:szCs w:val="22"/>
        </w:rPr>
        <w:t>ατ</w:t>
      </w:r>
      <w:r w:rsidRPr="00522B68">
        <w:rPr>
          <w:rFonts w:asciiTheme="minorHAnsi" w:hAnsiTheme="minorHAnsi" w:cstheme="minorHAnsi"/>
          <w:sz w:val="22"/>
          <w:szCs w:val="22"/>
        </w:rPr>
        <w:t xml:space="preserve">. έναντι </w:t>
      </w:r>
      <w:r w:rsidR="004E57D0" w:rsidRPr="00522B68">
        <w:rPr>
          <w:rFonts w:asciiTheme="minorHAnsi" w:hAnsiTheme="minorHAnsi" w:cstheme="minorHAnsi"/>
          <w:sz w:val="22"/>
          <w:szCs w:val="22"/>
        </w:rPr>
        <w:t>€</w:t>
      </w:r>
      <w:r w:rsidR="00FE0D02" w:rsidRPr="00522B68">
        <w:rPr>
          <w:rFonts w:asciiTheme="minorHAnsi" w:hAnsiTheme="minorHAnsi" w:cstheme="minorHAnsi"/>
          <w:sz w:val="22"/>
          <w:szCs w:val="22"/>
        </w:rPr>
        <w:t>4</w:t>
      </w:r>
      <w:r w:rsidR="004D0610">
        <w:rPr>
          <w:rFonts w:asciiTheme="minorHAnsi" w:hAnsiTheme="minorHAnsi" w:cstheme="minorHAnsi"/>
          <w:sz w:val="22"/>
          <w:szCs w:val="22"/>
        </w:rPr>
        <w:t>5</w:t>
      </w:r>
      <w:r w:rsidR="00FE0D02" w:rsidRPr="00522B68">
        <w:rPr>
          <w:rFonts w:asciiTheme="minorHAnsi" w:hAnsiTheme="minorHAnsi" w:cstheme="minorHAnsi"/>
          <w:sz w:val="22"/>
          <w:szCs w:val="22"/>
        </w:rPr>
        <w:t>,</w:t>
      </w:r>
      <w:r w:rsidR="004D0610">
        <w:rPr>
          <w:rFonts w:asciiTheme="minorHAnsi" w:hAnsiTheme="minorHAnsi" w:cstheme="minorHAnsi"/>
          <w:sz w:val="22"/>
          <w:szCs w:val="22"/>
        </w:rPr>
        <w:t>4</w:t>
      </w:r>
      <w:r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4E57D0">
        <w:rPr>
          <w:rFonts w:asciiTheme="minorHAnsi" w:hAnsiTheme="minorHAnsi" w:cstheme="minorHAnsi"/>
          <w:sz w:val="22"/>
          <w:szCs w:val="22"/>
        </w:rPr>
        <w:t>ατ</w:t>
      </w:r>
      <w:r w:rsidR="00B70D6D" w:rsidRPr="00522B68">
        <w:rPr>
          <w:rFonts w:asciiTheme="minorHAnsi" w:hAnsiTheme="minorHAnsi" w:cstheme="minorHAnsi"/>
          <w:sz w:val="22"/>
          <w:szCs w:val="22"/>
        </w:rPr>
        <w:t>.</w:t>
      </w:r>
      <w:r w:rsidRPr="00522B68">
        <w:rPr>
          <w:rFonts w:asciiTheme="minorHAnsi" w:hAnsiTheme="minorHAnsi" w:cstheme="minorHAnsi"/>
          <w:sz w:val="22"/>
          <w:szCs w:val="22"/>
        </w:rPr>
        <w:t xml:space="preserve"> την αντίστοιχη περίοδο του 202</w:t>
      </w:r>
      <w:r w:rsidR="00555524" w:rsidRPr="00522B68">
        <w:rPr>
          <w:rFonts w:asciiTheme="minorHAnsi" w:hAnsiTheme="minorHAnsi" w:cstheme="minorHAnsi"/>
          <w:sz w:val="22"/>
          <w:szCs w:val="22"/>
        </w:rPr>
        <w:t>2</w:t>
      </w:r>
      <w:r w:rsidR="00837F63">
        <w:rPr>
          <w:rFonts w:asciiTheme="minorHAnsi" w:hAnsiTheme="minorHAnsi" w:cstheme="minorHAnsi"/>
          <w:sz w:val="22"/>
          <w:szCs w:val="22"/>
        </w:rPr>
        <w:t>,</w:t>
      </w:r>
      <w:r w:rsidR="00FE0D02" w:rsidRPr="00522B68">
        <w:rPr>
          <w:rFonts w:asciiTheme="minorHAnsi" w:hAnsiTheme="minorHAnsi" w:cstheme="minorHAnsi"/>
          <w:sz w:val="22"/>
          <w:szCs w:val="22"/>
        </w:rPr>
        <w:t>λόγω της αύξησης των εσόδων κατασκευής και της διατήρησης σε ικανοποιητικό επίπεδο του περιθωρίου κέρδους των εν εξελίξει έργων.</w:t>
      </w:r>
    </w:p>
    <w:p w:rsidR="005628DF" w:rsidRPr="00522B68" w:rsidRDefault="004F3C92" w:rsidP="002C29A4">
      <w:pPr>
        <w:pStyle w:val="a9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22B68">
        <w:rPr>
          <w:rFonts w:asciiTheme="minorHAnsi" w:hAnsiTheme="minorHAnsi" w:cstheme="minorHAnsi"/>
          <w:sz w:val="22"/>
          <w:szCs w:val="22"/>
        </w:rPr>
        <w:t xml:space="preserve">Στον τομέα </w:t>
      </w:r>
      <w:r w:rsidR="001A64E7" w:rsidRPr="00522B68">
        <w:rPr>
          <w:rFonts w:asciiTheme="minorHAnsi" w:hAnsiTheme="minorHAnsi" w:cstheme="minorHAnsi"/>
          <w:sz w:val="22"/>
          <w:szCs w:val="22"/>
        </w:rPr>
        <w:t xml:space="preserve">των </w:t>
      </w:r>
      <w:r w:rsidRPr="00522B68">
        <w:rPr>
          <w:rFonts w:asciiTheme="minorHAnsi" w:hAnsiTheme="minorHAnsi" w:cstheme="minorHAnsi"/>
          <w:sz w:val="22"/>
          <w:szCs w:val="22"/>
        </w:rPr>
        <w:t>παραχωρήσεων</w:t>
      </w:r>
      <w:r w:rsidR="00DF54BC" w:rsidRPr="00522B68">
        <w:rPr>
          <w:rFonts w:asciiTheme="minorHAnsi" w:hAnsiTheme="minorHAnsi" w:cstheme="minorHAnsi"/>
          <w:sz w:val="22"/>
          <w:szCs w:val="22"/>
        </w:rPr>
        <w:t>,</w:t>
      </w:r>
      <w:r w:rsidRPr="00522B68">
        <w:rPr>
          <w:rFonts w:asciiTheme="minorHAnsi" w:hAnsiTheme="minorHAnsi" w:cstheme="minorHAnsi"/>
          <w:sz w:val="22"/>
          <w:szCs w:val="22"/>
        </w:rPr>
        <w:t xml:space="preserve"> τ</w:t>
      </w:r>
      <w:r w:rsidR="005628DF" w:rsidRPr="00522B68">
        <w:rPr>
          <w:rFonts w:asciiTheme="minorHAnsi" w:hAnsiTheme="minorHAnsi" w:cstheme="minorHAnsi"/>
          <w:sz w:val="22"/>
          <w:szCs w:val="22"/>
        </w:rPr>
        <w:t xml:space="preserve">ο </w:t>
      </w:r>
      <w:r w:rsidR="00B70D6D" w:rsidRPr="00522B68">
        <w:rPr>
          <w:rFonts w:asciiTheme="minorHAnsi" w:hAnsiTheme="minorHAnsi" w:cstheme="minorHAnsi"/>
          <w:sz w:val="22"/>
          <w:szCs w:val="22"/>
        </w:rPr>
        <w:t xml:space="preserve">προσαρμοσμένο </w:t>
      </w:r>
      <w:r w:rsidR="005628DF" w:rsidRPr="00522B68">
        <w:rPr>
          <w:rFonts w:asciiTheme="minorHAnsi" w:hAnsiTheme="minorHAnsi" w:cstheme="minorHAnsi"/>
          <w:sz w:val="22"/>
          <w:szCs w:val="22"/>
        </w:rPr>
        <w:t xml:space="preserve">EBITDA </w:t>
      </w:r>
      <w:r w:rsidR="004D0610">
        <w:rPr>
          <w:rFonts w:asciiTheme="minorHAnsi" w:hAnsiTheme="minorHAnsi" w:cstheme="minorHAnsi"/>
          <w:sz w:val="22"/>
          <w:szCs w:val="22"/>
        </w:rPr>
        <w:t>αυξήθηκε</w:t>
      </w:r>
      <w:r w:rsidR="005628DF" w:rsidRPr="00522B68">
        <w:rPr>
          <w:rFonts w:asciiTheme="minorHAnsi" w:hAnsiTheme="minorHAnsi" w:cstheme="minorHAnsi"/>
          <w:sz w:val="22"/>
          <w:szCs w:val="22"/>
        </w:rPr>
        <w:t xml:space="preserve"> στα € </w:t>
      </w:r>
      <w:r w:rsidR="004D0610">
        <w:rPr>
          <w:rFonts w:asciiTheme="minorHAnsi" w:hAnsiTheme="minorHAnsi" w:cstheme="minorHAnsi"/>
          <w:sz w:val="22"/>
          <w:szCs w:val="22"/>
        </w:rPr>
        <w:t>114,7</w:t>
      </w:r>
      <w:r w:rsidR="005628DF"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4E57D0">
        <w:rPr>
          <w:rFonts w:asciiTheme="minorHAnsi" w:hAnsiTheme="minorHAnsi" w:cstheme="minorHAnsi"/>
          <w:sz w:val="22"/>
          <w:szCs w:val="22"/>
        </w:rPr>
        <w:t>ατ</w:t>
      </w:r>
      <w:r w:rsidR="005628DF" w:rsidRPr="00522B68">
        <w:rPr>
          <w:rFonts w:asciiTheme="minorHAnsi" w:hAnsiTheme="minorHAnsi" w:cstheme="minorHAnsi"/>
          <w:sz w:val="22"/>
          <w:szCs w:val="22"/>
        </w:rPr>
        <w:t>.</w:t>
      </w:r>
      <w:r w:rsidRPr="00522B68">
        <w:rPr>
          <w:rFonts w:asciiTheme="minorHAnsi" w:hAnsiTheme="minorHAnsi" w:cstheme="minorHAnsi"/>
          <w:sz w:val="22"/>
          <w:szCs w:val="22"/>
        </w:rPr>
        <w:t>έναντι</w:t>
      </w:r>
      <w:r w:rsidR="00587B6E" w:rsidRPr="00522B68">
        <w:rPr>
          <w:rFonts w:asciiTheme="minorHAnsi" w:hAnsiTheme="minorHAnsi" w:cstheme="minorHAnsi"/>
          <w:sz w:val="22"/>
          <w:szCs w:val="22"/>
        </w:rPr>
        <w:t xml:space="preserve"> € </w:t>
      </w:r>
      <w:r w:rsidR="004D0610">
        <w:rPr>
          <w:rFonts w:asciiTheme="minorHAnsi" w:hAnsiTheme="minorHAnsi" w:cstheme="minorHAnsi"/>
          <w:sz w:val="22"/>
          <w:szCs w:val="22"/>
        </w:rPr>
        <w:t>82,8</w:t>
      </w:r>
      <w:r w:rsidR="00587B6E"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4E57D0">
        <w:rPr>
          <w:rFonts w:asciiTheme="minorHAnsi" w:hAnsiTheme="minorHAnsi" w:cstheme="minorHAnsi"/>
          <w:sz w:val="22"/>
          <w:szCs w:val="22"/>
        </w:rPr>
        <w:t>ατ</w:t>
      </w:r>
      <w:r w:rsidR="00587B6E" w:rsidRPr="00522B68">
        <w:rPr>
          <w:rFonts w:asciiTheme="minorHAnsi" w:hAnsiTheme="minorHAnsi" w:cstheme="minorHAnsi"/>
          <w:sz w:val="22"/>
          <w:szCs w:val="22"/>
        </w:rPr>
        <w:t>.</w:t>
      </w:r>
      <w:r w:rsidRPr="00522B68">
        <w:rPr>
          <w:rFonts w:asciiTheme="minorHAnsi" w:hAnsiTheme="minorHAnsi" w:cstheme="minorHAnsi"/>
          <w:sz w:val="22"/>
          <w:szCs w:val="22"/>
        </w:rPr>
        <w:t xml:space="preserve"> τη</w:t>
      </w:r>
      <w:r w:rsidR="00890BF8" w:rsidRPr="00522B68">
        <w:rPr>
          <w:rFonts w:asciiTheme="minorHAnsi" w:hAnsiTheme="minorHAnsi" w:cstheme="minorHAnsi"/>
          <w:sz w:val="22"/>
          <w:szCs w:val="22"/>
        </w:rPr>
        <w:t>ν</w:t>
      </w:r>
      <w:r w:rsidRPr="00522B68">
        <w:rPr>
          <w:rFonts w:asciiTheme="minorHAnsi" w:hAnsiTheme="minorHAnsi" w:cstheme="minorHAnsi"/>
          <w:sz w:val="22"/>
          <w:szCs w:val="22"/>
        </w:rPr>
        <w:t xml:space="preserve"> αντίστοιχη περ</w:t>
      </w:r>
      <w:r w:rsidR="00890BF8" w:rsidRPr="00522B68">
        <w:rPr>
          <w:rFonts w:asciiTheme="minorHAnsi" w:hAnsiTheme="minorHAnsi" w:cstheme="minorHAnsi"/>
          <w:sz w:val="22"/>
          <w:szCs w:val="22"/>
        </w:rPr>
        <w:t>ίο</w:t>
      </w:r>
      <w:r w:rsidRPr="00522B68">
        <w:rPr>
          <w:rFonts w:asciiTheme="minorHAnsi" w:hAnsiTheme="minorHAnsi" w:cstheme="minorHAnsi"/>
          <w:sz w:val="22"/>
          <w:szCs w:val="22"/>
        </w:rPr>
        <w:t>δο του 202</w:t>
      </w:r>
      <w:r w:rsidR="00DA639E" w:rsidRPr="00522B68">
        <w:rPr>
          <w:rFonts w:asciiTheme="minorHAnsi" w:hAnsiTheme="minorHAnsi" w:cstheme="minorHAnsi"/>
          <w:sz w:val="22"/>
          <w:szCs w:val="22"/>
        </w:rPr>
        <w:t>2</w:t>
      </w:r>
      <w:r w:rsidR="00A214EC">
        <w:rPr>
          <w:rFonts w:asciiTheme="minorHAnsi" w:hAnsiTheme="minorHAnsi" w:cstheme="minorHAnsi"/>
          <w:sz w:val="22"/>
          <w:szCs w:val="22"/>
        </w:rPr>
        <w:t>.</w:t>
      </w:r>
    </w:p>
    <w:p w:rsidR="00960C1C" w:rsidRDefault="006373AB" w:rsidP="002C29A4">
      <w:pPr>
        <w:pStyle w:val="a9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22B68">
        <w:rPr>
          <w:rFonts w:asciiTheme="minorHAnsi" w:hAnsiTheme="minorHAnsi" w:cstheme="minorHAnsi"/>
          <w:sz w:val="22"/>
          <w:szCs w:val="22"/>
        </w:rPr>
        <w:t xml:space="preserve">Στον τομέα </w:t>
      </w:r>
      <w:r w:rsidR="001A64E7" w:rsidRPr="00522B68">
        <w:rPr>
          <w:rFonts w:asciiTheme="minorHAnsi" w:hAnsiTheme="minorHAnsi" w:cstheme="minorHAnsi"/>
          <w:sz w:val="22"/>
          <w:szCs w:val="22"/>
        </w:rPr>
        <w:t xml:space="preserve">της </w:t>
      </w:r>
      <w:r w:rsidRPr="00522B68">
        <w:rPr>
          <w:rFonts w:asciiTheme="minorHAnsi" w:hAnsiTheme="minorHAnsi" w:cstheme="minorHAnsi"/>
          <w:sz w:val="22"/>
          <w:szCs w:val="22"/>
        </w:rPr>
        <w:t xml:space="preserve">παραγωγής και εμπορίας ενέργειας (ηλεκτρισμού και φυσικού αερίου) στην Ελλάδα και το </w:t>
      </w:r>
      <w:r w:rsidR="00CC2D87" w:rsidRPr="00522B68">
        <w:rPr>
          <w:rFonts w:asciiTheme="minorHAnsi" w:hAnsiTheme="minorHAnsi" w:cstheme="minorHAnsi"/>
          <w:sz w:val="22"/>
          <w:szCs w:val="22"/>
        </w:rPr>
        <w:t>ε</w:t>
      </w:r>
      <w:r w:rsidRPr="00522B68">
        <w:rPr>
          <w:rFonts w:asciiTheme="minorHAnsi" w:hAnsiTheme="minorHAnsi" w:cstheme="minorHAnsi"/>
          <w:sz w:val="22"/>
          <w:szCs w:val="22"/>
        </w:rPr>
        <w:t>ξωτερικό</w:t>
      </w:r>
      <w:r w:rsidR="00105849" w:rsidRPr="00522B68">
        <w:rPr>
          <w:rFonts w:asciiTheme="minorHAnsi" w:hAnsiTheme="minorHAnsi" w:cstheme="minorHAnsi"/>
          <w:sz w:val="22"/>
          <w:szCs w:val="22"/>
        </w:rPr>
        <w:t xml:space="preserve">, το </w:t>
      </w:r>
      <w:r w:rsidR="005628DF" w:rsidRPr="00522B68">
        <w:rPr>
          <w:rFonts w:asciiTheme="minorHAnsi" w:hAnsiTheme="minorHAnsi" w:cstheme="minorHAnsi"/>
          <w:sz w:val="22"/>
          <w:szCs w:val="22"/>
        </w:rPr>
        <w:t xml:space="preserve">συνολικό </w:t>
      </w:r>
      <w:r w:rsidR="00B70D6D" w:rsidRPr="00522B68">
        <w:rPr>
          <w:rFonts w:asciiTheme="minorHAnsi" w:hAnsiTheme="minorHAnsi" w:cstheme="minorHAnsi"/>
          <w:sz w:val="22"/>
          <w:szCs w:val="22"/>
        </w:rPr>
        <w:t xml:space="preserve">προσαρμοσμένο </w:t>
      </w:r>
      <w:r w:rsidR="00FE22E5" w:rsidRPr="00522B68">
        <w:rPr>
          <w:rFonts w:asciiTheme="minorHAnsi" w:hAnsiTheme="minorHAnsi" w:cstheme="minorHAnsi"/>
          <w:sz w:val="22"/>
          <w:szCs w:val="22"/>
        </w:rPr>
        <w:t xml:space="preserve">EBITDA </w:t>
      </w:r>
      <w:r w:rsidR="00B70D6D" w:rsidRPr="00522B68">
        <w:rPr>
          <w:rFonts w:asciiTheme="minorHAnsi" w:hAnsiTheme="minorHAnsi" w:cstheme="minorHAnsi"/>
          <w:sz w:val="22"/>
          <w:szCs w:val="22"/>
        </w:rPr>
        <w:t xml:space="preserve">διαμορφώθηκε </w:t>
      </w:r>
      <w:r w:rsidR="00105849" w:rsidRPr="00522B68">
        <w:rPr>
          <w:rFonts w:asciiTheme="minorHAnsi" w:hAnsiTheme="minorHAnsi" w:cstheme="minorHAnsi"/>
          <w:sz w:val="22"/>
          <w:szCs w:val="22"/>
        </w:rPr>
        <w:t xml:space="preserve">στα </w:t>
      </w:r>
      <w:r w:rsidR="00FE22E5" w:rsidRPr="00522B68">
        <w:rPr>
          <w:rFonts w:asciiTheme="minorHAnsi" w:hAnsiTheme="minorHAnsi" w:cstheme="minorHAnsi"/>
          <w:sz w:val="22"/>
          <w:szCs w:val="22"/>
        </w:rPr>
        <w:t xml:space="preserve">€ </w:t>
      </w:r>
      <w:r w:rsidR="004D0610">
        <w:rPr>
          <w:rFonts w:asciiTheme="minorHAnsi" w:hAnsiTheme="minorHAnsi" w:cstheme="minorHAnsi"/>
          <w:sz w:val="22"/>
          <w:szCs w:val="22"/>
        </w:rPr>
        <w:t>220,4</w:t>
      </w:r>
      <w:r w:rsidR="00105849"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4E57D0">
        <w:rPr>
          <w:rFonts w:asciiTheme="minorHAnsi" w:hAnsiTheme="minorHAnsi" w:cstheme="minorHAnsi"/>
          <w:sz w:val="22"/>
          <w:szCs w:val="22"/>
        </w:rPr>
        <w:t>ατ</w:t>
      </w:r>
      <w:r w:rsidR="00105849" w:rsidRPr="00522B68">
        <w:rPr>
          <w:rFonts w:asciiTheme="minorHAnsi" w:hAnsiTheme="minorHAnsi" w:cstheme="minorHAnsi"/>
          <w:sz w:val="22"/>
          <w:szCs w:val="22"/>
        </w:rPr>
        <w:t>.</w:t>
      </w:r>
      <w:r w:rsidR="007740D4" w:rsidRPr="00522B68">
        <w:rPr>
          <w:rFonts w:asciiTheme="minorHAnsi" w:hAnsiTheme="minorHAnsi" w:cstheme="minorHAnsi"/>
          <w:sz w:val="22"/>
          <w:szCs w:val="22"/>
        </w:rPr>
        <w:t xml:space="preserve"> έναντι € </w:t>
      </w:r>
      <w:r w:rsidR="004D0610">
        <w:rPr>
          <w:rFonts w:asciiTheme="minorHAnsi" w:hAnsiTheme="minorHAnsi" w:cstheme="minorHAnsi"/>
          <w:sz w:val="22"/>
          <w:szCs w:val="22"/>
        </w:rPr>
        <w:t>296,2</w:t>
      </w:r>
      <w:r w:rsidR="007740D4" w:rsidRPr="00522B68">
        <w:rPr>
          <w:rFonts w:asciiTheme="minorHAnsi" w:hAnsiTheme="minorHAnsi" w:cstheme="minorHAnsi"/>
          <w:sz w:val="22"/>
          <w:szCs w:val="22"/>
        </w:rPr>
        <w:t xml:space="preserve"> εκ</w:t>
      </w:r>
      <w:r w:rsidR="004E57D0">
        <w:rPr>
          <w:rFonts w:asciiTheme="minorHAnsi" w:hAnsiTheme="minorHAnsi" w:cstheme="minorHAnsi"/>
          <w:sz w:val="22"/>
          <w:szCs w:val="22"/>
        </w:rPr>
        <w:t>ατ</w:t>
      </w:r>
      <w:r w:rsidR="00C92232" w:rsidRPr="00522B68">
        <w:rPr>
          <w:rFonts w:asciiTheme="minorHAnsi" w:hAnsiTheme="minorHAnsi" w:cstheme="minorHAnsi"/>
          <w:sz w:val="22"/>
          <w:szCs w:val="22"/>
        </w:rPr>
        <w:t>.</w:t>
      </w:r>
      <w:r w:rsidR="00DF54BC" w:rsidRPr="00522B68">
        <w:rPr>
          <w:rFonts w:asciiTheme="minorHAnsi" w:hAnsiTheme="minorHAnsi" w:cstheme="minorHAnsi"/>
          <w:sz w:val="22"/>
          <w:szCs w:val="22"/>
        </w:rPr>
        <w:t>τη</w:t>
      </w:r>
      <w:r w:rsidR="00890BF8" w:rsidRPr="00522B68">
        <w:rPr>
          <w:rFonts w:asciiTheme="minorHAnsi" w:hAnsiTheme="minorHAnsi" w:cstheme="minorHAnsi"/>
          <w:sz w:val="22"/>
          <w:szCs w:val="22"/>
        </w:rPr>
        <w:t>ν</w:t>
      </w:r>
      <w:r w:rsidR="00DF54BC" w:rsidRPr="00522B68">
        <w:rPr>
          <w:rFonts w:asciiTheme="minorHAnsi" w:hAnsiTheme="minorHAnsi" w:cstheme="minorHAnsi"/>
          <w:sz w:val="22"/>
          <w:szCs w:val="22"/>
        </w:rPr>
        <w:t xml:space="preserve"> αντίστοιχη περ</w:t>
      </w:r>
      <w:r w:rsidR="00890BF8" w:rsidRPr="00522B68">
        <w:rPr>
          <w:rFonts w:asciiTheme="minorHAnsi" w:hAnsiTheme="minorHAnsi" w:cstheme="minorHAnsi"/>
          <w:sz w:val="22"/>
          <w:szCs w:val="22"/>
        </w:rPr>
        <w:t>ίο</w:t>
      </w:r>
      <w:r w:rsidR="00DF54BC" w:rsidRPr="00522B68">
        <w:rPr>
          <w:rFonts w:asciiTheme="minorHAnsi" w:hAnsiTheme="minorHAnsi" w:cstheme="minorHAnsi"/>
          <w:sz w:val="22"/>
          <w:szCs w:val="22"/>
        </w:rPr>
        <w:t>δο του 202</w:t>
      </w:r>
      <w:r w:rsidR="00555524" w:rsidRPr="00522B68">
        <w:rPr>
          <w:rFonts w:asciiTheme="minorHAnsi" w:hAnsiTheme="minorHAnsi" w:cstheme="minorHAnsi"/>
          <w:sz w:val="22"/>
          <w:szCs w:val="22"/>
        </w:rPr>
        <w:t>2 κυρίως λόγ</w:t>
      </w:r>
      <w:r w:rsidR="00DA639E" w:rsidRPr="00522B68">
        <w:rPr>
          <w:rFonts w:asciiTheme="minorHAnsi" w:hAnsiTheme="minorHAnsi" w:cstheme="minorHAnsi"/>
          <w:sz w:val="22"/>
          <w:szCs w:val="22"/>
        </w:rPr>
        <w:t>ω</w:t>
      </w:r>
      <w:r w:rsidR="00555524" w:rsidRPr="00522B68">
        <w:rPr>
          <w:rFonts w:asciiTheme="minorHAnsi" w:hAnsiTheme="minorHAnsi" w:cstheme="minorHAnsi"/>
          <w:sz w:val="22"/>
          <w:szCs w:val="22"/>
        </w:rPr>
        <w:t xml:space="preserve"> χαμηλότερ</w:t>
      </w:r>
      <w:r w:rsidR="00B82B05" w:rsidRPr="00522B68">
        <w:rPr>
          <w:rFonts w:asciiTheme="minorHAnsi" w:hAnsiTheme="minorHAnsi" w:cstheme="minorHAnsi"/>
          <w:sz w:val="22"/>
          <w:szCs w:val="22"/>
        </w:rPr>
        <w:t xml:space="preserve">ων </w:t>
      </w:r>
      <w:r w:rsidR="00FE0D02" w:rsidRPr="00522B68">
        <w:rPr>
          <w:rFonts w:asciiTheme="minorHAnsi" w:hAnsiTheme="minorHAnsi" w:cstheme="minorHAnsi"/>
          <w:sz w:val="22"/>
          <w:szCs w:val="22"/>
        </w:rPr>
        <w:t>εσόδων από πωλήσεις ενέργειας</w:t>
      </w:r>
      <w:r w:rsidR="004E57D0">
        <w:rPr>
          <w:rFonts w:asciiTheme="minorHAnsi" w:hAnsiTheme="minorHAnsi" w:cstheme="minorHAnsi"/>
          <w:sz w:val="22"/>
          <w:szCs w:val="22"/>
        </w:rPr>
        <w:t>.</w:t>
      </w:r>
    </w:p>
    <w:p w:rsidR="005F23DF" w:rsidRDefault="005F23DF" w:rsidP="005F23DF">
      <w:pPr>
        <w:spacing w:after="0"/>
        <w:jc w:val="both"/>
        <w:rPr>
          <w:rFonts w:asciiTheme="minorHAnsi" w:hAnsiTheme="minorHAnsi" w:cstheme="minorHAnsi"/>
        </w:rPr>
      </w:pPr>
    </w:p>
    <w:p w:rsidR="004D0610" w:rsidRPr="004D0610" w:rsidRDefault="004D0610" w:rsidP="005F23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Σημειώνεται ότι </w:t>
      </w:r>
      <w:r w:rsidR="00A214EC">
        <w:rPr>
          <w:rFonts w:asciiTheme="minorHAnsi" w:hAnsiTheme="minorHAnsi" w:cstheme="minorHAnsi"/>
        </w:rPr>
        <w:t xml:space="preserve">η λειτουργική κερδοφορία του Ομίλου κατά το Εννεάμηνο του 2023 ανήλθε σε </w:t>
      </w:r>
      <w:r w:rsidR="00A214EC" w:rsidRPr="00522B68">
        <w:rPr>
          <w:rFonts w:asciiTheme="minorHAnsi" w:hAnsiTheme="minorHAnsi" w:cstheme="minorHAnsi"/>
        </w:rPr>
        <w:t xml:space="preserve">€ </w:t>
      </w:r>
      <w:r w:rsidR="00A214EC">
        <w:rPr>
          <w:rFonts w:asciiTheme="minorHAnsi" w:hAnsiTheme="minorHAnsi" w:cstheme="minorHAnsi"/>
        </w:rPr>
        <w:t>293,</w:t>
      </w:r>
      <w:r w:rsidR="00A214EC" w:rsidRPr="00A52A18">
        <w:rPr>
          <w:rFonts w:asciiTheme="minorHAnsi" w:hAnsiTheme="minorHAnsi" w:cstheme="minorHAnsi"/>
        </w:rPr>
        <w:t xml:space="preserve">4 </w:t>
      </w:r>
      <w:r w:rsidR="00A214EC">
        <w:rPr>
          <w:rFonts w:asciiTheme="minorHAnsi" w:hAnsiTheme="minorHAnsi" w:cstheme="minorHAnsi"/>
        </w:rPr>
        <w:t xml:space="preserve">εκατ. παρουσιάζοντας αύξηση κατά 26,4% σε σχέση με την αντίστοιχη περίοδο του 2022 σε συνέχεια της αυξημένης κερδοφορίας από τους τομείς των υποδομών (κατασκευή-παραχωρήσεις) αλλά και ΑΠΕ (κατά το Γ ‘Τρίμηνο) και </w:t>
      </w:r>
      <w:r>
        <w:rPr>
          <w:rFonts w:asciiTheme="minorHAnsi" w:hAnsiTheme="minorHAnsi" w:cstheme="minorHAnsi"/>
        </w:rPr>
        <w:t>εξαιρουμένης της συνεισφοράς του Τομέα Συμβατικής Παραγωγής, Προμήθειας και Εμπορίας Ενέργειας</w:t>
      </w:r>
      <w:r w:rsidR="006F05DB">
        <w:rPr>
          <w:rFonts w:asciiTheme="minorHAnsi" w:hAnsiTheme="minorHAnsi" w:cstheme="minorHAnsi"/>
        </w:rPr>
        <w:t xml:space="preserve"> (η κερδοφορία του τομέα κατά το 2022 είχε επ</w:t>
      </w:r>
      <w:r w:rsidR="003E436A">
        <w:rPr>
          <w:rFonts w:asciiTheme="minorHAnsi" w:hAnsiTheme="minorHAnsi" w:cstheme="minorHAnsi"/>
        </w:rPr>
        <w:t>η</w:t>
      </w:r>
      <w:r w:rsidR="006F05DB">
        <w:rPr>
          <w:rFonts w:asciiTheme="minorHAnsi" w:hAnsiTheme="minorHAnsi" w:cstheme="minorHAnsi"/>
        </w:rPr>
        <w:t>ρεαστεί από την υψηλή μεταβλητότητα στις αγορές ενέργειας)</w:t>
      </w:r>
      <w:r>
        <w:rPr>
          <w:rFonts w:asciiTheme="minorHAnsi" w:hAnsiTheme="minorHAnsi" w:cstheme="minorHAnsi"/>
        </w:rPr>
        <w:t xml:space="preserve">, </w:t>
      </w:r>
    </w:p>
    <w:p w:rsidR="00A9204B" w:rsidRPr="00522B68" w:rsidRDefault="00A9204B" w:rsidP="002C29A4">
      <w:pPr>
        <w:jc w:val="both"/>
        <w:rPr>
          <w:rFonts w:asciiTheme="minorHAnsi" w:eastAsia="Times New Roman" w:hAnsiTheme="minorHAnsi" w:cstheme="minorHAnsi"/>
        </w:rPr>
      </w:pPr>
      <w:r w:rsidRPr="00522B68">
        <w:rPr>
          <w:rFonts w:asciiTheme="minorHAnsi" w:eastAsia="Times New Roman" w:hAnsiTheme="minorHAnsi" w:cstheme="minorHAnsi"/>
          <w:b/>
          <w:bCs/>
        </w:rPr>
        <w:t>Τα Λ</w:t>
      </w:r>
      <w:r w:rsidRPr="00522B68">
        <w:rPr>
          <w:rFonts w:asciiTheme="minorHAnsi" w:eastAsia="Times New Roman" w:hAnsiTheme="minorHAnsi" w:cstheme="minorHAnsi"/>
          <w:b/>
        </w:rPr>
        <w:t>ειτουργικά Αποτελέσματα προ τόκων και φόρων (</w:t>
      </w:r>
      <w:r w:rsidRPr="00522B68">
        <w:rPr>
          <w:rFonts w:asciiTheme="minorHAnsi" w:eastAsia="Times New Roman" w:hAnsiTheme="minorHAnsi" w:cstheme="minorHAnsi"/>
          <w:b/>
          <w:lang w:val="en-US"/>
        </w:rPr>
        <w:t>EBIT</w:t>
      </w:r>
      <w:r w:rsidRPr="00522B68">
        <w:rPr>
          <w:rFonts w:asciiTheme="minorHAnsi" w:eastAsia="Times New Roman" w:hAnsiTheme="minorHAnsi" w:cstheme="minorHAnsi"/>
          <w:b/>
        </w:rPr>
        <w:t>)</w:t>
      </w:r>
      <w:r w:rsidR="007B2F72" w:rsidRPr="00522B68">
        <w:rPr>
          <w:rFonts w:asciiTheme="minorHAnsi" w:eastAsia="Times New Roman" w:hAnsiTheme="minorHAnsi" w:cstheme="minorHAnsi"/>
          <w:b/>
          <w:vertAlign w:val="superscript"/>
        </w:rPr>
        <w:t>1</w:t>
      </w:r>
      <w:r w:rsidR="00FE0D02" w:rsidRPr="002C29A4">
        <w:rPr>
          <w:rFonts w:asciiTheme="minorHAnsi" w:hAnsiTheme="minorHAnsi"/>
          <w:b/>
        </w:rPr>
        <w:t xml:space="preserve">διαμορφώθηκαν σε </w:t>
      </w:r>
      <w:r w:rsidR="004E57D0" w:rsidRPr="002C29A4">
        <w:rPr>
          <w:rFonts w:asciiTheme="minorHAnsi" w:hAnsiTheme="minorHAnsi" w:cstheme="minorHAnsi"/>
          <w:b/>
          <w:bCs/>
        </w:rPr>
        <w:t>€</w:t>
      </w:r>
      <w:r w:rsidR="004D0610">
        <w:rPr>
          <w:rFonts w:asciiTheme="minorHAnsi" w:hAnsiTheme="minorHAnsi"/>
          <w:b/>
        </w:rPr>
        <w:t>251,3</w:t>
      </w:r>
      <w:r w:rsidR="00FE0D02" w:rsidRPr="002C29A4">
        <w:rPr>
          <w:rFonts w:asciiTheme="minorHAnsi" w:hAnsiTheme="minorHAnsi"/>
          <w:b/>
        </w:rPr>
        <w:t xml:space="preserve"> εκατ</w:t>
      </w:r>
      <w:r w:rsidR="00FE0D02" w:rsidRPr="00522B68">
        <w:rPr>
          <w:rFonts w:asciiTheme="minorHAnsi" w:eastAsia="Times New Roman" w:hAnsiTheme="minorHAnsi" w:cstheme="minorHAnsi"/>
        </w:rPr>
        <w:t xml:space="preserve">. έναντι  </w:t>
      </w:r>
      <w:r w:rsidR="004E57D0" w:rsidRPr="00522B68">
        <w:rPr>
          <w:rFonts w:asciiTheme="minorHAnsi" w:hAnsiTheme="minorHAnsi" w:cstheme="minorHAnsi"/>
        </w:rPr>
        <w:t>€</w:t>
      </w:r>
      <w:r w:rsidR="004D0610">
        <w:rPr>
          <w:rFonts w:asciiTheme="minorHAnsi" w:eastAsia="Times New Roman" w:hAnsiTheme="minorHAnsi" w:cstheme="minorHAnsi"/>
        </w:rPr>
        <w:t>243,</w:t>
      </w:r>
      <w:r w:rsidR="00A52A18">
        <w:rPr>
          <w:rFonts w:asciiTheme="minorHAnsi" w:eastAsia="Times New Roman" w:hAnsiTheme="minorHAnsi" w:cstheme="minorHAnsi"/>
        </w:rPr>
        <w:t>8</w:t>
      </w:r>
      <w:r w:rsidR="00FE0D02" w:rsidRPr="00522B68">
        <w:rPr>
          <w:rFonts w:asciiTheme="minorHAnsi" w:eastAsia="Times New Roman" w:hAnsiTheme="minorHAnsi" w:cstheme="minorHAnsi"/>
        </w:rPr>
        <w:t xml:space="preserve"> εκατ. ευρώ την αντίστοιχη περίοδο του 2022</w:t>
      </w:r>
      <w:r w:rsidR="0032166A" w:rsidRPr="0032166A">
        <w:rPr>
          <w:rFonts w:asciiTheme="minorHAnsi" w:eastAsia="Times New Roman" w:hAnsiTheme="minorHAnsi" w:cstheme="minorHAnsi"/>
        </w:rPr>
        <w:t>.</w:t>
      </w:r>
    </w:p>
    <w:p w:rsidR="00A9204B" w:rsidRPr="00522B68" w:rsidRDefault="00A9204B" w:rsidP="002C29A4">
      <w:pPr>
        <w:jc w:val="both"/>
        <w:rPr>
          <w:rFonts w:asciiTheme="minorHAnsi" w:eastAsia="Times New Roman" w:hAnsiTheme="minorHAnsi" w:cstheme="minorHAnsi"/>
        </w:rPr>
      </w:pPr>
      <w:r w:rsidRPr="00522B68">
        <w:rPr>
          <w:rFonts w:asciiTheme="minorHAnsi" w:eastAsia="Times New Roman" w:hAnsiTheme="minorHAnsi" w:cstheme="minorHAnsi"/>
          <w:b/>
          <w:bCs/>
        </w:rPr>
        <w:lastRenderedPageBreak/>
        <w:t xml:space="preserve">Τα Κέρδη προ φόρων </w:t>
      </w:r>
      <w:r w:rsidRPr="002C29A4">
        <w:rPr>
          <w:rFonts w:asciiTheme="minorHAnsi" w:hAnsiTheme="minorHAnsi"/>
          <w:b/>
        </w:rPr>
        <w:t xml:space="preserve">διαμορφώθηκαν σε € </w:t>
      </w:r>
      <w:r w:rsidR="004D0610">
        <w:rPr>
          <w:rFonts w:asciiTheme="minorHAnsi" w:hAnsiTheme="minorHAnsi"/>
          <w:b/>
        </w:rPr>
        <w:t>166</w:t>
      </w:r>
      <w:r w:rsidR="00FE0D02" w:rsidRPr="002C29A4">
        <w:rPr>
          <w:rFonts w:asciiTheme="minorHAnsi" w:hAnsiTheme="minorHAnsi"/>
          <w:b/>
        </w:rPr>
        <w:t>,</w:t>
      </w:r>
      <w:r w:rsidR="006F7791">
        <w:rPr>
          <w:rFonts w:asciiTheme="minorHAnsi" w:hAnsiTheme="minorHAnsi"/>
          <w:b/>
        </w:rPr>
        <w:t>7</w:t>
      </w:r>
      <w:r w:rsidRPr="002C29A4">
        <w:rPr>
          <w:rFonts w:asciiTheme="minorHAnsi" w:eastAsia="Times New Roman" w:hAnsiTheme="minorHAnsi" w:cstheme="minorHAnsi"/>
          <w:b/>
          <w:bCs/>
        </w:rPr>
        <w:t>εκ</w:t>
      </w:r>
      <w:r w:rsidR="004E57D0" w:rsidRPr="002C29A4">
        <w:rPr>
          <w:rFonts w:asciiTheme="minorHAnsi" w:eastAsia="Times New Roman" w:hAnsiTheme="minorHAnsi" w:cstheme="minorHAnsi"/>
          <w:b/>
          <w:bCs/>
        </w:rPr>
        <w:t>ατ</w:t>
      </w:r>
      <w:r w:rsidRPr="002C29A4">
        <w:rPr>
          <w:rFonts w:asciiTheme="minorHAnsi" w:hAnsiTheme="minorHAnsi"/>
          <w:b/>
        </w:rPr>
        <w:t>.</w:t>
      </w:r>
      <w:r w:rsidRPr="00522B68">
        <w:rPr>
          <w:rFonts w:asciiTheme="minorHAnsi" w:eastAsia="Times New Roman" w:hAnsiTheme="minorHAnsi" w:cstheme="minorHAnsi"/>
        </w:rPr>
        <w:t xml:space="preserve"> έναντι € </w:t>
      </w:r>
      <w:r w:rsidR="004D0610">
        <w:rPr>
          <w:rFonts w:asciiTheme="minorHAnsi" w:eastAsia="Times New Roman" w:hAnsiTheme="minorHAnsi" w:cstheme="minorHAnsi"/>
        </w:rPr>
        <w:t>133,</w:t>
      </w:r>
      <w:r w:rsidR="006F7791">
        <w:rPr>
          <w:rFonts w:asciiTheme="minorHAnsi" w:eastAsia="Times New Roman" w:hAnsiTheme="minorHAnsi" w:cstheme="minorHAnsi"/>
        </w:rPr>
        <w:t>2</w:t>
      </w:r>
      <w:r w:rsidRPr="00522B68">
        <w:rPr>
          <w:rFonts w:asciiTheme="minorHAnsi" w:eastAsia="Times New Roman" w:hAnsiTheme="minorHAnsi" w:cstheme="minorHAnsi"/>
        </w:rPr>
        <w:t>εκ</w:t>
      </w:r>
      <w:r w:rsidR="004E57D0">
        <w:rPr>
          <w:rFonts w:asciiTheme="minorHAnsi" w:eastAsia="Times New Roman" w:hAnsiTheme="minorHAnsi" w:cstheme="minorHAnsi"/>
        </w:rPr>
        <w:t>ατ</w:t>
      </w:r>
      <w:r w:rsidRPr="00522B68">
        <w:rPr>
          <w:rFonts w:asciiTheme="minorHAnsi" w:eastAsia="Times New Roman" w:hAnsiTheme="minorHAnsi" w:cstheme="minorHAnsi"/>
        </w:rPr>
        <w:t>. την αντίστοιχη περίοδο του 202</w:t>
      </w:r>
      <w:r w:rsidR="00DA639E" w:rsidRPr="00522B68">
        <w:rPr>
          <w:rFonts w:asciiTheme="minorHAnsi" w:eastAsia="Times New Roman" w:hAnsiTheme="minorHAnsi" w:cstheme="minorHAnsi"/>
        </w:rPr>
        <w:t>2</w:t>
      </w:r>
      <w:r w:rsidRPr="00522B68">
        <w:rPr>
          <w:rFonts w:asciiTheme="minorHAnsi" w:eastAsia="Times New Roman" w:hAnsiTheme="minorHAnsi" w:cstheme="minorHAnsi"/>
        </w:rPr>
        <w:t xml:space="preserve">. </w:t>
      </w:r>
    </w:p>
    <w:p w:rsidR="00E41F10" w:rsidRPr="00522B68" w:rsidRDefault="00E41F10" w:rsidP="002C29A4">
      <w:pPr>
        <w:jc w:val="both"/>
        <w:rPr>
          <w:rFonts w:asciiTheme="minorHAnsi" w:eastAsia="Times New Roman" w:hAnsiTheme="minorHAnsi" w:cstheme="minorHAnsi"/>
          <w:bCs/>
        </w:rPr>
      </w:pPr>
      <w:r w:rsidRPr="00522B68">
        <w:rPr>
          <w:rFonts w:asciiTheme="minorHAnsi" w:eastAsia="Times New Roman" w:hAnsiTheme="minorHAnsi" w:cstheme="minorHAnsi"/>
          <w:b/>
          <w:bCs/>
        </w:rPr>
        <w:t>Τα Κέρδη μετά από φόρους που κατανέμονται στους ιδιοκτήτες της Μητρικής</w:t>
      </w:r>
      <w:r w:rsidRPr="00522B68">
        <w:rPr>
          <w:rFonts w:asciiTheme="minorHAnsi" w:eastAsia="Times New Roman" w:hAnsiTheme="minorHAnsi" w:cstheme="minorHAnsi"/>
          <w:b/>
        </w:rPr>
        <w:t xml:space="preserve"> διαμορφώθηκαν σε </w:t>
      </w:r>
      <w:r w:rsidR="00170FD7" w:rsidRPr="00522B68">
        <w:rPr>
          <w:rFonts w:asciiTheme="minorHAnsi" w:eastAsia="Times New Roman" w:hAnsiTheme="minorHAnsi" w:cstheme="minorHAnsi"/>
          <w:b/>
        </w:rPr>
        <w:t xml:space="preserve">€ </w:t>
      </w:r>
      <w:r w:rsidR="004D0610">
        <w:rPr>
          <w:rFonts w:asciiTheme="minorHAnsi" w:eastAsia="Times New Roman" w:hAnsiTheme="minorHAnsi" w:cstheme="minorHAnsi"/>
          <w:b/>
        </w:rPr>
        <w:t>99</w:t>
      </w:r>
      <w:r w:rsidR="000E633E" w:rsidRPr="00522B68">
        <w:rPr>
          <w:rFonts w:asciiTheme="minorHAnsi" w:eastAsia="Times New Roman" w:hAnsiTheme="minorHAnsi" w:cstheme="minorHAnsi"/>
          <w:b/>
        </w:rPr>
        <w:t>,</w:t>
      </w:r>
      <w:r w:rsidR="00A52A18">
        <w:rPr>
          <w:rFonts w:asciiTheme="minorHAnsi" w:eastAsia="Times New Roman" w:hAnsiTheme="minorHAnsi" w:cstheme="minorHAnsi"/>
          <w:b/>
        </w:rPr>
        <w:t>5</w:t>
      </w:r>
      <w:r w:rsidRPr="00522B68">
        <w:rPr>
          <w:rFonts w:asciiTheme="minorHAnsi" w:eastAsia="Times New Roman" w:hAnsiTheme="minorHAnsi" w:cstheme="minorHAnsi"/>
          <w:b/>
        </w:rPr>
        <w:t>εκ</w:t>
      </w:r>
      <w:r w:rsidR="004E57D0">
        <w:rPr>
          <w:rFonts w:asciiTheme="minorHAnsi" w:eastAsia="Times New Roman" w:hAnsiTheme="minorHAnsi" w:cstheme="minorHAnsi"/>
          <w:b/>
        </w:rPr>
        <w:t>ατ</w:t>
      </w:r>
      <w:r w:rsidRPr="00522B68">
        <w:rPr>
          <w:rFonts w:asciiTheme="minorHAnsi" w:eastAsia="Times New Roman" w:hAnsiTheme="minorHAnsi" w:cstheme="minorHAnsi"/>
          <w:b/>
        </w:rPr>
        <w:t xml:space="preserve">. για το </w:t>
      </w:r>
      <w:r w:rsidR="004D0610">
        <w:rPr>
          <w:rFonts w:asciiTheme="minorHAnsi" w:eastAsia="Times New Roman" w:hAnsiTheme="minorHAnsi" w:cstheme="minorHAnsi"/>
          <w:b/>
        </w:rPr>
        <w:t>Εν</w:t>
      </w:r>
      <w:r w:rsidR="00FD2FC1">
        <w:rPr>
          <w:rFonts w:asciiTheme="minorHAnsi" w:eastAsia="Times New Roman" w:hAnsiTheme="minorHAnsi" w:cstheme="minorHAnsi"/>
          <w:b/>
        </w:rPr>
        <w:t>νεά</w:t>
      </w:r>
      <w:r w:rsidR="004D0610">
        <w:rPr>
          <w:rFonts w:asciiTheme="minorHAnsi" w:eastAsia="Times New Roman" w:hAnsiTheme="minorHAnsi" w:cstheme="minorHAnsi"/>
          <w:b/>
        </w:rPr>
        <w:t>μηνο</w:t>
      </w:r>
      <w:r w:rsidR="00B82B05" w:rsidRPr="00522B68">
        <w:rPr>
          <w:rFonts w:asciiTheme="minorHAnsi" w:eastAsia="Times New Roman" w:hAnsiTheme="minorHAnsi" w:cstheme="minorHAnsi"/>
          <w:b/>
        </w:rPr>
        <w:t xml:space="preserve"> του </w:t>
      </w:r>
      <w:r w:rsidRPr="00522B68">
        <w:rPr>
          <w:rFonts w:asciiTheme="minorHAnsi" w:eastAsia="Times New Roman" w:hAnsiTheme="minorHAnsi" w:cstheme="minorHAnsi"/>
          <w:b/>
        </w:rPr>
        <w:t>202</w:t>
      </w:r>
      <w:r w:rsidR="00B82B05" w:rsidRPr="00522B68">
        <w:rPr>
          <w:rFonts w:asciiTheme="minorHAnsi" w:eastAsia="Times New Roman" w:hAnsiTheme="minorHAnsi" w:cstheme="minorHAnsi"/>
          <w:b/>
        </w:rPr>
        <w:t>3</w:t>
      </w:r>
      <w:r w:rsidRPr="00522B68">
        <w:rPr>
          <w:rFonts w:asciiTheme="minorHAnsi" w:eastAsia="Times New Roman" w:hAnsiTheme="minorHAnsi" w:cstheme="minorHAnsi"/>
          <w:bCs/>
        </w:rPr>
        <w:t xml:space="preserve">έναντι </w:t>
      </w:r>
      <w:r w:rsidR="00170FD7" w:rsidRPr="00522B68">
        <w:rPr>
          <w:rFonts w:asciiTheme="minorHAnsi" w:eastAsia="Times New Roman" w:hAnsiTheme="minorHAnsi" w:cstheme="minorHAnsi"/>
          <w:bCs/>
        </w:rPr>
        <w:t>€</w:t>
      </w:r>
      <w:r w:rsidR="004D0610">
        <w:rPr>
          <w:rFonts w:asciiTheme="minorHAnsi" w:eastAsia="Times New Roman" w:hAnsiTheme="minorHAnsi" w:cstheme="minorHAnsi"/>
          <w:bCs/>
        </w:rPr>
        <w:t>68,5</w:t>
      </w:r>
      <w:r w:rsidRPr="00522B68">
        <w:rPr>
          <w:rFonts w:asciiTheme="minorHAnsi" w:eastAsia="Times New Roman" w:hAnsiTheme="minorHAnsi" w:cstheme="minorHAnsi"/>
          <w:bCs/>
        </w:rPr>
        <w:t xml:space="preserve"> εκ</w:t>
      </w:r>
      <w:r w:rsidR="004E57D0">
        <w:rPr>
          <w:rFonts w:asciiTheme="minorHAnsi" w:eastAsia="Times New Roman" w:hAnsiTheme="minorHAnsi" w:cstheme="minorHAnsi"/>
          <w:bCs/>
        </w:rPr>
        <w:t>ατ</w:t>
      </w:r>
      <w:r w:rsidRPr="00522B68">
        <w:rPr>
          <w:rFonts w:asciiTheme="minorHAnsi" w:eastAsia="Times New Roman" w:hAnsiTheme="minorHAnsi" w:cstheme="minorHAnsi"/>
          <w:bCs/>
        </w:rPr>
        <w:t>. για την αντίστοιχη περίοδο του 202</w:t>
      </w:r>
      <w:r w:rsidR="00B82B05" w:rsidRPr="00522B68">
        <w:rPr>
          <w:rFonts w:asciiTheme="minorHAnsi" w:eastAsia="Times New Roman" w:hAnsiTheme="minorHAnsi" w:cstheme="minorHAnsi"/>
          <w:bCs/>
        </w:rPr>
        <w:t>2</w:t>
      </w:r>
      <w:r w:rsidRPr="00522B68">
        <w:rPr>
          <w:rFonts w:asciiTheme="minorHAnsi" w:eastAsia="Times New Roman" w:hAnsiTheme="minorHAnsi" w:cstheme="minorHAnsi"/>
          <w:bCs/>
        </w:rPr>
        <w:t xml:space="preserve">. </w:t>
      </w:r>
    </w:p>
    <w:p w:rsidR="009D7ACE" w:rsidRPr="00522B68" w:rsidRDefault="009D7ACE" w:rsidP="002C29A4">
      <w:pPr>
        <w:jc w:val="both"/>
        <w:rPr>
          <w:rFonts w:asciiTheme="minorHAnsi" w:eastAsia="Times New Roman" w:hAnsiTheme="minorHAnsi" w:cstheme="minorHAnsi"/>
          <w:bCs/>
        </w:rPr>
      </w:pPr>
      <w:r w:rsidRPr="006F7791">
        <w:rPr>
          <w:rFonts w:asciiTheme="minorHAnsi" w:hAnsiTheme="minorHAnsi"/>
        </w:rPr>
        <w:t xml:space="preserve">Στα αποτελέσματα μετά τους φόρους καιδικαιώματα μειοψηφίας </w:t>
      </w:r>
      <w:r w:rsidR="00B82B05" w:rsidRPr="006F7791">
        <w:rPr>
          <w:rFonts w:asciiTheme="minorHAnsi" w:hAnsiTheme="minorHAnsi"/>
        </w:rPr>
        <w:t>της περιόδου του</w:t>
      </w:r>
      <w:r w:rsidRPr="006F7791">
        <w:rPr>
          <w:rFonts w:asciiTheme="minorHAnsi" w:hAnsiTheme="minorHAnsi"/>
        </w:rPr>
        <w:t xml:space="preserve"> 202</w:t>
      </w:r>
      <w:r w:rsidR="00B82B05" w:rsidRPr="006F7791">
        <w:rPr>
          <w:rFonts w:asciiTheme="minorHAnsi" w:hAnsiTheme="minorHAnsi"/>
        </w:rPr>
        <w:t>3</w:t>
      </w:r>
      <w:r w:rsidRPr="006F7791">
        <w:rPr>
          <w:rFonts w:asciiTheme="minorHAnsi" w:hAnsiTheme="minorHAnsi"/>
        </w:rPr>
        <w:t xml:space="preserve"> έχουν συμπεριληφθεί </w:t>
      </w:r>
      <w:r w:rsidR="00AA5D5B" w:rsidRPr="006F7791">
        <w:rPr>
          <w:rFonts w:asciiTheme="minorHAnsi" w:hAnsiTheme="minorHAnsi"/>
        </w:rPr>
        <w:t xml:space="preserve">μη </w:t>
      </w:r>
      <w:r w:rsidRPr="006F7791">
        <w:rPr>
          <w:rFonts w:asciiTheme="minorHAnsi" w:hAnsiTheme="minorHAnsi"/>
        </w:rPr>
        <w:t>λειτουργικά αποτελέσματα</w:t>
      </w:r>
      <w:r w:rsidR="003942F4" w:rsidRPr="006F7791">
        <w:rPr>
          <w:rFonts w:asciiTheme="minorHAnsi" w:hAnsiTheme="minorHAnsi"/>
          <w:vertAlign w:val="superscript"/>
        </w:rPr>
        <w:t>(2)</w:t>
      </w:r>
      <w:r w:rsidRPr="006F7791">
        <w:rPr>
          <w:rFonts w:asciiTheme="minorHAnsi" w:hAnsiTheme="minorHAnsi"/>
        </w:rPr>
        <w:t xml:space="preserve"> συνολικού </w:t>
      </w:r>
      <w:r w:rsidR="00B82B05" w:rsidRPr="006F7791">
        <w:rPr>
          <w:rFonts w:asciiTheme="minorHAnsi" w:hAnsiTheme="minorHAnsi"/>
        </w:rPr>
        <w:t xml:space="preserve">κέρδους </w:t>
      </w:r>
      <w:r w:rsidRPr="006F7791">
        <w:rPr>
          <w:rFonts w:asciiTheme="minorHAnsi" w:hAnsiTheme="minorHAnsi"/>
        </w:rPr>
        <w:t>€</w:t>
      </w:r>
      <w:r w:rsidR="007945B1" w:rsidRPr="006F7791">
        <w:rPr>
          <w:rFonts w:asciiTheme="minorHAnsi" w:eastAsia="Times New Roman" w:hAnsiTheme="minorHAnsi" w:cstheme="minorHAnsi"/>
        </w:rPr>
        <w:t>1</w:t>
      </w:r>
      <w:r w:rsidR="006F7791" w:rsidRPr="006F7791">
        <w:rPr>
          <w:rFonts w:asciiTheme="minorHAnsi" w:eastAsia="Times New Roman" w:hAnsiTheme="minorHAnsi" w:cstheme="minorHAnsi"/>
        </w:rPr>
        <w:t>0</w:t>
      </w:r>
      <w:r w:rsidR="007945B1" w:rsidRPr="006F7791">
        <w:rPr>
          <w:rFonts w:asciiTheme="minorHAnsi" w:eastAsia="Times New Roman" w:hAnsiTheme="minorHAnsi" w:cstheme="minorHAnsi"/>
        </w:rPr>
        <w:t>,</w:t>
      </w:r>
      <w:r w:rsidR="006F7791" w:rsidRPr="006F7791">
        <w:rPr>
          <w:rFonts w:asciiTheme="minorHAnsi" w:eastAsia="Times New Roman" w:hAnsiTheme="minorHAnsi" w:cstheme="minorHAnsi"/>
        </w:rPr>
        <w:t>7</w:t>
      </w:r>
      <w:r w:rsidRPr="006F7791">
        <w:rPr>
          <w:rFonts w:asciiTheme="minorHAnsi" w:eastAsia="Times New Roman" w:hAnsiTheme="minorHAnsi" w:cstheme="minorHAnsi"/>
        </w:rPr>
        <w:t xml:space="preserve"> εκ</w:t>
      </w:r>
      <w:r w:rsidR="00625750" w:rsidRPr="006F7791">
        <w:rPr>
          <w:rFonts w:asciiTheme="minorHAnsi" w:eastAsia="Times New Roman" w:hAnsiTheme="minorHAnsi" w:cstheme="minorHAnsi"/>
        </w:rPr>
        <w:t>ατ</w:t>
      </w:r>
      <w:r w:rsidRPr="006F7791">
        <w:rPr>
          <w:rFonts w:asciiTheme="minorHAnsi" w:hAnsiTheme="minorHAnsi"/>
        </w:rPr>
        <w:t xml:space="preserve">. έναντι </w:t>
      </w:r>
      <w:r w:rsidR="00B82B05" w:rsidRPr="006F7791">
        <w:rPr>
          <w:rFonts w:asciiTheme="minorHAnsi" w:hAnsiTheme="minorHAnsi"/>
        </w:rPr>
        <w:t>συνολικής ζημίας</w:t>
      </w:r>
      <w:r w:rsidRPr="006F7791">
        <w:rPr>
          <w:rFonts w:asciiTheme="minorHAnsi" w:hAnsiTheme="minorHAnsi"/>
        </w:rPr>
        <w:t xml:space="preserve"> € </w:t>
      </w:r>
      <w:r w:rsidR="006F7791" w:rsidRPr="006F7791">
        <w:rPr>
          <w:rFonts w:asciiTheme="minorHAnsi" w:hAnsiTheme="minorHAnsi"/>
        </w:rPr>
        <w:t>24,7</w:t>
      </w:r>
      <w:r w:rsidRPr="006F7791">
        <w:rPr>
          <w:rFonts w:asciiTheme="minorHAnsi" w:eastAsia="Times New Roman" w:hAnsiTheme="minorHAnsi" w:cstheme="minorHAnsi"/>
        </w:rPr>
        <w:t>εκ</w:t>
      </w:r>
      <w:r w:rsidR="00625750" w:rsidRPr="006F7791">
        <w:rPr>
          <w:rFonts w:asciiTheme="minorHAnsi" w:eastAsia="Times New Roman" w:hAnsiTheme="minorHAnsi" w:cstheme="minorHAnsi"/>
        </w:rPr>
        <w:t>ατ</w:t>
      </w:r>
      <w:r w:rsidRPr="006F7791">
        <w:rPr>
          <w:rFonts w:asciiTheme="minorHAnsi" w:hAnsiTheme="minorHAnsi"/>
        </w:rPr>
        <w:t>. την αντίστοιχη περίοδο του 202</w:t>
      </w:r>
      <w:r w:rsidR="00B82B05" w:rsidRPr="006F7791">
        <w:rPr>
          <w:rFonts w:asciiTheme="minorHAnsi" w:hAnsiTheme="minorHAnsi"/>
        </w:rPr>
        <w:t>2</w:t>
      </w:r>
      <w:r w:rsidRPr="006F7791">
        <w:rPr>
          <w:rFonts w:asciiTheme="minorHAnsi" w:hAnsiTheme="minorHAnsi"/>
        </w:rPr>
        <w:t>.</w:t>
      </w:r>
    </w:p>
    <w:p w:rsidR="00E41F10" w:rsidRPr="00522B68" w:rsidRDefault="00E41F10" w:rsidP="002C29A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522B68">
        <w:rPr>
          <w:rFonts w:asciiTheme="minorHAnsi" w:eastAsia="Times New Roman" w:hAnsiTheme="minorHAnsi" w:cstheme="minorHAnsi"/>
          <w:b/>
          <w:bCs/>
        </w:rPr>
        <w:t xml:space="preserve">Τα αντίστοιχα Κέρδη μετά από φόρους από συνεχιζόμενες δραστηριότητες χωρίς την επίδραση </w:t>
      </w:r>
      <w:r w:rsidR="009D7ACE" w:rsidRPr="00522B68">
        <w:rPr>
          <w:rFonts w:asciiTheme="minorHAnsi" w:eastAsia="Times New Roman" w:hAnsiTheme="minorHAnsi" w:cstheme="minorHAnsi"/>
          <w:b/>
          <w:bCs/>
        </w:rPr>
        <w:t xml:space="preserve">των ανωτέρω </w:t>
      </w:r>
      <w:r w:rsidRPr="00522B68">
        <w:rPr>
          <w:rFonts w:asciiTheme="minorHAnsi" w:eastAsia="Times New Roman" w:hAnsiTheme="minorHAnsi" w:cstheme="minorHAnsi"/>
          <w:b/>
          <w:bCs/>
        </w:rPr>
        <w:t>μη λειτουργικών αποτελεσμάτων</w:t>
      </w:r>
      <w:r w:rsidR="001C5287" w:rsidRPr="00522B68">
        <w:rPr>
          <w:rFonts w:asciiTheme="minorHAnsi" w:eastAsia="Times New Roman" w:hAnsiTheme="minorHAnsi" w:cstheme="minorHAnsi"/>
          <w:b/>
          <w:bCs/>
          <w:vertAlign w:val="superscript"/>
        </w:rPr>
        <w:t>(2)</w:t>
      </w:r>
      <w:r w:rsidR="009067B1" w:rsidRPr="00522B68">
        <w:rPr>
          <w:rFonts w:asciiTheme="minorHAnsi" w:eastAsia="Times New Roman" w:hAnsiTheme="minorHAnsi" w:cstheme="minorHAnsi"/>
          <w:b/>
          <w:bCs/>
        </w:rPr>
        <w:t xml:space="preserve"> που αναλογούν στους μετόχους της μητρικής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, διαμορφώθηκαν </w:t>
      </w:r>
      <w:r w:rsidR="00737647" w:rsidRPr="00522B68">
        <w:rPr>
          <w:rFonts w:asciiTheme="minorHAnsi" w:eastAsia="Times New Roman" w:hAnsiTheme="minorHAnsi" w:cstheme="minorHAnsi"/>
          <w:b/>
          <w:bCs/>
        </w:rPr>
        <w:t xml:space="preserve">σε 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€  </w:t>
      </w:r>
      <w:r w:rsidR="004D0610">
        <w:rPr>
          <w:rFonts w:asciiTheme="minorHAnsi" w:eastAsia="Times New Roman" w:hAnsiTheme="minorHAnsi" w:cstheme="minorHAnsi"/>
          <w:b/>
          <w:bCs/>
        </w:rPr>
        <w:t>88,8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 εκ</w:t>
      </w:r>
      <w:r w:rsidR="00625750">
        <w:rPr>
          <w:rFonts w:asciiTheme="minorHAnsi" w:eastAsia="Times New Roman" w:hAnsiTheme="minorHAnsi" w:cstheme="minorHAnsi"/>
          <w:b/>
          <w:bCs/>
        </w:rPr>
        <w:t>ατ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., έναντι € </w:t>
      </w:r>
      <w:r w:rsidR="004D0610">
        <w:rPr>
          <w:rFonts w:asciiTheme="minorHAnsi" w:eastAsia="Times New Roman" w:hAnsiTheme="minorHAnsi" w:cstheme="minorHAnsi"/>
          <w:b/>
          <w:bCs/>
        </w:rPr>
        <w:t>9</w:t>
      </w:r>
      <w:r w:rsidR="000E633E" w:rsidRPr="00522B68">
        <w:rPr>
          <w:rFonts w:asciiTheme="minorHAnsi" w:eastAsia="Times New Roman" w:hAnsiTheme="minorHAnsi" w:cstheme="minorHAnsi"/>
          <w:b/>
          <w:bCs/>
        </w:rPr>
        <w:t>3</w:t>
      </w:r>
      <w:r w:rsidR="004D0610">
        <w:rPr>
          <w:rFonts w:asciiTheme="minorHAnsi" w:eastAsia="Times New Roman" w:hAnsiTheme="minorHAnsi" w:cstheme="minorHAnsi"/>
          <w:b/>
          <w:bCs/>
        </w:rPr>
        <w:t>,2</w:t>
      </w:r>
      <w:r w:rsidRPr="00522B68">
        <w:rPr>
          <w:rFonts w:asciiTheme="minorHAnsi" w:eastAsia="Times New Roman" w:hAnsiTheme="minorHAnsi" w:cstheme="minorHAnsi"/>
          <w:b/>
          <w:bCs/>
        </w:rPr>
        <w:t>εκ</w:t>
      </w:r>
      <w:r w:rsidR="004E57D0">
        <w:rPr>
          <w:rFonts w:asciiTheme="minorHAnsi" w:eastAsia="Times New Roman" w:hAnsiTheme="minorHAnsi" w:cstheme="minorHAnsi"/>
          <w:b/>
          <w:bCs/>
        </w:rPr>
        <w:t>ατ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. </w:t>
      </w:r>
      <w:r w:rsidR="00065030" w:rsidRPr="00522B68">
        <w:rPr>
          <w:rFonts w:asciiTheme="minorHAnsi" w:eastAsia="Times New Roman" w:hAnsiTheme="minorHAnsi" w:cstheme="minorHAnsi"/>
          <w:b/>
          <w:bCs/>
        </w:rPr>
        <w:t>για το</w:t>
      </w:r>
      <w:r w:rsidR="004D0610">
        <w:rPr>
          <w:rFonts w:asciiTheme="minorHAnsi" w:eastAsia="Times New Roman" w:hAnsiTheme="minorHAnsi" w:cstheme="minorHAnsi"/>
          <w:b/>
          <w:bCs/>
        </w:rPr>
        <w:t>Ενν</w:t>
      </w:r>
      <w:r w:rsidR="00FD2FC1">
        <w:rPr>
          <w:rFonts w:asciiTheme="minorHAnsi" w:eastAsia="Times New Roman" w:hAnsiTheme="minorHAnsi" w:cstheme="minorHAnsi"/>
          <w:b/>
          <w:bCs/>
        </w:rPr>
        <w:t>ε</w:t>
      </w:r>
      <w:r w:rsidR="004D0610">
        <w:rPr>
          <w:rFonts w:asciiTheme="minorHAnsi" w:eastAsia="Times New Roman" w:hAnsiTheme="minorHAnsi" w:cstheme="minorHAnsi"/>
          <w:b/>
          <w:bCs/>
        </w:rPr>
        <w:t>άμηνο</w:t>
      </w:r>
      <w:r w:rsidR="00B82B05" w:rsidRPr="00522B68">
        <w:rPr>
          <w:rFonts w:asciiTheme="minorHAnsi" w:eastAsia="Times New Roman" w:hAnsiTheme="minorHAnsi" w:cstheme="minorHAnsi"/>
          <w:b/>
          <w:bCs/>
        </w:rPr>
        <w:t xml:space="preserve"> του </w:t>
      </w:r>
      <w:r w:rsidRPr="00522B68">
        <w:rPr>
          <w:rFonts w:asciiTheme="minorHAnsi" w:eastAsia="Times New Roman" w:hAnsiTheme="minorHAnsi" w:cstheme="minorHAnsi"/>
          <w:b/>
          <w:bCs/>
        </w:rPr>
        <w:t>202</w:t>
      </w:r>
      <w:r w:rsidR="00B82B05" w:rsidRPr="00522B68">
        <w:rPr>
          <w:rFonts w:asciiTheme="minorHAnsi" w:eastAsia="Times New Roman" w:hAnsiTheme="minorHAnsi" w:cstheme="minorHAnsi"/>
          <w:b/>
          <w:bCs/>
        </w:rPr>
        <w:t>2</w:t>
      </w:r>
      <w:r w:rsidRPr="00522B68">
        <w:rPr>
          <w:rFonts w:asciiTheme="minorHAnsi" w:eastAsia="Times New Roman" w:hAnsiTheme="minorHAnsi" w:cstheme="minorHAnsi"/>
          <w:b/>
          <w:bCs/>
        </w:rPr>
        <w:t>.</w:t>
      </w:r>
    </w:p>
    <w:p w:rsidR="004E57D0" w:rsidRPr="00624F4C" w:rsidRDefault="003942F4" w:rsidP="00DA73AF">
      <w:pPr>
        <w:jc w:val="both"/>
        <w:rPr>
          <w:rFonts w:asciiTheme="minorHAnsi" w:eastAsia="Times New Roman" w:hAnsiTheme="minorHAnsi" w:cstheme="minorHAnsi"/>
        </w:rPr>
      </w:pPr>
      <w:bookmarkStart w:id="4" w:name="_Hlk151629534"/>
      <w:r w:rsidRPr="00522B68">
        <w:rPr>
          <w:rFonts w:asciiTheme="minorHAnsi" w:eastAsia="Times New Roman" w:hAnsiTheme="minorHAnsi" w:cstheme="minorHAnsi"/>
          <w:b/>
          <w:bCs/>
        </w:rPr>
        <w:t xml:space="preserve">Τα </w:t>
      </w:r>
      <w:r w:rsidR="006C54F3">
        <w:rPr>
          <w:rFonts w:asciiTheme="minorHAnsi" w:eastAsia="Times New Roman" w:hAnsiTheme="minorHAnsi" w:cstheme="minorHAnsi"/>
          <w:b/>
          <w:bCs/>
        </w:rPr>
        <w:t xml:space="preserve">ελεύθερα </w:t>
      </w:r>
      <w:r w:rsidRPr="00522B68">
        <w:rPr>
          <w:rFonts w:asciiTheme="minorHAnsi" w:eastAsia="Times New Roman" w:hAnsiTheme="minorHAnsi" w:cstheme="minorHAnsi"/>
          <w:b/>
          <w:bCs/>
        </w:rPr>
        <w:t>χρηματικά διαθέσιμα του Ομίλου παρέμειναν υψηλά και διαμορφώθηκαν σε € 1.</w:t>
      </w:r>
      <w:r w:rsidR="00E07850" w:rsidRPr="00522B68">
        <w:rPr>
          <w:rFonts w:asciiTheme="minorHAnsi" w:eastAsia="Times New Roman" w:hAnsiTheme="minorHAnsi" w:cstheme="minorHAnsi"/>
          <w:b/>
          <w:bCs/>
        </w:rPr>
        <w:t>4</w:t>
      </w:r>
      <w:r w:rsidR="005526BD">
        <w:rPr>
          <w:rFonts w:asciiTheme="minorHAnsi" w:eastAsia="Times New Roman" w:hAnsiTheme="minorHAnsi" w:cstheme="minorHAnsi"/>
          <w:b/>
          <w:bCs/>
        </w:rPr>
        <w:t>30,3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 εκ</w:t>
      </w:r>
      <w:r w:rsidR="004E57D0">
        <w:rPr>
          <w:rFonts w:asciiTheme="minorHAnsi" w:eastAsia="Times New Roman" w:hAnsiTheme="minorHAnsi" w:cstheme="minorHAnsi"/>
          <w:b/>
          <w:bCs/>
        </w:rPr>
        <w:t>ατ</w:t>
      </w:r>
      <w:r w:rsidRPr="00522B68">
        <w:rPr>
          <w:rFonts w:asciiTheme="minorHAnsi" w:eastAsia="Times New Roman" w:hAnsiTheme="minorHAnsi" w:cstheme="minorHAnsi"/>
          <w:b/>
          <w:bCs/>
        </w:rPr>
        <w:t>. την 3</w:t>
      </w:r>
      <w:r w:rsidR="00E07850" w:rsidRPr="00522B68">
        <w:rPr>
          <w:rFonts w:asciiTheme="minorHAnsi" w:eastAsia="Times New Roman" w:hAnsiTheme="minorHAnsi" w:cstheme="minorHAnsi"/>
          <w:b/>
          <w:bCs/>
        </w:rPr>
        <w:t>0</w:t>
      </w:r>
      <w:r w:rsidRPr="00522B68">
        <w:rPr>
          <w:rFonts w:asciiTheme="minorHAnsi" w:eastAsia="Times New Roman" w:hAnsiTheme="minorHAnsi" w:cstheme="minorHAnsi"/>
          <w:b/>
          <w:bCs/>
        </w:rPr>
        <w:t>.</w:t>
      </w:r>
      <w:r w:rsidR="005526BD">
        <w:rPr>
          <w:rFonts w:asciiTheme="minorHAnsi" w:eastAsia="Times New Roman" w:hAnsiTheme="minorHAnsi" w:cstheme="minorHAnsi"/>
          <w:b/>
          <w:bCs/>
        </w:rPr>
        <w:t>09</w:t>
      </w:r>
      <w:r w:rsidRPr="00522B68">
        <w:rPr>
          <w:rFonts w:asciiTheme="minorHAnsi" w:eastAsia="Times New Roman" w:hAnsiTheme="minorHAnsi" w:cstheme="minorHAnsi"/>
          <w:b/>
          <w:bCs/>
        </w:rPr>
        <w:t>.2023</w:t>
      </w:r>
      <w:r w:rsidR="00E07850" w:rsidRPr="00522B68">
        <w:rPr>
          <w:rFonts w:asciiTheme="minorHAnsi" w:eastAsia="Times New Roman" w:hAnsiTheme="minorHAnsi" w:cstheme="minorHAnsi"/>
        </w:rPr>
        <w:t xml:space="preserve">(μην </w:t>
      </w:r>
      <w:r w:rsidR="006C54F3" w:rsidRPr="00522B68">
        <w:rPr>
          <w:rFonts w:asciiTheme="minorHAnsi" w:eastAsia="Times New Roman" w:hAnsiTheme="minorHAnsi" w:cstheme="minorHAnsi"/>
        </w:rPr>
        <w:t>περιλαμβανο</w:t>
      </w:r>
      <w:r w:rsidR="006C54F3">
        <w:rPr>
          <w:rFonts w:asciiTheme="minorHAnsi" w:eastAsia="Times New Roman" w:hAnsiTheme="minorHAnsi" w:cstheme="minorHAnsi"/>
        </w:rPr>
        <w:t>μένων</w:t>
      </w:r>
      <w:r w:rsidR="00E07850" w:rsidRPr="00522B68">
        <w:rPr>
          <w:rFonts w:asciiTheme="minorHAnsi" w:eastAsia="Times New Roman" w:hAnsiTheme="minorHAnsi" w:cstheme="minorHAnsi"/>
        </w:rPr>
        <w:t xml:space="preserve"> δεσμευμέν</w:t>
      </w:r>
      <w:r w:rsidR="006C54F3">
        <w:rPr>
          <w:rFonts w:asciiTheme="minorHAnsi" w:eastAsia="Times New Roman" w:hAnsiTheme="minorHAnsi" w:cstheme="minorHAnsi"/>
        </w:rPr>
        <w:t>ων</w:t>
      </w:r>
      <w:r w:rsidR="00E07850" w:rsidRPr="00522B68">
        <w:rPr>
          <w:rFonts w:asciiTheme="minorHAnsi" w:eastAsia="Times New Roman" w:hAnsiTheme="minorHAnsi" w:cstheme="minorHAnsi"/>
        </w:rPr>
        <w:t xml:space="preserve"> καταθέσε</w:t>
      </w:r>
      <w:r w:rsidR="006C54F3">
        <w:rPr>
          <w:rFonts w:asciiTheme="minorHAnsi" w:eastAsia="Times New Roman" w:hAnsiTheme="minorHAnsi" w:cstheme="minorHAnsi"/>
        </w:rPr>
        <w:t>ων</w:t>
      </w:r>
      <w:r w:rsidR="00E07850" w:rsidRPr="00522B68">
        <w:rPr>
          <w:rFonts w:asciiTheme="minorHAnsi" w:eastAsia="Times New Roman" w:hAnsiTheme="minorHAnsi" w:cstheme="minorHAnsi"/>
        </w:rPr>
        <w:t xml:space="preserve"> ύψους € 1</w:t>
      </w:r>
      <w:r w:rsidR="005526BD">
        <w:rPr>
          <w:rFonts w:asciiTheme="minorHAnsi" w:eastAsia="Times New Roman" w:hAnsiTheme="minorHAnsi" w:cstheme="minorHAnsi"/>
        </w:rPr>
        <w:t>01</w:t>
      </w:r>
      <w:r w:rsidR="00E07850" w:rsidRPr="00522B68">
        <w:rPr>
          <w:rFonts w:asciiTheme="minorHAnsi" w:eastAsia="Times New Roman" w:hAnsiTheme="minorHAnsi" w:cstheme="minorHAnsi"/>
        </w:rPr>
        <w:t>,</w:t>
      </w:r>
      <w:r w:rsidR="005526BD">
        <w:rPr>
          <w:rFonts w:asciiTheme="minorHAnsi" w:eastAsia="Times New Roman" w:hAnsiTheme="minorHAnsi" w:cstheme="minorHAnsi"/>
        </w:rPr>
        <w:t>3</w:t>
      </w:r>
      <w:r w:rsidR="00E07850" w:rsidRPr="00522B68">
        <w:rPr>
          <w:rFonts w:asciiTheme="minorHAnsi" w:eastAsia="Times New Roman" w:hAnsiTheme="minorHAnsi" w:cstheme="minorHAnsi"/>
        </w:rPr>
        <w:t xml:space="preserve"> εκατ.) </w:t>
      </w:r>
      <w:r w:rsidRPr="00522B68">
        <w:rPr>
          <w:rFonts w:asciiTheme="minorHAnsi" w:eastAsia="Times New Roman" w:hAnsiTheme="minorHAnsi" w:cstheme="minorHAnsi"/>
        </w:rPr>
        <w:t>έναντι € 1.491,7 την 31.12.2022.</w:t>
      </w:r>
      <w:r w:rsidR="006C54F3" w:rsidRPr="00932243">
        <w:rPr>
          <w:rFonts w:asciiTheme="minorHAnsi" w:eastAsia="Times New Roman" w:hAnsiTheme="minorHAnsi" w:cstheme="minorHAnsi"/>
          <w:b/>
          <w:bCs/>
        </w:rPr>
        <w:t xml:space="preserve">Το σύνολο του Καθαρού Χρέους με αναγωγή </w:t>
      </w:r>
      <w:r w:rsidR="003B757C">
        <w:rPr>
          <w:rFonts w:asciiTheme="minorHAnsi" w:eastAsia="Times New Roman" w:hAnsiTheme="minorHAnsi" w:cstheme="minorHAnsi"/>
          <w:b/>
          <w:bCs/>
        </w:rPr>
        <w:t xml:space="preserve">μετά των δεσμευμένων καταθέσεων </w:t>
      </w:r>
      <w:r w:rsidR="006C54F3" w:rsidRPr="00932243">
        <w:rPr>
          <w:rFonts w:asciiTheme="minorHAnsi" w:eastAsia="Times New Roman" w:hAnsiTheme="minorHAnsi" w:cstheme="minorHAnsi"/>
          <w:b/>
          <w:bCs/>
        </w:rPr>
        <w:t>στις 30.09.2023 διαμορφώθηκε σε 4</w:t>
      </w:r>
      <w:r w:rsidR="00932243" w:rsidRPr="00932243">
        <w:rPr>
          <w:rFonts w:asciiTheme="minorHAnsi" w:eastAsia="Times New Roman" w:hAnsiTheme="minorHAnsi" w:cstheme="minorHAnsi"/>
          <w:b/>
          <w:bCs/>
        </w:rPr>
        <w:t>4</w:t>
      </w:r>
      <w:r w:rsidR="00624F4C" w:rsidRPr="00624F4C">
        <w:rPr>
          <w:rFonts w:asciiTheme="minorHAnsi" w:eastAsia="Times New Roman" w:hAnsiTheme="minorHAnsi" w:cstheme="minorHAnsi"/>
          <w:b/>
          <w:bCs/>
        </w:rPr>
        <w:t>8</w:t>
      </w:r>
      <w:r w:rsidR="006C54F3" w:rsidRPr="00932243">
        <w:rPr>
          <w:rFonts w:asciiTheme="minorHAnsi" w:eastAsia="Times New Roman" w:hAnsiTheme="minorHAnsi" w:cstheme="minorHAnsi"/>
          <w:b/>
          <w:bCs/>
        </w:rPr>
        <w:t>,</w:t>
      </w:r>
      <w:r w:rsidR="00624F4C" w:rsidRPr="00624F4C">
        <w:rPr>
          <w:rFonts w:asciiTheme="minorHAnsi" w:eastAsia="Times New Roman" w:hAnsiTheme="minorHAnsi" w:cstheme="minorHAnsi"/>
          <w:b/>
          <w:bCs/>
        </w:rPr>
        <w:t>8</w:t>
      </w:r>
      <w:r w:rsidR="006C54F3" w:rsidRPr="00932243">
        <w:rPr>
          <w:rFonts w:asciiTheme="minorHAnsi" w:eastAsia="Times New Roman" w:hAnsiTheme="minorHAnsi" w:cstheme="minorHAnsi"/>
          <w:b/>
          <w:bCs/>
        </w:rPr>
        <w:t xml:space="preserve"> εκατ.</w:t>
      </w:r>
      <w:r w:rsidR="00753C6A" w:rsidRPr="00932243">
        <w:rPr>
          <w:rFonts w:asciiTheme="minorHAnsi" w:eastAsia="Times New Roman" w:hAnsiTheme="minorHAnsi" w:cstheme="minorHAnsi"/>
          <w:b/>
          <w:bCs/>
        </w:rPr>
        <w:t>,</w:t>
      </w:r>
      <w:r w:rsidR="00753C6A">
        <w:rPr>
          <w:rFonts w:asciiTheme="minorHAnsi" w:eastAsia="Times New Roman" w:hAnsiTheme="minorHAnsi" w:cstheme="minorHAnsi"/>
        </w:rPr>
        <w:t xml:space="preserve"> ενώ το</w:t>
      </w:r>
      <w:r w:rsidR="006C54F3" w:rsidRPr="00624F4C">
        <w:rPr>
          <w:rFonts w:asciiTheme="minorHAnsi" w:eastAsia="Times New Roman" w:hAnsiTheme="minorHAnsi" w:cstheme="minorHAnsi"/>
        </w:rPr>
        <w:t xml:space="preserve">Καθαρό Χρέος χωρίς αναγωγή </w:t>
      </w:r>
      <w:r w:rsidR="00624F4C" w:rsidRPr="00624F4C">
        <w:rPr>
          <w:rFonts w:asciiTheme="minorHAnsi" w:eastAsia="Times New Roman" w:hAnsiTheme="minorHAnsi" w:cstheme="minorHAnsi"/>
        </w:rPr>
        <w:t>(</w:t>
      </w:r>
      <w:r w:rsidR="005C3F2A">
        <w:rPr>
          <w:rFonts w:asciiTheme="minorHAnsi" w:eastAsia="Times New Roman" w:hAnsiTheme="minorHAnsi" w:cstheme="minorHAnsi"/>
        </w:rPr>
        <w:t>περιλαμβανομένων</w:t>
      </w:r>
      <w:r w:rsidR="00624F4C">
        <w:rPr>
          <w:rFonts w:asciiTheme="minorHAnsi" w:eastAsia="Times New Roman" w:hAnsiTheme="minorHAnsi" w:cstheme="minorHAnsi"/>
        </w:rPr>
        <w:t xml:space="preserve">μεταξύ άλλων </w:t>
      </w:r>
      <w:r w:rsidR="00624F4C" w:rsidRPr="00624F4C">
        <w:rPr>
          <w:rFonts w:asciiTheme="minorHAnsi" w:eastAsia="Times New Roman" w:hAnsiTheme="minorHAnsi" w:cstheme="minorHAnsi"/>
        </w:rPr>
        <w:t xml:space="preserve">και </w:t>
      </w:r>
      <w:r w:rsidR="005C3F2A">
        <w:rPr>
          <w:rFonts w:asciiTheme="minorHAnsi" w:eastAsia="Times New Roman" w:hAnsiTheme="minorHAnsi" w:cstheme="minorHAnsi"/>
        </w:rPr>
        <w:t>των</w:t>
      </w:r>
      <w:r w:rsidR="00624F4C" w:rsidRPr="00624F4C">
        <w:rPr>
          <w:rFonts w:asciiTheme="minorHAnsi" w:eastAsia="Times New Roman" w:hAnsiTheme="minorHAnsi" w:cstheme="minorHAnsi"/>
          <w:lang w:val="en-GB"/>
        </w:rPr>
        <w:t>projectfinancefacilities</w:t>
      </w:r>
      <w:r w:rsidR="00624F4C" w:rsidRPr="00624F4C">
        <w:rPr>
          <w:rFonts w:asciiTheme="minorHAnsi" w:eastAsia="Times New Roman" w:hAnsiTheme="minorHAnsi" w:cstheme="minorHAnsi"/>
        </w:rPr>
        <w:t>)</w:t>
      </w:r>
      <w:bookmarkEnd w:id="4"/>
      <w:r w:rsidR="00624F4C" w:rsidRPr="00624F4C">
        <w:rPr>
          <w:rFonts w:asciiTheme="minorHAnsi" w:eastAsia="Times New Roman" w:hAnsiTheme="minorHAnsi" w:cstheme="minorHAnsi"/>
        </w:rPr>
        <w:t>διαμορφώνεται στα 1.1</w:t>
      </w:r>
      <w:r w:rsidR="003B757C">
        <w:rPr>
          <w:rFonts w:asciiTheme="minorHAnsi" w:eastAsia="Times New Roman" w:hAnsiTheme="minorHAnsi" w:cstheme="minorHAnsi"/>
        </w:rPr>
        <w:t>81</w:t>
      </w:r>
      <w:r w:rsidR="00624F4C" w:rsidRPr="00624F4C">
        <w:rPr>
          <w:rFonts w:asciiTheme="minorHAnsi" w:eastAsia="Times New Roman" w:hAnsiTheme="minorHAnsi" w:cstheme="minorHAnsi"/>
        </w:rPr>
        <w:t xml:space="preserve">,3 εκατ. </w:t>
      </w:r>
    </w:p>
    <w:p w:rsidR="00B151C8" w:rsidRPr="005526BD" w:rsidRDefault="00314BB0" w:rsidP="002C29A4">
      <w:pPr>
        <w:jc w:val="both"/>
        <w:rPr>
          <w:rFonts w:asciiTheme="minorHAnsi" w:hAnsiTheme="minorHAnsi" w:cstheme="minorHAnsi"/>
        </w:rPr>
      </w:pPr>
      <w:r w:rsidRPr="00522B68">
        <w:rPr>
          <w:rFonts w:asciiTheme="minorHAnsi" w:eastAsia="Times New Roman" w:hAnsiTheme="minorHAnsi" w:cstheme="minorHAnsi"/>
          <w:b/>
          <w:bCs/>
        </w:rPr>
        <w:t xml:space="preserve">Ο συντελεστής Καθαρό </w:t>
      </w:r>
      <w:r w:rsidR="00BC1B59" w:rsidRPr="00522B68">
        <w:rPr>
          <w:rFonts w:asciiTheme="minorHAnsi" w:eastAsia="Times New Roman" w:hAnsiTheme="minorHAnsi" w:cstheme="minorHAnsi"/>
          <w:b/>
          <w:bCs/>
        </w:rPr>
        <w:t>Χρ</w:t>
      </w:r>
      <w:r w:rsidR="006E5D38" w:rsidRPr="00522B68">
        <w:rPr>
          <w:rFonts w:asciiTheme="minorHAnsi" w:eastAsia="Times New Roman" w:hAnsiTheme="minorHAnsi" w:cstheme="minorHAnsi"/>
          <w:b/>
          <w:bCs/>
        </w:rPr>
        <w:t>έ</w:t>
      </w:r>
      <w:r w:rsidR="00BC1B59" w:rsidRPr="00522B68">
        <w:rPr>
          <w:rFonts w:asciiTheme="minorHAnsi" w:eastAsia="Times New Roman" w:hAnsiTheme="minorHAnsi" w:cstheme="minorHAnsi"/>
          <w:b/>
          <w:bCs/>
        </w:rPr>
        <w:t>ο</w:t>
      </w:r>
      <w:r w:rsidRPr="00522B68">
        <w:rPr>
          <w:rFonts w:asciiTheme="minorHAnsi" w:eastAsia="Times New Roman" w:hAnsiTheme="minorHAnsi" w:cstheme="minorHAnsi"/>
          <w:b/>
          <w:bCs/>
        </w:rPr>
        <w:t>ς</w:t>
      </w:r>
      <w:r w:rsidR="007945B1" w:rsidRPr="002C29A4">
        <w:rPr>
          <w:rFonts w:asciiTheme="minorHAnsi" w:eastAsia="Times New Roman" w:hAnsiTheme="minorHAnsi" w:cstheme="minorHAnsi"/>
          <w:b/>
          <w:bCs/>
        </w:rPr>
        <w:t xml:space="preserve"> μετά των δεσμευμένων καταθέσεων και των επιχορηγήσεων προς επιστροφή</w:t>
      </w:r>
      <w:r w:rsidRPr="00522B68">
        <w:rPr>
          <w:rFonts w:asciiTheme="minorHAnsi" w:eastAsia="Times New Roman" w:hAnsiTheme="minorHAnsi" w:cstheme="minorHAnsi"/>
          <w:b/>
          <w:bCs/>
        </w:rPr>
        <w:t xml:space="preserve">/Προσαρμοσμένο </w:t>
      </w:r>
      <w:r w:rsidRPr="00522B68">
        <w:rPr>
          <w:rFonts w:asciiTheme="minorHAnsi" w:eastAsia="Times New Roman" w:hAnsiTheme="minorHAnsi" w:cstheme="minorHAnsi"/>
          <w:b/>
          <w:bCs/>
          <w:lang w:val="en-US"/>
        </w:rPr>
        <w:t>EBITDA</w:t>
      </w:r>
      <w:r w:rsidR="00B82B05" w:rsidRPr="00522B68">
        <w:rPr>
          <w:rFonts w:asciiTheme="minorHAnsi" w:eastAsia="Times New Roman" w:hAnsiTheme="minorHAnsi" w:cstheme="minorHAnsi"/>
          <w:b/>
          <w:bCs/>
          <w:vertAlign w:val="superscript"/>
        </w:rPr>
        <w:t>(1)</w:t>
      </w:r>
      <w:r w:rsidR="000353D6" w:rsidRPr="00522B68">
        <w:rPr>
          <w:rFonts w:asciiTheme="minorHAnsi" w:hAnsiTheme="minorHAnsi" w:cstheme="minorHAnsi"/>
          <w:b/>
          <w:bCs/>
        </w:rPr>
        <w:t xml:space="preserve">για τον Όμιλο </w:t>
      </w:r>
      <w:r w:rsidR="00B82B05" w:rsidRPr="00522B68">
        <w:rPr>
          <w:rFonts w:asciiTheme="minorHAnsi" w:hAnsiTheme="minorHAnsi" w:cstheme="minorHAnsi"/>
          <w:b/>
          <w:bCs/>
        </w:rPr>
        <w:t>σ</w:t>
      </w:r>
      <w:r w:rsidRPr="00522B68">
        <w:rPr>
          <w:rFonts w:asciiTheme="minorHAnsi" w:hAnsiTheme="minorHAnsi" w:cstheme="minorHAnsi"/>
          <w:b/>
          <w:bCs/>
        </w:rPr>
        <w:t xml:space="preserve">το τέλος του </w:t>
      </w:r>
      <w:r w:rsidR="00EB3E12">
        <w:rPr>
          <w:rFonts w:asciiTheme="minorHAnsi" w:hAnsiTheme="minorHAnsi" w:cstheme="minorHAnsi"/>
          <w:b/>
          <w:bCs/>
        </w:rPr>
        <w:t>Εννεάμηνου</w:t>
      </w:r>
      <w:r w:rsidR="00B82B05" w:rsidRPr="00522B68">
        <w:rPr>
          <w:rFonts w:asciiTheme="minorHAnsi" w:hAnsiTheme="minorHAnsi" w:cstheme="minorHAnsi"/>
          <w:b/>
          <w:bCs/>
        </w:rPr>
        <w:t xml:space="preserve"> του </w:t>
      </w:r>
      <w:r w:rsidR="00115F30" w:rsidRPr="00522B68">
        <w:rPr>
          <w:rFonts w:asciiTheme="minorHAnsi" w:hAnsiTheme="minorHAnsi" w:cstheme="minorHAnsi"/>
          <w:b/>
          <w:bCs/>
        </w:rPr>
        <w:t>202</w:t>
      </w:r>
      <w:r w:rsidR="00B82B05" w:rsidRPr="00522B68">
        <w:rPr>
          <w:rFonts w:asciiTheme="minorHAnsi" w:hAnsiTheme="minorHAnsi" w:cstheme="minorHAnsi"/>
          <w:b/>
          <w:bCs/>
        </w:rPr>
        <w:t>3</w:t>
      </w:r>
      <w:r w:rsidRPr="00522B68">
        <w:rPr>
          <w:rFonts w:asciiTheme="minorHAnsi" w:hAnsiTheme="minorHAnsi" w:cstheme="minorHAnsi"/>
          <w:b/>
          <w:bCs/>
        </w:rPr>
        <w:t xml:space="preserve"> διαμορφώθηκε σ</w:t>
      </w:r>
      <w:r w:rsidR="00737647" w:rsidRPr="00522B68">
        <w:rPr>
          <w:rFonts w:asciiTheme="minorHAnsi" w:hAnsiTheme="minorHAnsi" w:cstheme="minorHAnsi"/>
          <w:b/>
          <w:bCs/>
        </w:rPr>
        <w:t>ε</w:t>
      </w:r>
      <w:r w:rsidR="00335386" w:rsidRPr="00522B68">
        <w:rPr>
          <w:rFonts w:asciiTheme="minorHAnsi" w:hAnsiTheme="minorHAnsi" w:cstheme="minorHAnsi"/>
          <w:b/>
          <w:bCs/>
        </w:rPr>
        <w:t>2.</w:t>
      </w:r>
      <w:r w:rsidR="005526BD">
        <w:rPr>
          <w:rFonts w:asciiTheme="minorHAnsi" w:hAnsiTheme="minorHAnsi" w:cstheme="minorHAnsi"/>
          <w:b/>
          <w:bCs/>
        </w:rPr>
        <w:t>5</w:t>
      </w:r>
      <w:r w:rsidRPr="00522B68">
        <w:rPr>
          <w:rFonts w:asciiTheme="minorHAnsi" w:hAnsiTheme="minorHAnsi" w:cstheme="minorHAnsi"/>
          <w:b/>
          <w:bCs/>
          <w:lang w:val="en-US"/>
        </w:rPr>
        <w:t>x</w:t>
      </w:r>
      <w:r w:rsidR="005526BD" w:rsidRPr="005526BD">
        <w:rPr>
          <w:rFonts w:asciiTheme="minorHAnsi" w:hAnsiTheme="minorHAnsi" w:cstheme="minorHAnsi"/>
        </w:rPr>
        <w:t>έναντι 2.</w:t>
      </w:r>
      <w:r w:rsidR="00EB3E12">
        <w:rPr>
          <w:rFonts w:asciiTheme="minorHAnsi" w:hAnsiTheme="minorHAnsi" w:cstheme="minorHAnsi"/>
        </w:rPr>
        <w:t>8</w:t>
      </w:r>
      <w:r w:rsidR="005526BD" w:rsidRPr="005526BD">
        <w:rPr>
          <w:rFonts w:asciiTheme="minorHAnsi" w:hAnsiTheme="minorHAnsi" w:cstheme="minorHAnsi"/>
          <w:lang w:val="en-US"/>
        </w:rPr>
        <w:t>x</w:t>
      </w:r>
      <w:r w:rsidR="005526BD" w:rsidRPr="005526BD">
        <w:rPr>
          <w:rFonts w:asciiTheme="minorHAnsi" w:hAnsiTheme="minorHAnsi" w:cstheme="minorHAnsi"/>
        </w:rPr>
        <w:t xml:space="preserve"> κατά το τέλος του Εν</w:t>
      </w:r>
      <w:r w:rsidR="00FD2FC1">
        <w:rPr>
          <w:rFonts w:asciiTheme="minorHAnsi" w:hAnsiTheme="minorHAnsi" w:cstheme="minorHAnsi"/>
        </w:rPr>
        <w:t>νεά</w:t>
      </w:r>
      <w:r w:rsidR="005526BD" w:rsidRPr="005526BD">
        <w:rPr>
          <w:rFonts w:asciiTheme="minorHAnsi" w:hAnsiTheme="minorHAnsi" w:cstheme="minorHAnsi"/>
        </w:rPr>
        <w:t>μ</w:t>
      </w:r>
      <w:r w:rsidR="00FD2FC1">
        <w:rPr>
          <w:rFonts w:asciiTheme="minorHAnsi" w:hAnsiTheme="minorHAnsi" w:cstheme="minorHAnsi"/>
        </w:rPr>
        <w:t>η</w:t>
      </w:r>
      <w:r w:rsidR="005526BD" w:rsidRPr="005526BD">
        <w:rPr>
          <w:rFonts w:asciiTheme="minorHAnsi" w:hAnsiTheme="minorHAnsi" w:cstheme="minorHAnsi"/>
        </w:rPr>
        <w:t>νου του 2022 και 2.1</w:t>
      </w:r>
      <w:r w:rsidR="005526BD" w:rsidRPr="005526BD">
        <w:rPr>
          <w:rFonts w:asciiTheme="minorHAnsi" w:hAnsiTheme="minorHAnsi" w:cstheme="minorHAnsi"/>
          <w:lang w:val="en-US"/>
        </w:rPr>
        <w:t>x</w:t>
      </w:r>
      <w:r w:rsidR="00B82B05" w:rsidRPr="005526BD">
        <w:rPr>
          <w:rFonts w:asciiTheme="minorHAnsi" w:hAnsiTheme="minorHAnsi" w:cstheme="minorHAnsi"/>
        </w:rPr>
        <w:t xml:space="preserve">το τέλος </w:t>
      </w:r>
      <w:r w:rsidRPr="005526BD">
        <w:rPr>
          <w:rFonts w:asciiTheme="minorHAnsi" w:hAnsiTheme="minorHAnsi" w:cstheme="minorHAnsi"/>
        </w:rPr>
        <w:t>202</w:t>
      </w:r>
      <w:r w:rsidR="00B82B05" w:rsidRPr="005526BD">
        <w:rPr>
          <w:rFonts w:asciiTheme="minorHAnsi" w:hAnsiTheme="minorHAnsi" w:cstheme="minorHAnsi"/>
        </w:rPr>
        <w:t>2.</w:t>
      </w:r>
    </w:p>
    <w:p w:rsidR="006D5C94" w:rsidRDefault="006D5C94" w:rsidP="006D5C94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:rsidR="00B052DF" w:rsidRPr="00522B68" w:rsidRDefault="000E2EB1" w:rsidP="002C29A4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522B68">
        <w:rPr>
          <w:rFonts w:asciiTheme="minorHAnsi" w:eastAsia="Times New Roman" w:hAnsiTheme="minorHAnsi" w:cstheme="minorHAnsi"/>
          <w:b/>
          <w:bCs/>
          <w:u w:val="single"/>
        </w:rPr>
        <w:t>Ισχυρή λειτουργική επίδοση σε όλους τους τομείς</w:t>
      </w:r>
    </w:p>
    <w:p w:rsidR="001D41E0" w:rsidRPr="00522B68" w:rsidRDefault="001D41E0" w:rsidP="002C29A4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</w:rPr>
      </w:pPr>
      <w:r w:rsidRPr="006F7791">
        <w:rPr>
          <w:rFonts w:asciiTheme="minorHAnsi" w:hAnsiTheme="minorHAnsi" w:cstheme="minorHAnsi"/>
          <w:b/>
          <w:bCs/>
        </w:rPr>
        <w:t xml:space="preserve">Στον κατασκευαστικό τομέα </w:t>
      </w:r>
      <w:r w:rsidRPr="006F7791">
        <w:rPr>
          <w:rFonts w:asciiTheme="minorHAnsi" w:hAnsiTheme="minorHAnsi" w:cstheme="minorHAnsi"/>
        </w:rPr>
        <w:t xml:space="preserve">το ανεκτέλεστο κατά το τέλος </w:t>
      </w:r>
      <w:r w:rsidR="00943ECA" w:rsidRPr="006F7791">
        <w:rPr>
          <w:rFonts w:asciiTheme="minorHAnsi" w:hAnsiTheme="minorHAnsi" w:cstheme="minorHAnsi"/>
        </w:rPr>
        <w:t>Σεπτεμβρίου</w:t>
      </w:r>
      <w:r w:rsidRPr="006F7791">
        <w:rPr>
          <w:rFonts w:asciiTheme="minorHAnsi" w:hAnsiTheme="minorHAnsi" w:cstheme="minorHAnsi"/>
        </w:rPr>
        <w:t xml:space="preserve"> του </w:t>
      </w:r>
      <w:r w:rsidR="00943ECA" w:rsidRPr="006F7791">
        <w:rPr>
          <w:rFonts w:asciiTheme="minorHAnsi" w:hAnsiTheme="minorHAnsi" w:cstheme="minorHAnsi"/>
        </w:rPr>
        <w:t>2023</w:t>
      </w:r>
      <w:r w:rsidR="00837F63" w:rsidRPr="006F7791">
        <w:rPr>
          <w:rFonts w:asciiTheme="minorHAnsi" w:hAnsiTheme="minorHAnsi" w:cstheme="minorHAnsi"/>
        </w:rPr>
        <w:t>,</w:t>
      </w:r>
      <w:r w:rsidR="00837F63" w:rsidRPr="006F7791">
        <w:rPr>
          <w:rFonts w:asciiTheme="minorHAnsi" w:eastAsia="Times New Roman" w:hAnsiTheme="minorHAnsi" w:cstheme="minorHAnsi"/>
        </w:rPr>
        <w:t xml:space="preserve"> συμπεριλαμβανομένων των προς υπογραφή συμβάσεων και των έργων που αφορούν ίδιες επενδύσεις,</w:t>
      </w:r>
      <w:r w:rsidR="00E55265" w:rsidRPr="006F7791">
        <w:rPr>
          <w:rFonts w:asciiTheme="minorHAnsi" w:hAnsiTheme="minorHAnsi" w:cstheme="minorHAnsi"/>
        </w:rPr>
        <w:t xml:space="preserve">ανήλθε σε </w:t>
      </w:r>
      <w:r w:rsidRPr="006F7791">
        <w:rPr>
          <w:rFonts w:asciiTheme="minorHAnsi" w:eastAsia="Times New Roman" w:hAnsiTheme="minorHAnsi" w:cstheme="minorHAnsi"/>
        </w:rPr>
        <w:t>€ 5,</w:t>
      </w:r>
      <w:r w:rsidR="00904ED4" w:rsidRPr="006F7791">
        <w:rPr>
          <w:rFonts w:asciiTheme="minorHAnsi" w:eastAsia="Times New Roman" w:hAnsiTheme="minorHAnsi" w:cstheme="minorHAnsi"/>
        </w:rPr>
        <w:t>5</w:t>
      </w:r>
      <w:r w:rsidRPr="006F7791">
        <w:rPr>
          <w:rFonts w:asciiTheme="minorHAnsi" w:eastAsia="Times New Roman" w:hAnsiTheme="minorHAnsi" w:cstheme="minorHAnsi"/>
        </w:rPr>
        <w:t>δι</w:t>
      </w:r>
      <w:r w:rsidR="00904ED4" w:rsidRPr="006F7791">
        <w:rPr>
          <w:rFonts w:asciiTheme="minorHAnsi" w:eastAsia="Times New Roman" w:hAnsiTheme="minorHAnsi" w:cstheme="minorHAnsi"/>
        </w:rPr>
        <w:t>ς</w:t>
      </w:r>
      <w:r w:rsidR="00DA639E" w:rsidRPr="006F7791">
        <w:rPr>
          <w:rFonts w:asciiTheme="minorHAnsi" w:eastAsia="Times New Roman" w:hAnsiTheme="minorHAnsi" w:cstheme="minorHAnsi"/>
        </w:rPr>
        <w:t>.</w:t>
      </w:r>
      <w:r w:rsidR="00457D59" w:rsidRPr="006F7791">
        <w:rPr>
          <w:rFonts w:asciiTheme="minorHAnsi" w:eastAsia="Times New Roman" w:hAnsiTheme="minorHAnsi" w:cstheme="minorHAnsi"/>
        </w:rPr>
        <w:t>Συγκεκριμένα, το κατασκευαστικό ανεκτέλεστο των υπογεγραμμένων συμβάσεων</w:t>
      </w:r>
      <w:r w:rsidR="00E55265" w:rsidRPr="006F7791">
        <w:rPr>
          <w:rFonts w:asciiTheme="minorHAnsi" w:eastAsia="Times New Roman" w:hAnsiTheme="minorHAnsi" w:cstheme="minorHAnsi"/>
        </w:rPr>
        <w:t xml:space="preserve"> κατά το τέλος του </w:t>
      </w:r>
      <w:r w:rsidR="00943ECA" w:rsidRPr="006F7791">
        <w:rPr>
          <w:rFonts w:asciiTheme="minorHAnsi" w:eastAsia="Times New Roman" w:hAnsiTheme="minorHAnsi" w:cstheme="minorHAnsi"/>
        </w:rPr>
        <w:t>Σεπτεμβρίου</w:t>
      </w:r>
      <w:r w:rsidR="00457D59" w:rsidRPr="006F7791">
        <w:rPr>
          <w:rFonts w:asciiTheme="minorHAnsi" w:eastAsia="Times New Roman" w:hAnsiTheme="minorHAnsi" w:cstheme="minorHAnsi"/>
        </w:rPr>
        <w:t xml:space="preserve">, ανέρχεται σε € </w:t>
      </w:r>
      <w:r w:rsidR="00A44C41" w:rsidRPr="00A44C41">
        <w:rPr>
          <w:rFonts w:asciiTheme="minorHAnsi" w:eastAsia="Times New Roman" w:hAnsiTheme="minorHAnsi" w:cstheme="minorHAnsi"/>
        </w:rPr>
        <w:t>3,3</w:t>
      </w:r>
      <w:r w:rsidR="00457D59" w:rsidRPr="006F7791">
        <w:rPr>
          <w:rFonts w:asciiTheme="minorHAnsi" w:eastAsia="Times New Roman" w:hAnsiTheme="minorHAnsi" w:cstheme="minorHAnsi"/>
        </w:rPr>
        <w:t xml:space="preserve"> δι</w:t>
      </w:r>
      <w:r w:rsidR="00DA639E" w:rsidRPr="006F7791">
        <w:rPr>
          <w:rFonts w:asciiTheme="minorHAnsi" w:eastAsia="Times New Roman" w:hAnsiTheme="minorHAnsi" w:cstheme="minorHAnsi"/>
        </w:rPr>
        <w:t>σ</w:t>
      </w:r>
      <w:r w:rsidR="00A44C41" w:rsidRPr="00A44C41">
        <w:rPr>
          <w:rFonts w:asciiTheme="minorHAnsi" w:eastAsia="Times New Roman" w:hAnsiTheme="minorHAnsi" w:cstheme="minorHAnsi"/>
        </w:rPr>
        <w:t>.</w:t>
      </w:r>
      <w:r w:rsidR="00457D59" w:rsidRPr="006F7791">
        <w:rPr>
          <w:rFonts w:asciiTheme="minorHAnsi" w:hAnsiTheme="minorHAnsi" w:cstheme="minorHAnsi"/>
        </w:rPr>
        <w:t xml:space="preserve">Περαιτέρω, ο Όμιλος </w:t>
      </w:r>
      <w:r w:rsidR="00E55265" w:rsidRPr="006F7791">
        <w:rPr>
          <w:rFonts w:asciiTheme="minorHAnsi" w:hAnsiTheme="minorHAnsi" w:cstheme="minorHAnsi"/>
        </w:rPr>
        <w:t xml:space="preserve">έχει έκτοτε </w:t>
      </w:r>
      <w:proofErr w:type="spellStart"/>
      <w:r w:rsidR="00E55265" w:rsidRPr="006F7791">
        <w:rPr>
          <w:rFonts w:asciiTheme="minorHAnsi" w:hAnsiTheme="minorHAnsi" w:cstheme="minorHAnsi"/>
        </w:rPr>
        <w:t>συμβασιοποιήσει</w:t>
      </w:r>
      <w:proofErr w:type="spellEnd"/>
      <w:r w:rsidR="00E55265" w:rsidRPr="006F7791">
        <w:rPr>
          <w:rFonts w:asciiTheme="minorHAnsi" w:hAnsiTheme="minorHAnsi" w:cstheme="minorHAnsi"/>
        </w:rPr>
        <w:t xml:space="preserve"> ή </w:t>
      </w:r>
      <w:r w:rsidR="00457D59" w:rsidRPr="006F7791">
        <w:rPr>
          <w:rFonts w:asciiTheme="minorHAnsi" w:hAnsiTheme="minorHAnsi" w:cstheme="minorHAnsi"/>
        </w:rPr>
        <w:t xml:space="preserve">αναμένει τη </w:t>
      </w:r>
      <w:proofErr w:type="spellStart"/>
      <w:r w:rsidR="00457D59" w:rsidRPr="006F7791">
        <w:rPr>
          <w:rFonts w:asciiTheme="minorHAnsi" w:hAnsiTheme="minorHAnsi" w:cstheme="minorHAnsi"/>
        </w:rPr>
        <w:t>συμβασιοποίηση</w:t>
      </w:r>
      <w:proofErr w:type="spellEnd"/>
      <w:r w:rsidR="00457D59" w:rsidRPr="006F7791">
        <w:rPr>
          <w:rFonts w:asciiTheme="minorHAnsi" w:hAnsiTheme="minorHAnsi" w:cstheme="minorHAnsi"/>
        </w:rPr>
        <w:t xml:space="preserve"> νέων έργων ύψους € </w:t>
      </w:r>
      <w:r w:rsidR="007E42F1" w:rsidRPr="006F7791">
        <w:rPr>
          <w:rFonts w:asciiTheme="minorHAnsi" w:hAnsiTheme="minorHAnsi" w:cstheme="minorHAnsi"/>
        </w:rPr>
        <w:t>2,</w:t>
      </w:r>
      <w:r w:rsidR="00904ED4" w:rsidRPr="006F7791">
        <w:rPr>
          <w:rFonts w:asciiTheme="minorHAnsi" w:hAnsiTheme="minorHAnsi" w:cstheme="minorHAnsi"/>
        </w:rPr>
        <w:t>2</w:t>
      </w:r>
      <w:r w:rsidR="00457D59" w:rsidRPr="006F7791">
        <w:rPr>
          <w:rFonts w:asciiTheme="minorHAnsi" w:hAnsiTheme="minorHAnsi" w:cstheme="minorHAnsi"/>
        </w:rPr>
        <w:t xml:space="preserve"> δισ.</w:t>
      </w:r>
      <w:r w:rsidR="00457D59" w:rsidRPr="006F7791">
        <w:rPr>
          <w:rFonts w:asciiTheme="minorHAnsi" w:eastAsia="Times New Roman" w:hAnsiTheme="minorHAnsi" w:cstheme="minorHAnsi"/>
        </w:rPr>
        <w:t xml:space="preserve"> που έχει εξασφαλίσει. </w:t>
      </w:r>
      <w:r w:rsidR="00923F4F" w:rsidRPr="006F7791">
        <w:rPr>
          <w:rFonts w:asciiTheme="minorHAnsi" w:hAnsiTheme="minorHAnsi"/>
          <w:b/>
        </w:rPr>
        <w:t>Ε</w:t>
      </w:r>
      <w:r w:rsidR="00E02183" w:rsidRPr="006F7791">
        <w:rPr>
          <w:rFonts w:asciiTheme="minorHAnsi" w:hAnsiTheme="minorHAnsi"/>
          <w:b/>
        </w:rPr>
        <w:t xml:space="preserve">πί του συνολικού ανεκτέλεστου </w:t>
      </w:r>
      <w:r w:rsidR="00923F4F" w:rsidRPr="006F7791">
        <w:rPr>
          <w:rFonts w:asciiTheme="minorHAnsi" w:hAnsiTheme="minorHAnsi"/>
          <w:b/>
        </w:rPr>
        <w:t xml:space="preserve">περίπου </w:t>
      </w:r>
      <w:r w:rsidR="006F7791" w:rsidRPr="006F7791">
        <w:rPr>
          <w:rFonts w:asciiTheme="minorHAnsi" w:hAnsiTheme="minorHAnsi"/>
          <w:b/>
        </w:rPr>
        <w:t>6</w:t>
      </w:r>
      <w:r w:rsidR="00DA73AF" w:rsidRPr="006F7791">
        <w:rPr>
          <w:rFonts w:asciiTheme="minorHAnsi" w:hAnsiTheme="minorHAnsi"/>
          <w:b/>
        </w:rPr>
        <w:t>0</w:t>
      </w:r>
      <w:r w:rsidR="00923F4F" w:rsidRPr="006F7791">
        <w:rPr>
          <w:rFonts w:asciiTheme="minorHAnsi" w:hAnsiTheme="minorHAnsi"/>
          <w:b/>
        </w:rPr>
        <w:t xml:space="preserve">% αφορά </w:t>
      </w:r>
      <w:r w:rsidR="00911B5A" w:rsidRPr="006F7791">
        <w:rPr>
          <w:rFonts w:asciiTheme="minorHAnsi" w:eastAsia="Times New Roman" w:hAnsiTheme="minorHAnsi" w:cstheme="minorHAnsi"/>
          <w:b/>
          <w:bCs/>
        </w:rPr>
        <w:t xml:space="preserve">σε </w:t>
      </w:r>
      <w:r w:rsidR="00923F4F" w:rsidRPr="006F7791">
        <w:rPr>
          <w:rFonts w:asciiTheme="minorHAnsi" w:hAnsiTheme="minorHAnsi"/>
          <w:b/>
        </w:rPr>
        <w:t>ιδιωτικά έργα (</w:t>
      </w:r>
      <w:r w:rsidR="007278A6" w:rsidRPr="006F7791">
        <w:rPr>
          <w:rFonts w:asciiTheme="minorHAnsi" w:eastAsia="Times New Roman" w:hAnsiTheme="minorHAnsi" w:cstheme="minorHAnsi"/>
          <w:b/>
          <w:bCs/>
        </w:rPr>
        <w:t>ίδιες επενδύσεις</w:t>
      </w:r>
      <w:r w:rsidR="00923F4F" w:rsidRPr="006F7791">
        <w:rPr>
          <w:rFonts w:asciiTheme="minorHAnsi" w:hAnsiTheme="minorHAnsi"/>
          <w:b/>
        </w:rPr>
        <w:t xml:space="preserve"> και </w:t>
      </w:r>
      <w:r w:rsidR="007278A6" w:rsidRPr="006F7791">
        <w:rPr>
          <w:rFonts w:asciiTheme="minorHAnsi" w:eastAsia="Times New Roman" w:hAnsiTheme="minorHAnsi" w:cstheme="minorHAnsi"/>
          <w:b/>
          <w:bCs/>
        </w:rPr>
        <w:t xml:space="preserve">έργα </w:t>
      </w:r>
      <w:r w:rsidR="00923F4F" w:rsidRPr="006F7791">
        <w:rPr>
          <w:rFonts w:asciiTheme="minorHAnsi" w:hAnsiTheme="minorHAnsi"/>
          <w:b/>
        </w:rPr>
        <w:t>για τρίτους)</w:t>
      </w:r>
      <w:r w:rsidR="00943ECA" w:rsidRPr="006F7791">
        <w:rPr>
          <w:rFonts w:asciiTheme="minorHAnsi" w:hAnsiTheme="minorHAnsi"/>
          <w:b/>
        </w:rPr>
        <w:t>, ενώ άνω του 5</w:t>
      </w:r>
      <w:r w:rsidR="006F7791" w:rsidRPr="006F7791">
        <w:rPr>
          <w:rFonts w:asciiTheme="minorHAnsi" w:hAnsiTheme="minorHAnsi"/>
          <w:b/>
        </w:rPr>
        <w:t>0</w:t>
      </w:r>
      <w:r w:rsidR="00943ECA" w:rsidRPr="006F7791">
        <w:rPr>
          <w:rFonts w:asciiTheme="minorHAnsi" w:hAnsiTheme="minorHAnsi"/>
          <w:b/>
        </w:rPr>
        <w:t xml:space="preserve">% αφορά </w:t>
      </w:r>
      <w:r w:rsidR="00A214EC">
        <w:rPr>
          <w:rFonts w:asciiTheme="minorHAnsi" w:hAnsiTheme="minorHAnsi"/>
          <w:b/>
        </w:rPr>
        <w:t xml:space="preserve">σε </w:t>
      </w:r>
      <w:r w:rsidR="00943ECA" w:rsidRPr="006F7791">
        <w:rPr>
          <w:rFonts w:asciiTheme="minorHAnsi" w:hAnsiTheme="minorHAnsi"/>
          <w:b/>
        </w:rPr>
        <w:t>έργα ιδίων επενδύσεων</w:t>
      </w:r>
      <w:r w:rsidR="00E02183" w:rsidRPr="006F7791">
        <w:rPr>
          <w:rFonts w:asciiTheme="minorHAnsi" w:hAnsiTheme="minorHAnsi"/>
          <w:b/>
        </w:rPr>
        <w:t>.</w:t>
      </w:r>
    </w:p>
    <w:p w:rsidR="00A747DA" w:rsidRPr="00522B68" w:rsidRDefault="00B7673B" w:rsidP="002C29A4">
      <w:pPr>
        <w:spacing w:before="240" w:after="120"/>
        <w:jc w:val="both"/>
        <w:rPr>
          <w:rFonts w:asciiTheme="minorHAnsi" w:hAnsiTheme="minorHAnsi" w:cstheme="minorHAnsi"/>
        </w:rPr>
      </w:pPr>
      <w:r w:rsidRPr="00522B68">
        <w:rPr>
          <w:rFonts w:asciiTheme="minorHAnsi" w:eastAsia="Times New Roman" w:hAnsiTheme="minorHAnsi" w:cstheme="minorHAnsi"/>
          <w:b/>
          <w:bCs/>
        </w:rPr>
        <w:t>Σχετικά με τον τομέα παραχωρήσεων</w:t>
      </w:r>
      <w:r w:rsidRPr="00522B68">
        <w:rPr>
          <w:rFonts w:asciiTheme="minorHAnsi" w:eastAsia="Times New Roman" w:hAnsiTheme="minorHAnsi" w:cstheme="minorHAnsi"/>
        </w:rPr>
        <w:t>, οι διελεύσεις στους αυτοκινητόδρομους (</w:t>
      </w:r>
      <w:r w:rsidR="00EF27E8" w:rsidRPr="00522B68">
        <w:rPr>
          <w:rFonts w:asciiTheme="minorHAnsi" w:eastAsia="Times New Roman" w:hAnsiTheme="minorHAnsi" w:cstheme="minorHAnsi"/>
        </w:rPr>
        <w:t>Νέα</w:t>
      </w:r>
      <w:r w:rsidRPr="00522B68">
        <w:rPr>
          <w:rFonts w:asciiTheme="minorHAnsi" w:eastAsia="Times New Roman" w:hAnsiTheme="minorHAnsi" w:cstheme="minorHAnsi"/>
        </w:rPr>
        <w:t xml:space="preserve"> και Κεντρική Οδό</w:t>
      </w:r>
      <w:r w:rsidR="00EF27E8" w:rsidRPr="00522B68">
        <w:rPr>
          <w:rFonts w:asciiTheme="minorHAnsi" w:eastAsia="Times New Roman" w:hAnsiTheme="minorHAnsi" w:cstheme="minorHAnsi"/>
        </w:rPr>
        <w:t>ς</w:t>
      </w:r>
      <w:r w:rsidRPr="00522B68">
        <w:rPr>
          <w:rFonts w:asciiTheme="minorHAnsi" w:eastAsia="Times New Roman" w:hAnsiTheme="minorHAnsi" w:cstheme="minorHAnsi"/>
        </w:rPr>
        <w:t xml:space="preserve">) </w:t>
      </w:r>
      <w:r w:rsidR="00B151C8" w:rsidRPr="00522B68">
        <w:rPr>
          <w:rFonts w:asciiTheme="minorHAnsi" w:eastAsia="Times New Roman" w:hAnsiTheme="minorHAnsi" w:cstheme="minorHAnsi"/>
        </w:rPr>
        <w:t xml:space="preserve">κατά το </w:t>
      </w:r>
      <w:r w:rsidR="00943ECA">
        <w:rPr>
          <w:rFonts w:asciiTheme="minorHAnsi" w:eastAsia="Times New Roman" w:hAnsiTheme="minorHAnsi" w:cstheme="minorHAnsi"/>
        </w:rPr>
        <w:t>Ενν</w:t>
      </w:r>
      <w:r w:rsidR="00FD2FC1">
        <w:rPr>
          <w:rFonts w:asciiTheme="minorHAnsi" w:eastAsia="Times New Roman" w:hAnsiTheme="minorHAnsi" w:cstheme="minorHAnsi"/>
        </w:rPr>
        <w:t>ε</w:t>
      </w:r>
      <w:r w:rsidR="00943ECA">
        <w:rPr>
          <w:rFonts w:asciiTheme="minorHAnsi" w:eastAsia="Times New Roman" w:hAnsiTheme="minorHAnsi" w:cstheme="minorHAnsi"/>
        </w:rPr>
        <w:t>άμηνο</w:t>
      </w:r>
      <w:r w:rsidR="00554267" w:rsidRPr="00522B68">
        <w:rPr>
          <w:rFonts w:asciiTheme="minorHAnsi" w:eastAsia="Times New Roman" w:hAnsiTheme="minorHAnsi" w:cstheme="minorHAnsi"/>
        </w:rPr>
        <w:t xml:space="preserve"> του τρέχοντος έτους </w:t>
      </w:r>
      <w:r w:rsidRPr="00522B68">
        <w:rPr>
          <w:rFonts w:asciiTheme="minorHAnsi" w:eastAsia="Times New Roman" w:hAnsiTheme="minorHAnsi" w:cstheme="minorHAnsi"/>
        </w:rPr>
        <w:t xml:space="preserve">αυξήθηκαν σε σχέση με την περασμένη χρονιά </w:t>
      </w:r>
      <w:r w:rsidR="00554267" w:rsidRPr="00522B68">
        <w:rPr>
          <w:rFonts w:asciiTheme="minorHAnsi" w:eastAsia="Times New Roman" w:hAnsiTheme="minorHAnsi" w:cstheme="minorHAnsi"/>
        </w:rPr>
        <w:t xml:space="preserve">αποτυπώνοντας την </w:t>
      </w:r>
      <w:r w:rsidR="00297294" w:rsidRPr="00522B68">
        <w:rPr>
          <w:rFonts w:asciiTheme="minorHAnsi" w:eastAsia="Times New Roman" w:hAnsiTheme="minorHAnsi" w:cstheme="minorHAnsi"/>
        </w:rPr>
        <w:t>ενίσχυση</w:t>
      </w:r>
      <w:r w:rsidR="00554267" w:rsidRPr="00522B68">
        <w:rPr>
          <w:rFonts w:asciiTheme="minorHAnsi" w:eastAsia="Times New Roman" w:hAnsiTheme="minorHAnsi" w:cstheme="minorHAnsi"/>
        </w:rPr>
        <w:t xml:space="preserve"> της οικονομικής δραστηριότητας στη χώρα</w:t>
      </w:r>
      <w:r w:rsidR="001B3C8A" w:rsidRPr="00522B68">
        <w:rPr>
          <w:rFonts w:asciiTheme="minorHAnsi" w:eastAsia="Times New Roman" w:hAnsiTheme="minorHAnsi" w:cstheme="minorHAnsi"/>
        </w:rPr>
        <w:t xml:space="preserve"> αλλά και τις βελτιωμένες καιρικές συνθήκες</w:t>
      </w:r>
      <w:r w:rsidR="00554267" w:rsidRPr="00522B68">
        <w:rPr>
          <w:rFonts w:asciiTheme="minorHAnsi" w:eastAsia="Times New Roman" w:hAnsiTheme="minorHAnsi" w:cstheme="minorHAnsi"/>
        </w:rPr>
        <w:t>.</w:t>
      </w:r>
      <w:r w:rsidR="007278A6">
        <w:rPr>
          <w:rFonts w:asciiTheme="minorHAnsi" w:eastAsia="Times New Roman" w:hAnsiTheme="minorHAnsi" w:cstheme="minorHAnsi"/>
        </w:rPr>
        <w:t>Ε</w:t>
      </w:r>
      <w:r w:rsidR="00911B5A">
        <w:rPr>
          <w:rFonts w:asciiTheme="minorHAnsi" w:eastAsia="Times New Roman" w:hAnsiTheme="minorHAnsi" w:cstheme="minorHAnsi"/>
        </w:rPr>
        <w:t>πίσης,</w:t>
      </w:r>
      <w:r w:rsidR="009E5EB3" w:rsidRPr="00522B68">
        <w:rPr>
          <w:rFonts w:asciiTheme="minorHAnsi" w:eastAsia="Times New Roman" w:hAnsiTheme="minorHAnsi" w:cstheme="minorHAnsi"/>
        </w:rPr>
        <w:t xml:space="preserve"> έχ</w:t>
      </w:r>
      <w:r w:rsidR="00911B5A">
        <w:rPr>
          <w:rFonts w:asciiTheme="minorHAnsi" w:eastAsia="Times New Roman" w:hAnsiTheme="minorHAnsi" w:cstheme="minorHAnsi"/>
        </w:rPr>
        <w:t>ουν</w:t>
      </w:r>
      <w:r w:rsidR="009E5EB3" w:rsidRPr="00522B68">
        <w:rPr>
          <w:rFonts w:asciiTheme="minorHAnsi" w:eastAsia="Times New Roman" w:hAnsiTheme="minorHAnsi" w:cstheme="minorHAnsi"/>
        </w:rPr>
        <w:t xml:space="preserve"> πλέον τεθεί σε λειτουργία </w:t>
      </w:r>
      <w:r w:rsidR="00911B5A">
        <w:rPr>
          <w:rFonts w:asciiTheme="minorHAnsi" w:eastAsia="Times New Roman" w:hAnsiTheme="minorHAnsi" w:cstheme="minorHAnsi"/>
        </w:rPr>
        <w:t xml:space="preserve">και οι </w:t>
      </w:r>
      <w:r w:rsidR="00837F63">
        <w:rPr>
          <w:rFonts w:asciiTheme="minorHAnsi" w:eastAsia="Times New Roman" w:hAnsiTheme="minorHAnsi" w:cstheme="minorHAnsi"/>
        </w:rPr>
        <w:t>τρεις (</w:t>
      </w:r>
      <w:r w:rsidR="00911B5A">
        <w:rPr>
          <w:rFonts w:asciiTheme="minorHAnsi" w:eastAsia="Times New Roman" w:hAnsiTheme="minorHAnsi" w:cstheme="minorHAnsi"/>
        </w:rPr>
        <w:t>3</w:t>
      </w:r>
      <w:r w:rsidR="00837F63">
        <w:rPr>
          <w:rFonts w:asciiTheme="minorHAnsi" w:eastAsia="Times New Roman" w:hAnsiTheme="minorHAnsi" w:cstheme="minorHAnsi"/>
        </w:rPr>
        <w:t>)</w:t>
      </w:r>
      <w:r w:rsidR="00911B5A">
        <w:rPr>
          <w:rFonts w:asciiTheme="minorHAnsi" w:eastAsia="Times New Roman" w:hAnsiTheme="minorHAnsi" w:cstheme="minorHAnsi"/>
        </w:rPr>
        <w:t xml:space="preserve"> μονάδες δ</w:t>
      </w:r>
      <w:r w:rsidR="009E5EB3" w:rsidRPr="00522B68">
        <w:rPr>
          <w:rFonts w:asciiTheme="minorHAnsi" w:eastAsia="Times New Roman" w:hAnsiTheme="minorHAnsi" w:cstheme="minorHAnsi"/>
        </w:rPr>
        <w:t xml:space="preserve">ιαχείρισης απορριμμάτων </w:t>
      </w:r>
      <w:r w:rsidR="00911B5A">
        <w:rPr>
          <w:rFonts w:asciiTheme="minorHAnsi" w:eastAsia="Times New Roman" w:hAnsiTheme="minorHAnsi" w:cstheme="minorHAnsi"/>
        </w:rPr>
        <w:t xml:space="preserve">του έργου </w:t>
      </w:r>
      <w:r w:rsidR="009E5EB3" w:rsidRPr="00522B68">
        <w:rPr>
          <w:rFonts w:asciiTheme="minorHAnsi" w:eastAsia="Times New Roman" w:hAnsiTheme="minorHAnsi" w:cstheme="minorHAnsi"/>
        </w:rPr>
        <w:t xml:space="preserve">στην </w:t>
      </w:r>
      <w:r w:rsidR="00911B5A">
        <w:rPr>
          <w:rFonts w:asciiTheme="minorHAnsi" w:eastAsia="Times New Roman" w:hAnsiTheme="minorHAnsi" w:cstheme="minorHAnsi"/>
        </w:rPr>
        <w:t>Περιφέρεια</w:t>
      </w:r>
      <w:r w:rsidR="009E5EB3" w:rsidRPr="00522B68">
        <w:rPr>
          <w:rFonts w:asciiTheme="minorHAnsi" w:eastAsia="Times New Roman" w:hAnsiTheme="minorHAnsi" w:cstheme="minorHAnsi"/>
        </w:rPr>
        <w:t xml:space="preserve"> Πελοπ</w:t>
      </w:r>
      <w:r w:rsidR="00911B5A">
        <w:rPr>
          <w:rFonts w:asciiTheme="minorHAnsi" w:eastAsia="Times New Roman" w:hAnsiTheme="minorHAnsi" w:cstheme="minorHAnsi"/>
        </w:rPr>
        <w:t>ο</w:t>
      </w:r>
      <w:r w:rsidR="009E5EB3" w:rsidRPr="00522B68">
        <w:rPr>
          <w:rFonts w:asciiTheme="minorHAnsi" w:eastAsia="Times New Roman" w:hAnsiTheme="minorHAnsi" w:cstheme="minorHAnsi"/>
        </w:rPr>
        <w:t>νν</w:t>
      </w:r>
      <w:r w:rsidR="00911B5A">
        <w:rPr>
          <w:rFonts w:asciiTheme="minorHAnsi" w:eastAsia="Times New Roman" w:hAnsiTheme="minorHAnsi" w:cstheme="minorHAnsi"/>
        </w:rPr>
        <w:t xml:space="preserve">ήσου. </w:t>
      </w:r>
      <w:r w:rsidR="003E650A" w:rsidRPr="00522B68">
        <w:rPr>
          <w:rFonts w:asciiTheme="minorHAnsi" w:eastAsia="Times New Roman" w:hAnsiTheme="minorHAnsi" w:cstheme="minorHAnsi"/>
        </w:rPr>
        <w:t>Ακόμα</w:t>
      </w:r>
      <w:r w:rsidR="00911B5A">
        <w:rPr>
          <w:rFonts w:asciiTheme="minorHAnsi" w:eastAsia="Times New Roman" w:hAnsiTheme="minorHAnsi" w:cstheme="minorHAnsi"/>
        </w:rPr>
        <w:t>,</w:t>
      </w:r>
      <w:r w:rsidR="009E5EB3" w:rsidRPr="00522B68">
        <w:rPr>
          <w:rFonts w:asciiTheme="minorHAnsi" w:eastAsia="Times New Roman" w:hAnsiTheme="minorHAnsi" w:cstheme="minorHAnsi"/>
        </w:rPr>
        <w:t xml:space="preserve">συνεχίστηκε η ανάπτυξη νέων έργων </w:t>
      </w:r>
      <w:r w:rsidR="0065138A" w:rsidRPr="00522B68">
        <w:rPr>
          <w:rFonts w:asciiTheme="minorHAnsi" w:eastAsia="Times New Roman" w:hAnsiTheme="minorHAnsi" w:cstheme="minorHAnsi"/>
        </w:rPr>
        <w:t xml:space="preserve">όπως το Νέο Διεθνές Αεροδρόμιο στο Καστέλι όπου η πρόοδος των εργασιών </w:t>
      </w:r>
      <w:r w:rsidR="006F7791" w:rsidRPr="006F7791">
        <w:rPr>
          <w:rFonts w:asciiTheme="minorHAnsi" w:eastAsia="Times New Roman" w:hAnsiTheme="minorHAnsi" w:cstheme="minorHAnsi"/>
        </w:rPr>
        <w:t>πλησιάζει</w:t>
      </w:r>
      <w:r w:rsidR="0065138A" w:rsidRPr="006F7791">
        <w:rPr>
          <w:rFonts w:asciiTheme="minorHAnsi" w:eastAsia="Times New Roman" w:hAnsiTheme="minorHAnsi" w:cstheme="minorHAnsi"/>
        </w:rPr>
        <w:t xml:space="preserve">πλέον </w:t>
      </w:r>
      <w:r w:rsidR="000E724F" w:rsidRPr="006F7791">
        <w:rPr>
          <w:rFonts w:asciiTheme="minorHAnsi" w:eastAsia="Times New Roman" w:hAnsiTheme="minorHAnsi" w:cstheme="minorHAnsi"/>
        </w:rPr>
        <w:t>το</w:t>
      </w:r>
      <w:r w:rsidR="006F7791" w:rsidRPr="006F7791">
        <w:rPr>
          <w:rFonts w:asciiTheme="minorHAnsi" w:eastAsia="Times New Roman" w:hAnsiTheme="minorHAnsi" w:cstheme="minorHAnsi"/>
        </w:rPr>
        <w:t>3</w:t>
      </w:r>
      <w:r w:rsidR="000E724F" w:rsidRPr="006F7791">
        <w:rPr>
          <w:rFonts w:asciiTheme="minorHAnsi" w:eastAsia="Times New Roman" w:hAnsiTheme="minorHAnsi" w:cstheme="minorHAnsi"/>
        </w:rPr>
        <w:t>0%</w:t>
      </w:r>
      <w:r w:rsidR="0065138A" w:rsidRPr="006F7791">
        <w:rPr>
          <w:rFonts w:asciiTheme="minorHAnsi" w:eastAsia="Times New Roman" w:hAnsiTheme="minorHAnsi" w:cstheme="minorHAnsi"/>
        </w:rPr>
        <w:t>, ενώ σύντομα</w:t>
      </w:r>
      <w:r w:rsidR="0065138A" w:rsidRPr="00522B68">
        <w:rPr>
          <w:rFonts w:asciiTheme="minorHAnsi" w:eastAsia="Times New Roman" w:hAnsiTheme="minorHAnsi" w:cstheme="minorHAnsi"/>
        </w:rPr>
        <w:t xml:space="preserve"> αναμένεται η έναρξη εργασιών για το Ολοκληρωμένο Τουριστικό Συγκρότημα στο Ελληνικό. Σε σχέση με το έργο της Εγνατίας Οδού, </w:t>
      </w:r>
      <w:r w:rsidR="0065138A" w:rsidRPr="00522B68">
        <w:rPr>
          <w:rFonts w:asciiTheme="minorHAnsi" w:hAnsiTheme="minorHAnsi" w:cstheme="minorHAnsi"/>
        </w:rPr>
        <w:t xml:space="preserve">έχουν προσκομιστεί όλα τα απαραίτητα έγγραφα για τη χρηματοδότηση και </w:t>
      </w:r>
      <w:r w:rsidR="003D460C">
        <w:rPr>
          <w:rFonts w:asciiTheme="minorHAnsi" w:hAnsiTheme="minorHAnsi" w:cstheme="minorHAnsi"/>
        </w:rPr>
        <w:t xml:space="preserve">της παραχώρησης </w:t>
      </w:r>
      <w:r w:rsidR="0065138A" w:rsidRPr="00522B68">
        <w:rPr>
          <w:rFonts w:asciiTheme="minorHAnsi" w:hAnsiTheme="minorHAnsi" w:cstheme="minorHAnsi"/>
        </w:rPr>
        <w:t>της Εγνατίας Οδού κι αναμένεται η ολοκλήρωση των απαιτούμενων διαδικασιών από την πλευρά της Πολιτείας</w:t>
      </w:r>
      <w:r w:rsidR="003D460C">
        <w:rPr>
          <w:rFonts w:asciiTheme="minorHAnsi" w:hAnsiTheme="minorHAnsi" w:cstheme="minorHAnsi"/>
        </w:rPr>
        <w:t>.</w:t>
      </w:r>
      <w:r w:rsidR="00943ECA">
        <w:rPr>
          <w:rFonts w:asciiTheme="minorHAnsi" w:hAnsiTheme="minorHAnsi" w:cstheme="minorHAnsi"/>
        </w:rPr>
        <w:t xml:space="preserve"> Ακόμα </w:t>
      </w:r>
      <w:r w:rsidR="0065138A" w:rsidRPr="00522B68">
        <w:rPr>
          <w:rFonts w:asciiTheme="minorHAnsi" w:hAnsiTheme="minorHAnsi" w:cstheme="minorHAnsi"/>
        </w:rPr>
        <w:t xml:space="preserve">εντός του </w:t>
      </w:r>
      <w:r w:rsidR="00943ECA">
        <w:rPr>
          <w:rFonts w:asciiTheme="minorHAnsi" w:hAnsiTheme="minorHAnsi" w:cstheme="minorHAnsi"/>
        </w:rPr>
        <w:t>έτους</w:t>
      </w:r>
      <w:r w:rsidR="0065138A" w:rsidRPr="00522B68">
        <w:rPr>
          <w:rFonts w:asciiTheme="minorHAnsi" w:hAnsiTheme="minorHAnsi" w:cstheme="minorHAnsi"/>
        </w:rPr>
        <w:t xml:space="preserve"> υπογράφηκε η σύμβαση για την κατασκευή και παραχώρησή για 30 έτη του οδικού άξονα Χερσόνησος-Νεάπολη</w:t>
      </w:r>
      <w:r w:rsidR="00FA2B26">
        <w:rPr>
          <w:rFonts w:asciiTheme="minorHAnsi" w:hAnsiTheme="minorHAnsi" w:cstheme="minorHAnsi"/>
        </w:rPr>
        <w:t>,</w:t>
      </w:r>
      <w:r w:rsidR="0065138A" w:rsidRPr="00522B68">
        <w:rPr>
          <w:rFonts w:asciiTheme="minorHAnsi" w:hAnsiTheme="minorHAnsi" w:cstheme="minorHAnsi"/>
        </w:rPr>
        <w:t xml:space="preserve"> όπου η ΓΕΚ ΤΕΡΝΑ συμμετέχει με </w:t>
      </w:r>
      <w:r w:rsidR="0065138A" w:rsidRPr="00522B68">
        <w:rPr>
          <w:rFonts w:asciiTheme="minorHAnsi" w:hAnsiTheme="minorHAnsi" w:cstheme="minorHAnsi"/>
        </w:rPr>
        <w:lastRenderedPageBreak/>
        <w:t>ποσοστό 55%</w:t>
      </w:r>
      <w:r w:rsidR="003D460C">
        <w:rPr>
          <w:rFonts w:asciiTheme="minorHAnsi" w:hAnsiTheme="minorHAnsi" w:cstheme="minorHAnsi"/>
        </w:rPr>
        <w:t>, ενώ νωρίτερα σήμερα</w:t>
      </w:r>
      <w:r w:rsidR="003D460C" w:rsidRPr="009655DC">
        <w:rPr>
          <w:rFonts w:asciiTheme="minorHAnsi" w:hAnsiTheme="minorHAnsi" w:cstheme="minorHAnsi"/>
        </w:rPr>
        <w:t xml:space="preserve">πραγματοποιήθηκε η υπογραφή της σύμβασης </w:t>
      </w:r>
      <w:proofErr w:type="spellStart"/>
      <w:r w:rsidR="003D460C" w:rsidRPr="009655DC">
        <w:rPr>
          <w:rFonts w:asciiTheme="minorHAnsi" w:hAnsiTheme="minorHAnsi" w:cstheme="minorHAnsi"/>
        </w:rPr>
        <w:t>υπο</w:t>
      </w:r>
      <w:proofErr w:type="spellEnd"/>
      <w:r w:rsidR="003D460C" w:rsidRPr="009655DC">
        <w:rPr>
          <w:rFonts w:asciiTheme="minorHAnsi" w:hAnsiTheme="minorHAnsi" w:cstheme="minorHAnsi"/>
        </w:rPr>
        <w:t>-παραχώρησης για την αξιοποίηση του λιμένα «Φίλιππος Β» του Οργανισμού Λιμένος Καβάλας (ΟΛΚ Α.Ε.)</w:t>
      </w:r>
      <w:r w:rsidR="003D460C">
        <w:rPr>
          <w:rFonts w:asciiTheme="minorHAnsi" w:hAnsiTheme="minorHAnsi" w:cstheme="minorHAnsi"/>
        </w:rPr>
        <w:t xml:space="preserve"> για 40 έτη</w:t>
      </w:r>
      <w:r w:rsidR="003D460C" w:rsidRPr="009655DC">
        <w:rPr>
          <w:rFonts w:asciiTheme="minorHAnsi" w:hAnsiTheme="minorHAnsi" w:cstheme="minorHAnsi"/>
        </w:rPr>
        <w:t xml:space="preserve">, </w:t>
      </w:r>
      <w:r w:rsidR="003D460C">
        <w:rPr>
          <w:rFonts w:asciiTheme="minorHAnsi" w:hAnsiTheme="minorHAnsi" w:cstheme="minorHAnsi"/>
        </w:rPr>
        <w:t xml:space="preserve">όπου η ΓΕΚ ΤΕΡΝΑ συμμετέχει στην κοινοπραξία με ποσοστό 35%. </w:t>
      </w:r>
      <w:r w:rsidR="001D684E">
        <w:rPr>
          <w:rFonts w:asciiTheme="minorHAnsi" w:hAnsiTheme="minorHAnsi" w:cstheme="minorHAnsi"/>
        </w:rPr>
        <w:t xml:space="preserve">Τέλος </w:t>
      </w:r>
      <w:r w:rsidR="001D684E" w:rsidRPr="001D684E">
        <w:rPr>
          <w:rFonts w:asciiTheme="minorHAnsi" w:hAnsiTheme="minorHAnsi" w:cstheme="minorHAnsi"/>
          <w:b/>
          <w:bCs/>
        </w:rPr>
        <w:t>ό</w:t>
      </w:r>
      <w:r w:rsidR="00943ECA">
        <w:rPr>
          <w:rFonts w:asciiTheme="minorHAnsi" w:hAnsiTheme="minorHAnsi" w:cstheme="minorHAnsi"/>
          <w:b/>
          <w:bCs/>
        </w:rPr>
        <w:t xml:space="preserve">σον αφορά </w:t>
      </w:r>
      <w:r w:rsidR="003D460C">
        <w:rPr>
          <w:rFonts w:asciiTheme="minorHAnsi" w:hAnsiTheme="minorHAnsi" w:cstheme="minorHAnsi"/>
          <w:b/>
          <w:bCs/>
        </w:rPr>
        <w:t>σ</w:t>
      </w:r>
      <w:r w:rsidR="00943ECA">
        <w:rPr>
          <w:rFonts w:asciiTheme="minorHAnsi" w:hAnsiTheme="minorHAnsi" w:cstheme="minorHAnsi"/>
          <w:b/>
          <w:bCs/>
        </w:rPr>
        <w:t xml:space="preserve">την παραχώρηση της Αττικής Οδού </w:t>
      </w:r>
      <w:r w:rsidR="00943ECA" w:rsidRPr="00943ECA">
        <w:rPr>
          <w:rFonts w:asciiTheme="minorHAnsi" w:hAnsiTheme="minorHAnsi" w:cstheme="minorHAnsi"/>
        </w:rPr>
        <w:t xml:space="preserve">(ο </w:t>
      </w:r>
      <w:r w:rsidR="00854405" w:rsidRPr="00943ECA">
        <w:rPr>
          <w:rFonts w:asciiTheme="minorHAnsi" w:hAnsiTheme="minorHAnsi" w:cstheme="minorHAnsi"/>
        </w:rPr>
        <w:t>Όμιλος</w:t>
      </w:r>
      <w:r w:rsidR="00A747DA" w:rsidRPr="00943ECA">
        <w:rPr>
          <w:rFonts w:asciiTheme="minorHAnsi" w:hAnsiTheme="minorHAnsi" w:cstheme="minorHAnsi"/>
        </w:rPr>
        <w:t xml:space="preserve"> ανακ</w:t>
      </w:r>
      <w:r w:rsidR="006F7791">
        <w:rPr>
          <w:rFonts w:asciiTheme="minorHAnsi" w:hAnsiTheme="minorHAnsi" w:cstheme="minorHAnsi"/>
        </w:rPr>
        <w:t>η</w:t>
      </w:r>
      <w:r w:rsidR="00A747DA" w:rsidRPr="00943ECA">
        <w:rPr>
          <w:rFonts w:asciiTheme="minorHAnsi" w:hAnsiTheme="minorHAnsi" w:cstheme="minorHAnsi"/>
        </w:rPr>
        <w:t>ρ</w:t>
      </w:r>
      <w:r w:rsidR="006F7791">
        <w:rPr>
          <w:rFonts w:asciiTheme="minorHAnsi" w:hAnsiTheme="minorHAnsi" w:cstheme="minorHAnsi"/>
        </w:rPr>
        <w:t>ύ</w:t>
      </w:r>
      <w:r w:rsidR="00943ECA" w:rsidRPr="00943ECA">
        <w:rPr>
          <w:rFonts w:asciiTheme="minorHAnsi" w:hAnsiTheme="minorHAnsi" w:cstheme="minorHAnsi"/>
        </w:rPr>
        <w:t>χθηκε</w:t>
      </w:r>
      <w:r w:rsidR="00A747DA" w:rsidRPr="00943ECA">
        <w:rPr>
          <w:rFonts w:asciiTheme="minorHAnsi" w:hAnsiTheme="minorHAnsi" w:cstheme="minorHAnsi"/>
        </w:rPr>
        <w:t xml:space="preserve"> προτιμητέο</w:t>
      </w:r>
      <w:r w:rsidR="00943ECA" w:rsidRPr="00943ECA">
        <w:rPr>
          <w:rFonts w:asciiTheme="minorHAnsi" w:hAnsiTheme="minorHAnsi" w:cstheme="minorHAnsi"/>
        </w:rPr>
        <w:t>ς</w:t>
      </w:r>
      <w:r w:rsidR="00A747DA" w:rsidRPr="00943ECA">
        <w:rPr>
          <w:rFonts w:asciiTheme="minorHAnsi" w:hAnsiTheme="minorHAnsi" w:cstheme="minorHAnsi"/>
        </w:rPr>
        <w:t xml:space="preserve"> επενδυτή</w:t>
      </w:r>
      <w:r w:rsidR="00943ECA" w:rsidRPr="00943ECA">
        <w:rPr>
          <w:rFonts w:asciiTheme="minorHAnsi" w:hAnsiTheme="minorHAnsi" w:cstheme="minorHAnsi"/>
        </w:rPr>
        <w:t>ς</w:t>
      </w:r>
      <w:r w:rsidR="00A747DA" w:rsidRPr="00943ECA">
        <w:rPr>
          <w:rFonts w:asciiTheme="minorHAnsi" w:hAnsiTheme="minorHAnsi" w:cstheme="minorHAnsi"/>
        </w:rPr>
        <w:t xml:space="preserve"> για την ανάθεση σύμβασης παραχώρησης υπηρεσιών για τη χρηματοδότηση, λειτουργία, συντήρηση και εκμετάλλευση της Αττικής Οδού για χρονικό διάστημα 25 ετών</w:t>
      </w:r>
      <w:r w:rsidR="00943ECA">
        <w:rPr>
          <w:rFonts w:asciiTheme="minorHAnsi" w:hAnsiTheme="minorHAnsi" w:cstheme="minorHAnsi"/>
        </w:rPr>
        <w:t>) προχωράει η προετοιμασία για την υπογραφή της σύμ</w:t>
      </w:r>
      <w:r w:rsidR="006F7791">
        <w:rPr>
          <w:rFonts w:asciiTheme="minorHAnsi" w:hAnsiTheme="minorHAnsi" w:cstheme="minorHAnsi"/>
        </w:rPr>
        <w:t>β</w:t>
      </w:r>
      <w:r w:rsidR="00943ECA">
        <w:rPr>
          <w:rFonts w:asciiTheme="minorHAnsi" w:hAnsiTheme="minorHAnsi" w:cstheme="minorHAnsi"/>
        </w:rPr>
        <w:t>ασης παραχώρησης εντός του 2024</w:t>
      </w:r>
      <w:r w:rsidR="001D684E">
        <w:rPr>
          <w:rFonts w:asciiTheme="minorHAnsi" w:hAnsiTheme="minorHAnsi" w:cstheme="minorHAnsi"/>
        </w:rPr>
        <w:t xml:space="preserve"> σύμφωνα με το χρον</w:t>
      </w:r>
      <w:r w:rsidR="006F7791">
        <w:rPr>
          <w:rFonts w:asciiTheme="minorHAnsi" w:hAnsiTheme="minorHAnsi" w:cstheme="minorHAnsi"/>
        </w:rPr>
        <w:t>ο</w:t>
      </w:r>
      <w:r w:rsidR="001D684E">
        <w:rPr>
          <w:rFonts w:asciiTheme="minorHAnsi" w:hAnsiTheme="minorHAnsi" w:cstheme="minorHAnsi"/>
        </w:rPr>
        <w:t>διάγραμμα του διαγωνισμού</w:t>
      </w:r>
      <w:r w:rsidR="00943ECA">
        <w:rPr>
          <w:rFonts w:asciiTheme="minorHAnsi" w:hAnsiTheme="minorHAnsi" w:cstheme="minorHAnsi"/>
        </w:rPr>
        <w:t>.</w:t>
      </w:r>
    </w:p>
    <w:p w:rsidR="00355D6F" w:rsidRPr="00522B68" w:rsidRDefault="00960C1C" w:rsidP="002C29A4">
      <w:pPr>
        <w:jc w:val="both"/>
        <w:rPr>
          <w:rFonts w:asciiTheme="minorHAnsi" w:hAnsiTheme="minorHAnsi" w:cstheme="minorHAnsi"/>
        </w:rPr>
      </w:pPr>
      <w:r w:rsidRPr="00522B68">
        <w:rPr>
          <w:rFonts w:asciiTheme="minorHAnsi" w:hAnsiTheme="minorHAnsi" w:cstheme="minorHAnsi"/>
          <w:b/>
          <w:bCs/>
        </w:rPr>
        <w:t xml:space="preserve">Στον τομέα </w:t>
      </w:r>
      <w:r w:rsidR="006373AB" w:rsidRPr="00522B68">
        <w:rPr>
          <w:rFonts w:asciiTheme="minorHAnsi" w:hAnsiTheme="minorHAnsi" w:cstheme="minorHAnsi"/>
          <w:b/>
          <w:bCs/>
        </w:rPr>
        <w:t xml:space="preserve">παραγωγής και εμπορίας </w:t>
      </w:r>
      <w:r w:rsidRPr="00522B68">
        <w:rPr>
          <w:rFonts w:asciiTheme="minorHAnsi" w:hAnsiTheme="minorHAnsi" w:cstheme="minorHAnsi"/>
          <w:b/>
          <w:bCs/>
        </w:rPr>
        <w:t>ενέργειας</w:t>
      </w:r>
      <w:r w:rsidR="006373AB" w:rsidRPr="00522B68">
        <w:rPr>
          <w:rFonts w:asciiTheme="minorHAnsi" w:hAnsiTheme="minorHAnsi" w:cstheme="minorHAnsi"/>
          <w:b/>
          <w:bCs/>
        </w:rPr>
        <w:t xml:space="preserve"> (ηλεκτρισμού και φυσικού αερίου) στην Ελλάδα και το </w:t>
      </w:r>
      <w:r w:rsidR="00FA2B26">
        <w:rPr>
          <w:rFonts w:asciiTheme="minorHAnsi" w:hAnsiTheme="minorHAnsi" w:cstheme="minorHAnsi"/>
          <w:b/>
          <w:bCs/>
        </w:rPr>
        <w:t>ε</w:t>
      </w:r>
      <w:r w:rsidR="006373AB" w:rsidRPr="00522B68">
        <w:rPr>
          <w:rFonts w:asciiTheme="minorHAnsi" w:hAnsiTheme="minorHAnsi" w:cstheme="minorHAnsi"/>
          <w:b/>
          <w:bCs/>
        </w:rPr>
        <w:t>ξωτερικό</w:t>
      </w:r>
      <w:r w:rsidRPr="00522B68">
        <w:rPr>
          <w:rFonts w:asciiTheme="minorHAnsi" w:hAnsiTheme="minorHAnsi" w:cstheme="minorHAnsi"/>
          <w:b/>
          <w:bCs/>
        </w:rPr>
        <w:t>,</w:t>
      </w:r>
      <w:r w:rsidR="009A34F3" w:rsidRPr="00522B68">
        <w:rPr>
          <w:rFonts w:asciiTheme="minorHAnsi" w:hAnsiTheme="minorHAnsi" w:cstheme="minorHAnsi"/>
        </w:rPr>
        <w:t xml:space="preserve">η ζήτηση ρεύματος στην Ελλάδα </w:t>
      </w:r>
      <w:r w:rsidR="001B3C8A" w:rsidRPr="00522B68">
        <w:rPr>
          <w:rFonts w:asciiTheme="minorHAnsi" w:hAnsiTheme="minorHAnsi" w:cstheme="minorHAnsi"/>
        </w:rPr>
        <w:t xml:space="preserve">μειώθηκε </w:t>
      </w:r>
      <w:r w:rsidR="009A34F3" w:rsidRPr="00522B68">
        <w:rPr>
          <w:rFonts w:asciiTheme="minorHAnsi" w:hAnsiTheme="minorHAnsi" w:cstheme="minorHAnsi"/>
        </w:rPr>
        <w:t xml:space="preserve">κατά </w:t>
      </w:r>
      <w:r w:rsidR="001D684E">
        <w:rPr>
          <w:rFonts w:asciiTheme="minorHAnsi" w:hAnsiTheme="minorHAnsi" w:cstheme="minorHAnsi"/>
        </w:rPr>
        <w:t>3</w:t>
      </w:r>
      <w:r w:rsidR="009A34F3" w:rsidRPr="00522B68">
        <w:rPr>
          <w:rFonts w:asciiTheme="minorHAnsi" w:hAnsiTheme="minorHAnsi" w:cstheme="minorHAnsi"/>
        </w:rPr>
        <w:t>,</w:t>
      </w:r>
      <w:r w:rsidR="001D684E">
        <w:rPr>
          <w:rFonts w:asciiTheme="minorHAnsi" w:hAnsiTheme="minorHAnsi" w:cstheme="minorHAnsi"/>
        </w:rPr>
        <w:t>7</w:t>
      </w:r>
      <w:r w:rsidR="009A34F3" w:rsidRPr="00522B68">
        <w:rPr>
          <w:rFonts w:asciiTheme="minorHAnsi" w:hAnsiTheme="minorHAnsi" w:cstheme="minorHAnsi"/>
        </w:rPr>
        <w:t xml:space="preserve">% το </w:t>
      </w:r>
      <w:r w:rsidR="001D684E">
        <w:rPr>
          <w:rFonts w:asciiTheme="minorHAnsi" w:hAnsiTheme="minorHAnsi" w:cstheme="minorHAnsi"/>
        </w:rPr>
        <w:t>Εν</w:t>
      </w:r>
      <w:r w:rsidR="003D460C">
        <w:rPr>
          <w:rFonts w:asciiTheme="minorHAnsi" w:hAnsiTheme="minorHAnsi" w:cstheme="minorHAnsi"/>
        </w:rPr>
        <w:t>νε</w:t>
      </w:r>
      <w:r w:rsidR="001D684E">
        <w:rPr>
          <w:rFonts w:asciiTheme="minorHAnsi" w:hAnsiTheme="minorHAnsi" w:cstheme="minorHAnsi"/>
        </w:rPr>
        <w:t>άμηνο</w:t>
      </w:r>
      <w:r w:rsidR="009A34F3" w:rsidRPr="00522B68">
        <w:rPr>
          <w:rFonts w:asciiTheme="minorHAnsi" w:hAnsiTheme="minorHAnsi" w:cstheme="minorHAnsi"/>
        </w:rPr>
        <w:t xml:space="preserve"> του έτους </w:t>
      </w:r>
      <w:r w:rsidR="00DA639E" w:rsidRPr="00522B68">
        <w:rPr>
          <w:rFonts w:asciiTheme="minorHAnsi" w:hAnsiTheme="minorHAnsi" w:cstheme="minorHAnsi"/>
        </w:rPr>
        <w:t>ως</w:t>
      </w:r>
      <w:r w:rsidR="009A34F3" w:rsidRPr="00522B68">
        <w:rPr>
          <w:rFonts w:asciiTheme="minorHAnsi" w:hAnsiTheme="minorHAnsi" w:cstheme="minorHAnsi"/>
        </w:rPr>
        <w:t xml:space="preserve"> αποτέλεσμα των</w:t>
      </w:r>
      <w:r w:rsidR="001D684E">
        <w:rPr>
          <w:rFonts w:asciiTheme="minorHAnsi" w:hAnsiTheme="minorHAnsi" w:cstheme="minorHAnsi"/>
        </w:rPr>
        <w:t>ηπιότερων θερμοκρασιών κατά τη χειμερινή περίοδο</w:t>
      </w:r>
      <w:r w:rsidR="00DA639E" w:rsidRPr="00522B68">
        <w:rPr>
          <w:rFonts w:asciiTheme="minorHAnsi" w:hAnsiTheme="minorHAnsi" w:cstheme="minorHAnsi"/>
        </w:rPr>
        <w:t>,</w:t>
      </w:r>
      <w:r w:rsidR="002E52E0" w:rsidRPr="00522B68">
        <w:rPr>
          <w:rFonts w:asciiTheme="minorHAnsi" w:hAnsiTheme="minorHAnsi" w:cstheme="minorHAnsi"/>
        </w:rPr>
        <w:t xml:space="preserve"> αλλά και των μέτρων εξοικονόμησης ενέργειας</w:t>
      </w:r>
      <w:r w:rsidR="001B3C8A" w:rsidRPr="00522B68">
        <w:rPr>
          <w:rFonts w:asciiTheme="minorHAnsi" w:hAnsiTheme="minorHAnsi" w:cstheme="minorHAnsi"/>
        </w:rPr>
        <w:t>.</w:t>
      </w:r>
      <w:r w:rsidR="001D684E">
        <w:rPr>
          <w:rFonts w:asciiTheme="minorHAnsi" w:hAnsiTheme="minorHAnsi" w:cstheme="minorHAnsi"/>
        </w:rPr>
        <w:t xml:space="preserve"> Αξίζει να σημειωθεί ότι κατ</w:t>
      </w:r>
      <w:r w:rsidR="006F7791">
        <w:rPr>
          <w:rFonts w:asciiTheme="minorHAnsi" w:hAnsiTheme="minorHAnsi" w:cstheme="minorHAnsi"/>
        </w:rPr>
        <w:t>ά</w:t>
      </w:r>
      <w:r w:rsidR="001D684E">
        <w:rPr>
          <w:rFonts w:asciiTheme="minorHAnsi" w:hAnsiTheme="minorHAnsi" w:cstheme="minorHAnsi"/>
        </w:rPr>
        <w:t xml:space="preserve"> το Γ΄Τρίμηνο του έτους η ζήτηση αυξήθηκε κατά 5,5% λόγο υψηλ</w:t>
      </w:r>
      <w:r w:rsidR="006F7791">
        <w:rPr>
          <w:rFonts w:asciiTheme="minorHAnsi" w:hAnsiTheme="minorHAnsi" w:cstheme="minorHAnsi"/>
        </w:rPr>
        <w:t>ό</w:t>
      </w:r>
      <w:r w:rsidR="001D684E">
        <w:rPr>
          <w:rFonts w:asciiTheme="minorHAnsi" w:hAnsiTheme="minorHAnsi" w:cstheme="minorHAnsi"/>
        </w:rPr>
        <w:t>τερων θερμοκρασιών.</w:t>
      </w:r>
      <w:r w:rsidR="00297294" w:rsidRPr="00522B68">
        <w:rPr>
          <w:rFonts w:asciiTheme="minorHAnsi" w:hAnsiTheme="minorHAnsi" w:cstheme="minorHAnsi"/>
        </w:rPr>
        <w:t>Παρά τη μειωμένη ζήτηση</w:t>
      </w:r>
      <w:r w:rsidR="001D684E">
        <w:rPr>
          <w:rFonts w:asciiTheme="minorHAnsi" w:hAnsiTheme="minorHAnsi" w:cstheme="minorHAnsi"/>
        </w:rPr>
        <w:t xml:space="preserve"> της αγοράς</w:t>
      </w:r>
      <w:r w:rsidR="00297294" w:rsidRPr="00522B68">
        <w:rPr>
          <w:rFonts w:asciiTheme="minorHAnsi" w:hAnsiTheme="minorHAnsi" w:cstheme="minorHAnsi"/>
        </w:rPr>
        <w:t xml:space="preserve">, </w:t>
      </w:r>
      <w:r w:rsidR="00297294" w:rsidRPr="002C29A4">
        <w:rPr>
          <w:rFonts w:asciiTheme="minorHAnsi" w:hAnsiTheme="minorHAnsi"/>
          <w:b/>
        </w:rPr>
        <w:t xml:space="preserve">η ΗΡΩΝ ΕΝΕΡΓΕΙΑΚΗ κατέγραψε υψηλότερους όγκους πώλησης κατά </w:t>
      </w:r>
      <w:r w:rsidR="001D684E">
        <w:rPr>
          <w:rFonts w:asciiTheme="minorHAnsi" w:hAnsiTheme="minorHAnsi"/>
          <w:b/>
        </w:rPr>
        <w:t>27%</w:t>
      </w:r>
      <w:r w:rsidR="00297294" w:rsidRPr="002C29A4">
        <w:rPr>
          <w:rFonts w:asciiTheme="minorHAnsi" w:hAnsiTheme="minorHAnsi"/>
          <w:b/>
        </w:rPr>
        <w:t xml:space="preserve"> έναντι του </w:t>
      </w:r>
      <w:r w:rsidR="00FD2FC1">
        <w:rPr>
          <w:rFonts w:asciiTheme="minorHAnsi" w:hAnsiTheme="minorHAnsi"/>
          <w:b/>
        </w:rPr>
        <w:t>Εννεάμηνου</w:t>
      </w:r>
      <w:r w:rsidR="00297294" w:rsidRPr="002C29A4">
        <w:rPr>
          <w:rFonts w:asciiTheme="minorHAnsi" w:hAnsiTheme="minorHAnsi"/>
          <w:b/>
        </w:rPr>
        <w:t xml:space="preserve"> του 2022</w:t>
      </w:r>
      <w:r w:rsidR="00911B5A" w:rsidRPr="002C29A4">
        <w:rPr>
          <w:rFonts w:asciiTheme="minorHAnsi" w:hAnsiTheme="minorHAnsi" w:cstheme="minorHAnsi"/>
          <w:b/>
          <w:bCs/>
        </w:rPr>
        <w:t>,</w:t>
      </w:r>
      <w:r w:rsidR="00297294" w:rsidRPr="002C29A4">
        <w:rPr>
          <w:rFonts w:asciiTheme="minorHAnsi" w:hAnsiTheme="minorHAnsi"/>
          <w:b/>
        </w:rPr>
        <w:t xml:space="preserve"> σε συνέχεια της αύξησης του </w:t>
      </w:r>
      <w:r w:rsidR="00297294" w:rsidRPr="002C29A4">
        <w:rPr>
          <w:rFonts w:asciiTheme="minorHAnsi" w:hAnsiTheme="minorHAnsi" w:cstheme="minorHAnsi"/>
          <w:b/>
          <w:bCs/>
        </w:rPr>
        <w:t>μερ</w:t>
      </w:r>
      <w:r w:rsidR="00B12F62" w:rsidRPr="002C29A4">
        <w:rPr>
          <w:rFonts w:asciiTheme="minorHAnsi" w:hAnsiTheme="minorHAnsi" w:cstheme="minorHAnsi"/>
          <w:b/>
          <w:bCs/>
        </w:rPr>
        <w:t>ι</w:t>
      </w:r>
      <w:r w:rsidR="00297294" w:rsidRPr="002C29A4">
        <w:rPr>
          <w:rFonts w:asciiTheme="minorHAnsi" w:hAnsiTheme="minorHAnsi" w:cstheme="minorHAnsi"/>
          <w:b/>
          <w:bCs/>
        </w:rPr>
        <w:t>δ</w:t>
      </w:r>
      <w:r w:rsidR="00B12F62" w:rsidRPr="002C29A4">
        <w:rPr>
          <w:rFonts w:asciiTheme="minorHAnsi" w:hAnsiTheme="minorHAnsi" w:cstheme="minorHAnsi"/>
          <w:b/>
          <w:bCs/>
        </w:rPr>
        <w:t>ίου</w:t>
      </w:r>
      <w:r w:rsidR="00297294" w:rsidRPr="002C29A4">
        <w:rPr>
          <w:rFonts w:asciiTheme="minorHAnsi" w:hAnsiTheme="minorHAnsi"/>
          <w:b/>
        </w:rPr>
        <w:t xml:space="preserve"> αγοράς της σε 11,</w:t>
      </w:r>
      <w:r w:rsidR="001D684E">
        <w:rPr>
          <w:rFonts w:asciiTheme="minorHAnsi" w:hAnsiTheme="minorHAnsi"/>
          <w:b/>
        </w:rPr>
        <w:t>6</w:t>
      </w:r>
      <w:r w:rsidR="00297294" w:rsidRPr="002C29A4">
        <w:rPr>
          <w:rFonts w:asciiTheme="minorHAnsi" w:hAnsiTheme="minorHAnsi"/>
          <w:b/>
        </w:rPr>
        <w:t xml:space="preserve">% κατά το τέλος του </w:t>
      </w:r>
      <w:r w:rsidR="001D684E">
        <w:rPr>
          <w:rFonts w:asciiTheme="minorHAnsi" w:hAnsiTheme="minorHAnsi"/>
          <w:b/>
        </w:rPr>
        <w:t>Σεπτεμβρίου</w:t>
      </w:r>
      <w:r w:rsidR="00297294" w:rsidRPr="002C29A4">
        <w:rPr>
          <w:rFonts w:asciiTheme="minorHAnsi" w:hAnsiTheme="minorHAnsi"/>
          <w:b/>
        </w:rPr>
        <w:t xml:space="preserve"> του 2023 (έναντι 6</w:t>
      </w:r>
      <w:r w:rsidR="00B12F62" w:rsidRPr="002C29A4">
        <w:rPr>
          <w:rFonts w:asciiTheme="minorHAnsi" w:hAnsiTheme="minorHAnsi" w:cstheme="minorHAnsi"/>
          <w:b/>
          <w:bCs/>
        </w:rPr>
        <w:t>,</w:t>
      </w:r>
      <w:r w:rsidR="00297294" w:rsidRPr="002C29A4">
        <w:rPr>
          <w:rFonts w:asciiTheme="minorHAnsi" w:hAnsiTheme="minorHAnsi"/>
          <w:b/>
        </w:rPr>
        <w:t>7</w:t>
      </w:r>
      <w:r w:rsidR="001D684E">
        <w:rPr>
          <w:rFonts w:asciiTheme="minorHAnsi" w:hAnsiTheme="minorHAnsi"/>
          <w:b/>
        </w:rPr>
        <w:t xml:space="preserve">% </w:t>
      </w:r>
      <w:r w:rsidR="00297294" w:rsidRPr="002C29A4">
        <w:rPr>
          <w:rFonts w:asciiTheme="minorHAnsi" w:hAnsiTheme="minorHAnsi"/>
          <w:b/>
        </w:rPr>
        <w:t xml:space="preserve">τον </w:t>
      </w:r>
      <w:r w:rsidR="001D684E">
        <w:rPr>
          <w:rFonts w:asciiTheme="minorHAnsi" w:hAnsiTheme="minorHAnsi"/>
          <w:b/>
        </w:rPr>
        <w:t xml:space="preserve">Δεκέμβριο </w:t>
      </w:r>
      <w:r w:rsidR="00297294" w:rsidRPr="002C29A4">
        <w:rPr>
          <w:rFonts w:asciiTheme="minorHAnsi" w:hAnsiTheme="minorHAnsi"/>
          <w:b/>
        </w:rPr>
        <w:t>του 2022)</w:t>
      </w:r>
      <w:r w:rsidR="00297294" w:rsidRPr="00522B68">
        <w:rPr>
          <w:rFonts w:asciiTheme="minorHAnsi" w:hAnsiTheme="minorHAnsi" w:cstheme="minorHAnsi"/>
        </w:rPr>
        <w:t xml:space="preserve">. </w:t>
      </w:r>
      <w:r w:rsidR="00FA2B26">
        <w:rPr>
          <w:rFonts w:asciiTheme="minorHAnsi" w:hAnsiTheme="minorHAnsi" w:cstheme="minorHAnsi"/>
        </w:rPr>
        <w:t>Η</w:t>
      </w:r>
      <w:r w:rsidR="00297294" w:rsidRPr="00522B68">
        <w:rPr>
          <w:rFonts w:asciiTheme="minorHAnsi" w:hAnsiTheme="minorHAnsi" w:cstheme="minorHAnsi"/>
        </w:rPr>
        <w:t xml:space="preserve"> μείωση της ζήτησης, η</w:t>
      </w:r>
      <w:r w:rsidR="009A34F3" w:rsidRPr="00522B68">
        <w:rPr>
          <w:rFonts w:asciiTheme="minorHAnsi" w:hAnsiTheme="minorHAnsi" w:cstheme="minorHAnsi"/>
        </w:rPr>
        <w:t xml:space="preserve"> αυξημένη παραγωγή από ΑΠΕ</w:t>
      </w:r>
      <w:r w:rsidR="00F75977" w:rsidRPr="00522B68">
        <w:rPr>
          <w:rFonts w:asciiTheme="minorHAnsi" w:hAnsiTheme="minorHAnsi" w:cstheme="minorHAnsi"/>
        </w:rPr>
        <w:t xml:space="preserve">στο σύστημα </w:t>
      </w:r>
      <w:r w:rsidR="002E52E0" w:rsidRPr="00522B68">
        <w:rPr>
          <w:rFonts w:asciiTheme="minorHAnsi" w:hAnsiTheme="minorHAnsi" w:cstheme="minorHAnsi"/>
        </w:rPr>
        <w:t>λόγ</w:t>
      </w:r>
      <w:r w:rsidR="00DA639E" w:rsidRPr="00522B68">
        <w:rPr>
          <w:rFonts w:asciiTheme="minorHAnsi" w:hAnsiTheme="minorHAnsi" w:cstheme="minorHAnsi"/>
        </w:rPr>
        <w:t>ω</w:t>
      </w:r>
      <w:r w:rsidR="002E52E0" w:rsidRPr="00522B68">
        <w:rPr>
          <w:rFonts w:asciiTheme="minorHAnsi" w:hAnsiTheme="minorHAnsi" w:cstheme="minorHAnsi"/>
        </w:rPr>
        <w:t xml:space="preserve"> αύξησης της εγκατεστημένης ισχύος στη χώρακαι τ</w:t>
      </w:r>
      <w:r w:rsidR="00B12F62">
        <w:rPr>
          <w:rFonts w:asciiTheme="minorHAnsi" w:hAnsiTheme="minorHAnsi" w:cstheme="minorHAnsi"/>
        </w:rPr>
        <w:t xml:space="preserve">ων </w:t>
      </w:r>
      <w:r w:rsidR="002E52E0" w:rsidRPr="00522B68">
        <w:rPr>
          <w:rFonts w:asciiTheme="minorHAnsi" w:hAnsiTheme="minorHAnsi" w:cstheme="minorHAnsi"/>
        </w:rPr>
        <w:t>αυξημέν</w:t>
      </w:r>
      <w:r w:rsidR="00B12F62">
        <w:rPr>
          <w:rFonts w:asciiTheme="minorHAnsi" w:hAnsiTheme="minorHAnsi" w:cstheme="minorHAnsi"/>
        </w:rPr>
        <w:t>ων</w:t>
      </w:r>
      <w:r w:rsidR="002E52E0" w:rsidRPr="00522B68">
        <w:rPr>
          <w:rFonts w:asciiTheme="minorHAnsi" w:hAnsiTheme="minorHAnsi" w:cstheme="minorHAnsi"/>
        </w:rPr>
        <w:t xml:space="preserve"> εισαγωγ</w:t>
      </w:r>
      <w:r w:rsidR="00B12F62">
        <w:rPr>
          <w:rFonts w:asciiTheme="minorHAnsi" w:hAnsiTheme="minorHAnsi" w:cstheme="minorHAnsi"/>
        </w:rPr>
        <w:t>ών</w:t>
      </w:r>
      <w:r w:rsidR="002E52E0" w:rsidRPr="00522B68">
        <w:rPr>
          <w:rFonts w:asciiTheme="minorHAnsi" w:hAnsiTheme="minorHAnsi" w:cstheme="minorHAnsi"/>
        </w:rPr>
        <w:t xml:space="preserve">, </w:t>
      </w:r>
      <w:r w:rsidR="009A34F3" w:rsidRPr="00522B68">
        <w:rPr>
          <w:rFonts w:asciiTheme="minorHAnsi" w:hAnsiTheme="minorHAnsi" w:cstheme="minorHAnsi"/>
        </w:rPr>
        <w:t>οδήγησ</w:t>
      </w:r>
      <w:r w:rsidR="00BD20FC" w:rsidRPr="00522B68">
        <w:rPr>
          <w:rFonts w:asciiTheme="minorHAnsi" w:hAnsiTheme="minorHAnsi" w:cstheme="minorHAnsi"/>
        </w:rPr>
        <w:t>αν</w:t>
      </w:r>
      <w:r w:rsidR="009A34F3" w:rsidRPr="00522B68">
        <w:rPr>
          <w:rFonts w:asciiTheme="minorHAnsi" w:hAnsiTheme="minorHAnsi" w:cstheme="minorHAnsi"/>
        </w:rPr>
        <w:t xml:space="preserve"> σε με</w:t>
      </w:r>
      <w:r w:rsidR="002E52E0" w:rsidRPr="00522B68">
        <w:rPr>
          <w:rFonts w:asciiTheme="minorHAnsi" w:hAnsiTheme="minorHAnsi" w:cstheme="minorHAnsi"/>
        </w:rPr>
        <w:t>ί</w:t>
      </w:r>
      <w:r w:rsidR="009A34F3" w:rsidRPr="00522B68">
        <w:rPr>
          <w:rFonts w:asciiTheme="minorHAnsi" w:hAnsiTheme="minorHAnsi" w:cstheme="minorHAnsi"/>
        </w:rPr>
        <w:t>ω</w:t>
      </w:r>
      <w:r w:rsidR="002E52E0" w:rsidRPr="00522B68">
        <w:rPr>
          <w:rFonts w:asciiTheme="minorHAnsi" w:hAnsiTheme="minorHAnsi" w:cstheme="minorHAnsi"/>
        </w:rPr>
        <w:t>ση της</w:t>
      </w:r>
      <w:r w:rsidR="009A34F3" w:rsidRPr="00522B68">
        <w:rPr>
          <w:rFonts w:asciiTheme="minorHAnsi" w:hAnsiTheme="minorHAnsi" w:cstheme="minorHAnsi"/>
        </w:rPr>
        <w:t xml:space="preserve"> παραγωγή</w:t>
      </w:r>
      <w:r w:rsidR="002E52E0" w:rsidRPr="00522B68">
        <w:rPr>
          <w:rFonts w:asciiTheme="minorHAnsi" w:hAnsiTheme="minorHAnsi" w:cstheme="minorHAnsi"/>
        </w:rPr>
        <w:t>ς</w:t>
      </w:r>
      <w:r w:rsidR="009A34F3" w:rsidRPr="00522B68">
        <w:rPr>
          <w:rFonts w:asciiTheme="minorHAnsi" w:hAnsiTheme="minorHAnsi" w:cstheme="minorHAnsi"/>
        </w:rPr>
        <w:t xml:space="preserve"> από μονάδες φυσικού αερίου</w:t>
      </w:r>
      <w:r w:rsidR="00297294" w:rsidRPr="00522B68">
        <w:rPr>
          <w:rFonts w:asciiTheme="minorHAnsi" w:hAnsiTheme="minorHAnsi" w:cstheme="minorHAnsi"/>
        </w:rPr>
        <w:t xml:space="preserve"> στη χώρα κατά </w:t>
      </w:r>
      <w:r w:rsidR="001D684E">
        <w:rPr>
          <w:rFonts w:asciiTheme="minorHAnsi" w:hAnsiTheme="minorHAnsi" w:cstheme="minorHAnsi"/>
        </w:rPr>
        <w:t>23</w:t>
      </w:r>
      <w:r w:rsidR="00297294" w:rsidRPr="00522B68">
        <w:rPr>
          <w:rFonts w:asciiTheme="minorHAnsi" w:hAnsiTheme="minorHAnsi" w:cstheme="minorHAnsi"/>
        </w:rPr>
        <w:t>,</w:t>
      </w:r>
      <w:r w:rsidR="001D684E">
        <w:rPr>
          <w:rFonts w:asciiTheme="minorHAnsi" w:hAnsiTheme="minorHAnsi" w:cstheme="minorHAnsi"/>
        </w:rPr>
        <w:t>0</w:t>
      </w:r>
      <w:r w:rsidR="00297294" w:rsidRPr="00522B68">
        <w:rPr>
          <w:rFonts w:asciiTheme="minorHAnsi" w:hAnsiTheme="minorHAnsi" w:cstheme="minorHAnsi"/>
        </w:rPr>
        <w:t xml:space="preserve">% στο </w:t>
      </w:r>
      <w:r w:rsidR="001D684E">
        <w:rPr>
          <w:rFonts w:asciiTheme="minorHAnsi" w:hAnsiTheme="minorHAnsi" w:cstheme="minorHAnsi"/>
        </w:rPr>
        <w:t>Ενν</w:t>
      </w:r>
      <w:r w:rsidR="00FD2FC1">
        <w:rPr>
          <w:rFonts w:asciiTheme="minorHAnsi" w:hAnsiTheme="minorHAnsi" w:cstheme="minorHAnsi"/>
        </w:rPr>
        <w:t>ε</w:t>
      </w:r>
      <w:r w:rsidR="001D684E">
        <w:rPr>
          <w:rFonts w:asciiTheme="minorHAnsi" w:hAnsiTheme="minorHAnsi" w:cstheme="minorHAnsi"/>
        </w:rPr>
        <w:t>άμηνο</w:t>
      </w:r>
      <w:r w:rsidR="00297294" w:rsidRPr="00522B68">
        <w:rPr>
          <w:rFonts w:asciiTheme="minorHAnsi" w:hAnsiTheme="minorHAnsi" w:cstheme="minorHAnsi"/>
        </w:rPr>
        <w:t xml:space="preserve"> του 2023</w:t>
      </w:r>
      <w:r w:rsidR="009A34F3" w:rsidRPr="00522B68">
        <w:rPr>
          <w:rFonts w:asciiTheme="minorHAnsi" w:hAnsiTheme="minorHAnsi" w:cstheme="minorHAnsi"/>
        </w:rPr>
        <w:t xml:space="preserve">. </w:t>
      </w:r>
      <w:r w:rsidR="00297294" w:rsidRPr="00522B68">
        <w:rPr>
          <w:rFonts w:asciiTheme="minorHAnsi" w:hAnsiTheme="minorHAnsi" w:cstheme="minorHAnsi"/>
        </w:rPr>
        <w:t>Σε αυτ</w:t>
      </w:r>
      <w:r w:rsidR="00B12F62">
        <w:rPr>
          <w:rFonts w:asciiTheme="minorHAnsi" w:hAnsiTheme="minorHAnsi" w:cstheme="minorHAnsi"/>
        </w:rPr>
        <w:t>ό</w:t>
      </w:r>
      <w:r w:rsidR="00297294" w:rsidRPr="00522B68">
        <w:rPr>
          <w:rFonts w:asciiTheme="minorHAnsi" w:hAnsiTheme="minorHAnsi" w:cstheme="minorHAnsi"/>
        </w:rPr>
        <w:t xml:space="preserve"> τ</w:t>
      </w:r>
      <w:r w:rsidR="00B12F62">
        <w:rPr>
          <w:rFonts w:asciiTheme="minorHAnsi" w:hAnsiTheme="minorHAnsi" w:cstheme="minorHAnsi"/>
        </w:rPr>
        <w:t>ο</w:t>
      </w:r>
      <w:r w:rsidR="00297294" w:rsidRPr="00522B68">
        <w:rPr>
          <w:rFonts w:asciiTheme="minorHAnsi" w:hAnsiTheme="minorHAnsi" w:cstheme="minorHAnsi"/>
        </w:rPr>
        <w:t xml:space="preserve"> πλαίσιο η παραγωγή από τις μονάδες φυσικού αερίου του Ομίλου κατ</w:t>
      </w:r>
      <w:r w:rsidR="00355D6F" w:rsidRPr="00522B68">
        <w:rPr>
          <w:rFonts w:asciiTheme="minorHAnsi" w:hAnsiTheme="minorHAnsi" w:cstheme="minorHAnsi"/>
        </w:rPr>
        <w:t>έ</w:t>
      </w:r>
      <w:r w:rsidR="00297294" w:rsidRPr="00522B68">
        <w:rPr>
          <w:rFonts w:asciiTheme="minorHAnsi" w:hAnsiTheme="minorHAnsi" w:cstheme="minorHAnsi"/>
        </w:rPr>
        <w:t>γραψε μείωση κατά</w:t>
      </w:r>
      <w:r w:rsidR="00355D6F" w:rsidRPr="00522B68">
        <w:rPr>
          <w:rFonts w:asciiTheme="minorHAnsi" w:hAnsiTheme="minorHAnsi" w:cstheme="minorHAnsi"/>
        </w:rPr>
        <w:t xml:space="preserve"> 2</w:t>
      </w:r>
      <w:r w:rsidR="001D684E">
        <w:rPr>
          <w:rFonts w:asciiTheme="minorHAnsi" w:hAnsiTheme="minorHAnsi" w:cstheme="minorHAnsi"/>
        </w:rPr>
        <w:t>3</w:t>
      </w:r>
      <w:r w:rsidR="00355D6F" w:rsidRPr="00522B68">
        <w:rPr>
          <w:rFonts w:asciiTheme="minorHAnsi" w:hAnsiTheme="minorHAnsi" w:cstheme="minorHAnsi"/>
        </w:rPr>
        <w:t>% έναντ</w:t>
      </w:r>
      <w:r w:rsidR="00B12F62">
        <w:rPr>
          <w:rFonts w:asciiTheme="minorHAnsi" w:hAnsiTheme="minorHAnsi" w:cstheme="minorHAnsi"/>
        </w:rPr>
        <w:t>ι</w:t>
      </w:r>
      <w:r w:rsidR="001D684E">
        <w:rPr>
          <w:rFonts w:asciiTheme="minorHAnsi" w:hAnsiTheme="minorHAnsi" w:cstheme="minorHAnsi"/>
        </w:rPr>
        <w:t xml:space="preserve">της αντίστοιχης περιόδου του </w:t>
      </w:r>
      <w:r w:rsidR="00355D6F" w:rsidRPr="00522B68">
        <w:rPr>
          <w:rFonts w:asciiTheme="minorHAnsi" w:hAnsiTheme="minorHAnsi" w:cstheme="minorHAnsi"/>
        </w:rPr>
        <w:t>2022. Τέλος</w:t>
      </w:r>
      <w:r w:rsidR="00B12F62">
        <w:rPr>
          <w:rFonts w:asciiTheme="minorHAnsi" w:hAnsiTheme="minorHAnsi" w:cstheme="minorHAnsi"/>
        </w:rPr>
        <w:t>,</w:t>
      </w:r>
      <w:r w:rsidR="00B12F62" w:rsidRPr="002C29A4">
        <w:rPr>
          <w:rFonts w:asciiTheme="minorHAnsi" w:hAnsiTheme="minorHAnsi" w:cstheme="minorHAnsi"/>
          <w:b/>
          <w:bCs/>
        </w:rPr>
        <w:t xml:space="preserve">ως </w:t>
      </w:r>
      <w:r w:rsidR="00B97AC3" w:rsidRPr="002C29A4">
        <w:rPr>
          <w:rFonts w:asciiTheme="minorHAnsi" w:hAnsiTheme="minorHAnsi" w:cstheme="minorHAnsi"/>
          <w:b/>
          <w:bCs/>
        </w:rPr>
        <w:t>προς</w:t>
      </w:r>
      <w:r w:rsidR="00355D6F" w:rsidRPr="002C29A4">
        <w:rPr>
          <w:rFonts w:asciiTheme="minorHAnsi" w:hAnsiTheme="minorHAnsi"/>
          <w:b/>
        </w:rPr>
        <w:t xml:space="preserve"> τη νέα </w:t>
      </w:r>
      <w:r w:rsidR="00355D6F" w:rsidRPr="002C29A4">
        <w:rPr>
          <w:rFonts w:asciiTheme="minorHAnsi" w:hAnsiTheme="minorHAnsi" w:cstheme="minorHAnsi"/>
          <w:b/>
          <w:bCs/>
        </w:rPr>
        <w:t>μονάδα</w:t>
      </w:r>
      <w:r w:rsidR="00355D6F" w:rsidRPr="002C29A4">
        <w:rPr>
          <w:rFonts w:asciiTheme="minorHAnsi" w:hAnsiTheme="minorHAnsi"/>
          <w:b/>
        </w:rPr>
        <w:t>με φυσικό αέριο στην Κομοτηνή</w:t>
      </w:r>
      <w:r w:rsidR="00B12F62" w:rsidRPr="002C29A4">
        <w:rPr>
          <w:rFonts w:asciiTheme="minorHAnsi" w:hAnsiTheme="minorHAnsi" w:cstheme="minorHAnsi"/>
          <w:b/>
          <w:bCs/>
        </w:rPr>
        <w:t xml:space="preserve">ισχύος </w:t>
      </w:r>
      <w:r w:rsidR="00926B6D" w:rsidRPr="002C29A4">
        <w:rPr>
          <w:rFonts w:asciiTheme="minorHAnsi" w:hAnsiTheme="minorHAnsi" w:cstheme="minorHAnsi"/>
          <w:b/>
          <w:bCs/>
        </w:rPr>
        <w:t>877</w:t>
      </w:r>
      <w:r w:rsidR="00926B6D" w:rsidRPr="002C29A4">
        <w:rPr>
          <w:rFonts w:asciiTheme="minorHAnsi" w:hAnsiTheme="minorHAnsi" w:cstheme="minorHAnsi"/>
          <w:b/>
          <w:bCs/>
          <w:lang w:val="en-GB"/>
        </w:rPr>
        <w:t>MW</w:t>
      </w:r>
      <w:r w:rsidR="00355D6F" w:rsidRPr="002C29A4">
        <w:rPr>
          <w:rFonts w:asciiTheme="minorHAnsi" w:hAnsiTheme="minorHAnsi"/>
          <w:b/>
        </w:rPr>
        <w:t xml:space="preserve"> (ανάπτυξη από κοινού με την </w:t>
      </w:r>
      <w:r w:rsidR="009E5EB3" w:rsidRPr="002C29A4">
        <w:rPr>
          <w:rFonts w:asciiTheme="minorHAnsi" w:hAnsiTheme="minorHAnsi"/>
          <w:b/>
          <w:lang w:val="en-GB"/>
        </w:rPr>
        <w:t>MotorOil</w:t>
      </w:r>
      <w:r w:rsidR="00355D6F" w:rsidRPr="002C29A4">
        <w:rPr>
          <w:rFonts w:asciiTheme="minorHAnsi" w:hAnsiTheme="minorHAnsi"/>
          <w:b/>
        </w:rPr>
        <w:t xml:space="preserve">) </w:t>
      </w:r>
      <w:r w:rsidR="00B12F62" w:rsidRPr="002C29A4">
        <w:rPr>
          <w:rFonts w:asciiTheme="minorHAnsi" w:hAnsiTheme="minorHAnsi" w:cstheme="minorHAnsi"/>
          <w:b/>
          <w:bCs/>
        </w:rPr>
        <w:t xml:space="preserve">η πρόοδος των εργασιών </w:t>
      </w:r>
      <w:r w:rsidR="006F7791">
        <w:rPr>
          <w:rFonts w:asciiTheme="minorHAnsi" w:hAnsiTheme="minorHAnsi" w:cstheme="minorHAnsi"/>
          <w:b/>
          <w:bCs/>
        </w:rPr>
        <w:t xml:space="preserve">ανέρχεται σε περίπου 90% </w:t>
      </w:r>
      <w:r w:rsidR="008D20A3" w:rsidRPr="008D20A3">
        <w:rPr>
          <w:rFonts w:asciiTheme="minorHAnsi" w:hAnsiTheme="minorHAnsi" w:cstheme="minorHAnsi"/>
          <w:b/>
        </w:rPr>
        <w:t xml:space="preserve">και η λειτουργία αναμένεται εντός του </w:t>
      </w:r>
      <w:r w:rsidR="008F4159" w:rsidRPr="008D20A3">
        <w:rPr>
          <w:rFonts w:asciiTheme="minorHAnsi" w:hAnsiTheme="minorHAnsi" w:cstheme="minorHAnsi"/>
          <w:b/>
        </w:rPr>
        <w:t>πρώτουεξάμηνου</w:t>
      </w:r>
      <w:r w:rsidR="008D20A3" w:rsidRPr="008D20A3">
        <w:rPr>
          <w:rFonts w:asciiTheme="minorHAnsi" w:hAnsiTheme="minorHAnsi" w:cstheme="minorHAnsi"/>
          <w:b/>
        </w:rPr>
        <w:t xml:space="preserve"> του 2024</w:t>
      </w:r>
      <w:r w:rsidR="00355D6F" w:rsidRPr="008D20A3">
        <w:rPr>
          <w:rFonts w:asciiTheme="minorHAnsi" w:hAnsiTheme="minorHAnsi" w:cstheme="minorHAnsi"/>
          <w:b/>
        </w:rPr>
        <w:t>.</w:t>
      </w:r>
    </w:p>
    <w:p w:rsidR="00157575" w:rsidRDefault="00904ED4" w:rsidP="00904ED4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Στον Τομέα ΑΠΕ ό</w:t>
      </w:r>
      <w:r w:rsidRPr="00904ED4">
        <w:rPr>
          <w:rFonts w:asciiTheme="minorHAnsi" w:eastAsia="Times New Roman" w:hAnsiTheme="minorHAnsi" w:cstheme="minorHAnsi"/>
          <w:b/>
          <w:bCs/>
          <w:color w:val="000000"/>
        </w:rPr>
        <w:t xml:space="preserve">πως έχει ήδη ανακοινωθεί, η εγκατεστημένη ισχύς του Ομίλου αυξήθηκε σε 1.225 MW στο τέλος Σεπτεμβρίου (έναντι 905 MW στο τέλος του 2022) μετά την ολοκλήρωση των εγκαταστάσεων στο έργο του </w:t>
      </w:r>
      <w:proofErr w:type="spellStart"/>
      <w:r w:rsidRPr="00904ED4">
        <w:rPr>
          <w:rFonts w:asciiTheme="minorHAnsi" w:eastAsia="Times New Roman" w:hAnsiTheme="minorHAnsi" w:cstheme="minorHAnsi"/>
          <w:b/>
          <w:bCs/>
          <w:color w:val="000000"/>
        </w:rPr>
        <w:t>Καφηρέα</w:t>
      </w:r>
      <w:proofErr w:type="spellEnd"/>
      <w:r w:rsidRPr="00904ED4">
        <w:rPr>
          <w:rFonts w:asciiTheme="minorHAnsi" w:eastAsia="Times New Roman" w:hAnsiTheme="minorHAnsi" w:cstheme="minorHAnsi"/>
          <w:b/>
          <w:bCs/>
          <w:color w:val="000000"/>
        </w:rPr>
        <w:t xml:space="preserve">, κατά το τέλος του τρίτου </w:t>
      </w:r>
      <w:proofErr w:type="spellStart"/>
      <w:r w:rsidRPr="00904ED4">
        <w:rPr>
          <w:rFonts w:asciiTheme="minorHAnsi" w:eastAsia="Times New Roman" w:hAnsiTheme="minorHAnsi" w:cstheme="minorHAnsi"/>
          <w:b/>
          <w:bCs/>
          <w:color w:val="000000"/>
        </w:rPr>
        <w:t>τρίμηνου.</w:t>
      </w:r>
      <w:r w:rsidRPr="00904ED4">
        <w:rPr>
          <w:rFonts w:asciiTheme="minorHAnsi" w:eastAsia="Times New Roman" w:hAnsiTheme="minorHAnsi" w:cstheme="minorHAnsi"/>
          <w:color w:val="000000"/>
        </w:rPr>
        <w:t>Ως</w:t>
      </w:r>
      <w:proofErr w:type="spellEnd"/>
      <w:r w:rsidRPr="00904ED4">
        <w:rPr>
          <w:rFonts w:asciiTheme="minorHAnsi" w:eastAsia="Times New Roman" w:hAnsiTheme="minorHAnsi" w:cstheme="minorHAnsi"/>
          <w:color w:val="000000"/>
        </w:rPr>
        <w:t xml:space="preserve"> προς τις </w:t>
      </w:r>
      <w:proofErr w:type="spellStart"/>
      <w:r w:rsidRPr="00904ED4">
        <w:rPr>
          <w:rFonts w:asciiTheme="minorHAnsi" w:eastAsia="Times New Roman" w:hAnsiTheme="minorHAnsi" w:cstheme="minorHAnsi"/>
          <w:color w:val="000000"/>
        </w:rPr>
        <w:t>ανεμολογικές</w:t>
      </w:r>
      <w:proofErr w:type="spellEnd"/>
      <w:r w:rsidRPr="00904ED4">
        <w:rPr>
          <w:rFonts w:asciiTheme="minorHAnsi" w:eastAsia="Times New Roman" w:hAnsiTheme="minorHAnsi" w:cstheme="minorHAnsi"/>
          <w:color w:val="000000"/>
        </w:rPr>
        <w:t xml:space="preserve"> συνθήκες, μετά από μια αδύναμη απόδοση κατά τους  πρώτους 7 μήνες του έτους, η εικόνα ομαλοποιήθηκε τον Αύγουστο και τον Σεπτέμβριο, οι οποίοι κινήθηκαν στα συνήθη φυσιολογικά επίπεδα. Πιο συγκεκριμένα, ο συντελεστής φόρτισης κατά το </w:t>
      </w:r>
      <w:r>
        <w:rPr>
          <w:rFonts w:asciiTheme="minorHAnsi" w:eastAsia="Times New Roman" w:hAnsiTheme="minorHAnsi" w:cstheme="minorHAnsi"/>
          <w:color w:val="000000"/>
        </w:rPr>
        <w:t>Γ’Τ</w:t>
      </w:r>
      <w:r w:rsidRPr="00904ED4">
        <w:rPr>
          <w:rFonts w:asciiTheme="minorHAnsi" w:eastAsia="Times New Roman" w:hAnsiTheme="minorHAnsi" w:cstheme="minorHAnsi"/>
          <w:color w:val="000000"/>
        </w:rPr>
        <w:t>ρίμηνο ανήλθε σε 29,6% έναντι 29,2% κατά το αντίστοιχο τρίμηνο του 2022.</w:t>
      </w:r>
      <w:r w:rsidR="00157575">
        <w:rPr>
          <w:rFonts w:asciiTheme="minorHAnsi" w:eastAsia="Times New Roman" w:hAnsiTheme="minorHAnsi" w:cstheme="minorHAnsi"/>
          <w:color w:val="000000"/>
        </w:rPr>
        <w:t xml:space="preserve"> Όσον αφορά την ανάπτυξη νέων έργων, ήδη από τα τέλη του 2022 έχει ξεκινήσει η κατασκευή του έργου αποθήκευσης ενέργειας μεγάλης διάρκειας με την τεχνολογία της </w:t>
      </w:r>
      <w:proofErr w:type="spellStart"/>
      <w:r w:rsidR="00854405">
        <w:rPr>
          <w:rFonts w:asciiTheme="minorHAnsi" w:eastAsia="Times New Roman" w:hAnsiTheme="minorHAnsi" w:cstheme="minorHAnsi"/>
          <w:color w:val="000000"/>
        </w:rPr>
        <w:t>αντλ</w:t>
      </w:r>
      <w:r w:rsidR="005A4CD4">
        <w:rPr>
          <w:rFonts w:asciiTheme="minorHAnsi" w:eastAsia="Times New Roman" w:hAnsiTheme="minorHAnsi" w:cstheme="minorHAnsi"/>
          <w:color w:val="000000"/>
        </w:rPr>
        <w:t>η</w:t>
      </w:r>
      <w:r w:rsidR="00854405">
        <w:rPr>
          <w:rFonts w:asciiTheme="minorHAnsi" w:eastAsia="Times New Roman" w:hAnsiTheme="minorHAnsi" w:cstheme="minorHAnsi"/>
          <w:color w:val="000000"/>
        </w:rPr>
        <w:t>σ</w:t>
      </w:r>
      <w:r w:rsidR="005A4CD4">
        <w:rPr>
          <w:rFonts w:asciiTheme="minorHAnsi" w:eastAsia="Times New Roman" w:hAnsiTheme="minorHAnsi" w:cstheme="minorHAnsi"/>
          <w:color w:val="000000"/>
        </w:rPr>
        <w:t>ι</w:t>
      </w:r>
      <w:r w:rsidR="00854405">
        <w:rPr>
          <w:rFonts w:asciiTheme="minorHAnsi" w:eastAsia="Times New Roman" w:hAnsiTheme="minorHAnsi" w:cstheme="minorHAnsi"/>
          <w:color w:val="000000"/>
        </w:rPr>
        <w:t>οταμίευσης</w:t>
      </w:r>
      <w:proofErr w:type="spellEnd"/>
      <w:r w:rsidR="00157575">
        <w:rPr>
          <w:rFonts w:asciiTheme="minorHAnsi" w:eastAsia="Times New Roman" w:hAnsiTheme="minorHAnsi" w:cstheme="minorHAnsi"/>
          <w:color w:val="000000"/>
        </w:rPr>
        <w:t xml:space="preserve"> στην Αμφιλοχία. Ορόσημο επίσης αποτελεί η απόκτηση της πρώτης άδειας έρευνας για υπεράκτια αιολικά πάρκα στην χώρα συνολικής ισχύος 400</w:t>
      </w:r>
      <w:r w:rsidR="00157575">
        <w:rPr>
          <w:rFonts w:asciiTheme="minorHAnsi" w:eastAsia="Times New Roman" w:hAnsiTheme="minorHAnsi" w:cstheme="minorHAnsi"/>
          <w:color w:val="000000"/>
          <w:lang w:val="en-US"/>
        </w:rPr>
        <w:t>MW</w:t>
      </w:r>
      <w:r w:rsidR="00157575" w:rsidRPr="00157575">
        <w:rPr>
          <w:rFonts w:asciiTheme="minorHAnsi" w:eastAsia="Times New Roman" w:hAnsiTheme="minorHAnsi" w:cstheme="minorHAnsi"/>
          <w:color w:val="000000"/>
        </w:rPr>
        <w:t xml:space="preserve">. </w:t>
      </w:r>
    </w:p>
    <w:p w:rsidR="00D451C6" w:rsidRDefault="00D451C6" w:rsidP="00904ED4">
      <w:pPr>
        <w:jc w:val="both"/>
        <w:rPr>
          <w:rFonts w:asciiTheme="minorHAnsi" w:eastAsia="Times New Roman" w:hAnsiTheme="minorHAnsi" w:cstheme="minorHAnsi"/>
          <w:color w:val="000000"/>
        </w:rPr>
      </w:pPr>
    </w:p>
    <w:p w:rsidR="00E07F0D" w:rsidRDefault="00E07F0D" w:rsidP="00E07F0D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u w:val="single"/>
        </w:rPr>
        <w:t xml:space="preserve">Αποτελέσματα </w:t>
      </w:r>
      <w:r w:rsidR="00077051">
        <w:rPr>
          <w:rFonts w:asciiTheme="minorHAnsi" w:eastAsia="Times New Roman" w:hAnsiTheme="minorHAnsi" w:cstheme="minorHAnsi"/>
          <w:b/>
          <w:bCs/>
          <w:u w:val="single"/>
        </w:rPr>
        <w:t>Γ Τριμήνου</w:t>
      </w:r>
    </w:p>
    <w:p w:rsidR="00E07F0D" w:rsidRPr="00E07F0D" w:rsidRDefault="00E07F0D" w:rsidP="00E07F0D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Για το </w:t>
      </w:r>
      <w:r w:rsidR="00077051">
        <w:rPr>
          <w:rFonts w:asciiTheme="minorHAnsi" w:eastAsia="Times New Roman" w:hAnsiTheme="minorHAnsi" w:cstheme="minorHAnsi"/>
        </w:rPr>
        <w:t>Γ</w:t>
      </w:r>
      <w:r w:rsidR="005A4CD4">
        <w:rPr>
          <w:rFonts w:asciiTheme="minorHAnsi" w:eastAsia="Times New Roman" w:hAnsiTheme="minorHAnsi" w:cstheme="minorHAnsi"/>
        </w:rPr>
        <w:t>’</w:t>
      </w:r>
      <w:r w:rsidR="00077051">
        <w:rPr>
          <w:rFonts w:asciiTheme="minorHAnsi" w:eastAsia="Times New Roman" w:hAnsiTheme="minorHAnsi" w:cstheme="minorHAnsi"/>
        </w:rPr>
        <w:t xml:space="preserve"> Τρίμηνο</w:t>
      </w:r>
      <w:r>
        <w:rPr>
          <w:rFonts w:asciiTheme="minorHAnsi" w:eastAsia="Times New Roman" w:hAnsiTheme="minorHAnsi" w:cstheme="minorHAnsi"/>
        </w:rPr>
        <w:t xml:space="preserve"> του έτους τα </w:t>
      </w:r>
      <w:r w:rsidR="00A52A18">
        <w:rPr>
          <w:rFonts w:asciiTheme="minorHAnsi" w:eastAsia="Times New Roman" w:hAnsiTheme="minorHAnsi" w:cstheme="minorHAnsi"/>
        </w:rPr>
        <w:t>συνολικά</w:t>
      </w:r>
      <w:r>
        <w:rPr>
          <w:rFonts w:asciiTheme="minorHAnsi" w:eastAsia="Times New Roman" w:hAnsiTheme="minorHAnsi" w:cstheme="minorHAnsi"/>
        </w:rPr>
        <w:t xml:space="preserve"> έσοδα του Ομίλου </w:t>
      </w:r>
      <w:r w:rsidR="003D460C">
        <w:rPr>
          <w:rFonts w:asciiTheme="minorHAnsi" w:eastAsia="Times New Roman" w:hAnsiTheme="minorHAnsi" w:cstheme="minorHAnsi"/>
        </w:rPr>
        <w:t>διαμορφώθηκαν</w:t>
      </w:r>
      <w:r>
        <w:rPr>
          <w:rFonts w:asciiTheme="minorHAnsi" w:eastAsia="Times New Roman" w:hAnsiTheme="minorHAnsi" w:cstheme="minorHAnsi"/>
        </w:rPr>
        <w:t xml:space="preserve"> σε </w:t>
      </w:r>
      <w:r w:rsidRPr="00522B68">
        <w:rPr>
          <w:rFonts w:asciiTheme="minorHAnsi" w:eastAsia="Times New Roman" w:hAnsiTheme="minorHAnsi" w:cstheme="minorHAnsi"/>
        </w:rPr>
        <w:t xml:space="preserve">€ </w:t>
      </w:r>
      <w:r w:rsidRPr="00E07F0D">
        <w:rPr>
          <w:rFonts w:asciiTheme="minorHAnsi" w:eastAsia="Times New Roman" w:hAnsiTheme="minorHAnsi" w:cstheme="minorHAnsi"/>
        </w:rPr>
        <w:t>925</w:t>
      </w:r>
      <w:r w:rsidRPr="00522B68">
        <w:rPr>
          <w:rFonts w:asciiTheme="minorHAnsi" w:eastAsia="Times New Roman" w:hAnsiTheme="minorHAnsi" w:cstheme="minorHAnsi"/>
          <w:bCs/>
        </w:rPr>
        <w:t>,</w:t>
      </w:r>
      <w:r w:rsidRPr="00E07F0D">
        <w:rPr>
          <w:rFonts w:asciiTheme="minorHAnsi" w:eastAsia="Times New Roman" w:hAnsiTheme="minorHAnsi" w:cstheme="minorHAnsi"/>
          <w:bCs/>
        </w:rPr>
        <w:t>0</w:t>
      </w:r>
      <w:r w:rsidRPr="00522B68">
        <w:rPr>
          <w:rFonts w:asciiTheme="minorHAnsi" w:eastAsia="Times New Roman" w:hAnsiTheme="minorHAnsi" w:cstheme="minorHAnsi"/>
          <w:bCs/>
        </w:rPr>
        <w:t xml:space="preserve"> εκ</w:t>
      </w:r>
      <w:r>
        <w:rPr>
          <w:rFonts w:asciiTheme="minorHAnsi" w:eastAsia="Times New Roman" w:hAnsiTheme="minorHAnsi" w:cstheme="minorHAnsi"/>
          <w:bCs/>
        </w:rPr>
        <w:t>ατ</w:t>
      </w:r>
      <w:r w:rsidRPr="00522B68">
        <w:rPr>
          <w:rFonts w:asciiTheme="minorHAnsi" w:eastAsia="Times New Roman" w:hAnsiTheme="minorHAnsi" w:cstheme="minorHAnsi"/>
          <w:bCs/>
        </w:rPr>
        <w:t>.</w:t>
      </w:r>
      <w:r>
        <w:rPr>
          <w:rFonts w:asciiTheme="minorHAnsi" w:eastAsia="Times New Roman" w:hAnsiTheme="minorHAnsi" w:cstheme="minorHAnsi"/>
          <w:bCs/>
        </w:rPr>
        <w:t xml:space="preserve">έναντι </w:t>
      </w:r>
      <w:r w:rsidRPr="00522B68">
        <w:rPr>
          <w:rFonts w:asciiTheme="minorHAnsi" w:eastAsia="Times New Roman" w:hAnsiTheme="minorHAnsi" w:cstheme="minorHAnsi"/>
        </w:rPr>
        <w:t>€</w:t>
      </w:r>
      <w:r>
        <w:rPr>
          <w:rFonts w:asciiTheme="minorHAnsi" w:eastAsia="Times New Roman" w:hAnsiTheme="minorHAnsi" w:cstheme="minorHAnsi"/>
          <w:bCs/>
        </w:rPr>
        <w:t xml:space="preserve"> 1,300.4 εκατ</w:t>
      </w:r>
      <w:r w:rsidR="003D460C">
        <w:rPr>
          <w:rFonts w:asciiTheme="minorHAnsi" w:eastAsia="Times New Roman" w:hAnsiTheme="minorHAnsi" w:cstheme="minorHAnsi"/>
          <w:bCs/>
        </w:rPr>
        <w:t>.</w:t>
      </w:r>
      <w:r>
        <w:rPr>
          <w:rFonts w:asciiTheme="minorHAnsi" w:eastAsia="Times New Roman" w:hAnsiTheme="minorHAnsi" w:cstheme="minorHAnsi"/>
          <w:bCs/>
        </w:rPr>
        <w:t xml:space="preserve"> κατά το αντίστοιχο τρίμηνο του 2022, με τη μείωση να αποδίδεται στα χαμηλότερα έσοδα του τομέα ενέργειας λόγο </w:t>
      </w:r>
      <w:r w:rsidR="006F7791">
        <w:rPr>
          <w:rFonts w:asciiTheme="minorHAnsi" w:eastAsia="Times New Roman" w:hAnsiTheme="minorHAnsi" w:cstheme="minorHAnsi"/>
          <w:bCs/>
        </w:rPr>
        <w:t>εξομάλυνσης</w:t>
      </w:r>
      <w:r>
        <w:rPr>
          <w:rFonts w:asciiTheme="minorHAnsi" w:eastAsia="Times New Roman" w:hAnsiTheme="minorHAnsi" w:cstheme="minorHAnsi"/>
          <w:bCs/>
        </w:rPr>
        <w:t xml:space="preserve"> των τιμών</w:t>
      </w:r>
      <w:r w:rsidR="003D460C">
        <w:rPr>
          <w:rFonts w:asciiTheme="minorHAnsi" w:eastAsia="Times New Roman" w:hAnsiTheme="minorHAnsi" w:cstheme="minorHAnsi"/>
          <w:bCs/>
        </w:rPr>
        <w:t xml:space="preserve"> στην αγορά ενέργειας</w:t>
      </w:r>
      <w:r>
        <w:rPr>
          <w:rFonts w:asciiTheme="minorHAnsi" w:eastAsia="Times New Roman" w:hAnsiTheme="minorHAnsi" w:cstheme="minorHAnsi"/>
          <w:bCs/>
        </w:rPr>
        <w:t xml:space="preserve">. </w:t>
      </w:r>
      <w:r w:rsidRPr="00E07F0D">
        <w:rPr>
          <w:rFonts w:asciiTheme="minorHAnsi" w:hAnsiTheme="minorHAnsi" w:cstheme="minorHAnsi"/>
        </w:rPr>
        <w:t xml:space="preserve">Η λειτουργική κερδοφορία (προσαρμοσμένο </w:t>
      </w:r>
      <w:r w:rsidRPr="00E07F0D">
        <w:rPr>
          <w:rFonts w:asciiTheme="minorHAnsi" w:hAnsiTheme="minorHAnsi" w:cstheme="minorHAnsi"/>
          <w:lang w:val="en-US"/>
        </w:rPr>
        <w:t>EBITDA</w:t>
      </w:r>
      <w:r w:rsidRPr="00E07F0D">
        <w:rPr>
          <w:rFonts w:asciiTheme="minorHAnsi" w:hAnsiTheme="minorHAnsi" w:cstheme="minorHAnsi"/>
        </w:rPr>
        <w:t>)</w:t>
      </w:r>
      <w:r w:rsidRPr="00E07F0D">
        <w:rPr>
          <w:rFonts w:asciiTheme="minorHAnsi" w:hAnsiTheme="minorHAnsi" w:cstheme="minorHAnsi"/>
          <w:vertAlign w:val="superscript"/>
        </w:rPr>
        <w:t>1</w:t>
      </w:r>
      <w:r w:rsidRPr="00E07F0D">
        <w:rPr>
          <w:rFonts w:asciiTheme="minorHAnsi" w:hAnsiTheme="minorHAnsi" w:cstheme="minorHAnsi"/>
        </w:rPr>
        <w:t xml:space="preserve"> για το τρίμηνο </w:t>
      </w:r>
      <w:r w:rsidR="003D460C">
        <w:rPr>
          <w:rFonts w:asciiTheme="minorHAnsi" w:hAnsiTheme="minorHAnsi" w:cstheme="minorHAnsi"/>
        </w:rPr>
        <w:t>διαμορφώθηκε</w:t>
      </w:r>
      <w:r w:rsidRPr="00E07F0D">
        <w:rPr>
          <w:rFonts w:asciiTheme="minorHAnsi" w:hAnsiTheme="minorHAnsi" w:cstheme="minorHAnsi"/>
        </w:rPr>
        <w:t xml:space="preserve"> σε </w:t>
      </w:r>
      <w:r w:rsidRPr="00E07F0D">
        <w:rPr>
          <w:rFonts w:asciiTheme="minorHAnsi" w:eastAsia="Times New Roman" w:hAnsiTheme="minorHAnsi" w:cstheme="minorHAnsi"/>
        </w:rPr>
        <w:t>€ 146,1 εκατ.</w:t>
      </w:r>
      <w:r>
        <w:rPr>
          <w:rFonts w:asciiTheme="minorHAnsi" w:eastAsia="Times New Roman" w:hAnsiTheme="minorHAnsi" w:cstheme="minorHAnsi"/>
        </w:rPr>
        <w:t xml:space="preserve"> έναντι </w:t>
      </w:r>
      <w:r w:rsidRPr="00E07F0D">
        <w:rPr>
          <w:rFonts w:asciiTheme="minorHAnsi" w:eastAsia="Times New Roman" w:hAnsiTheme="minorHAnsi" w:cstheme="minorHAnsi"/>
        </w:rPr>
        <w:t>€ 1</w:t>
      </w:r>
      <w:r>
        <w:rPr>
          <w:rFonts w:asciiTheme="minorHAnsi" w:eastAsia="Times New Roman" w:hAnsiTheme="minorHAnsi" w:cstheme="minorHAnsi"/>
        </w:rPr>
        <w:t>8</w:t>
      </w:r>
      <w:r w:rsidRPr="00E07F0D">
        <w:rPr>
          <w:rFonts w:asciiTheme="minorHAnsi" w:eastAsia="Times New Roman" w:hAnsiTheme="minorHAnsi" w:cstheme="minorHAnsi"/>
        </w:rPr>
        <w:t>6,</w:t>
      </w:r>
      <w:r>
        <w:rPr>
          <w:rFonts w:asciiTheme="minorHAnsi" w:eastAsia="Times New Roman" w:hAnsiTheme="minorHAnsi" w:cstheme="minorHAnsi"/>
        </w:rPr>
        <w:t>7</w:t>
      </w:r>
      <w:r w:rsidRPr="00E07F0D">
        <w:rPr>
          <w:rFonts w:asciiTheme="minorHAnsi" w:eastAsia="Times New Roman" w:hAnsiTheme="minorHAnsi" w:cstheme="minorHAnsi"/>
        </w:rPr>
        <w:t xml:space="preserve"> εκατ.</w:t>
      </w:r>
      <w:r>
        <w:rPr>
          <w:rFonts w:asciiTheme="minorHAnsi" w:eastAsia="Times New Roman" w:hAnsiTheme="minorHAnsi" w:cstheme="minorHAnsi"/>
        </w:rPr>
        <w:t xml:space="preserve"> το τρίμηνο του 2022. Εξαιρουμένης της συνεισφοράς </w:t>
      </w:r>
      <w:r>
        <w:rPr>
          <w:rFonts w:asciiTheme="minorHAnsi" w:hAnsiTheme="minorHAnsi" w:cstheme="minorHAnsi"/>
        </w:rPr>
        <w:t>του Τομέα Συμβατικής Παραγωγής, Προμήθειας και Εμπορίας Ενέργειας, η λειτουργική κερδοφορία του Ομίλου κατ</w:t>
      </w:r>
      <w:r w:rsidR="003D460C">
        <w:rPr>
          <w:rFonts w:asciiTheme="minorHAnsi" w:hAnsiTheme="minorHAnsi" w:cstheme="minorHAnsi"/>
        </w:rPr>
        <w:t>ά</w:t>
      </w:r>
      <w:r>
        <w:rPr>
          <w:rFonts w:asciiTheme="minorHAnsi" w:hAnsiTheme="minorHAnsi" w:cstheme="minorHAnsi"/>
        </w:rPr>
        <w:t xml:space="preserve"> το Γ΄Τρίμηνο του 2023 ανήλθε σε </w:t>
      </w:r>
      <w:r w:rsidRPr="00522B68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 xml:space="preserve">106,1 εκατ. έναντι </w:t>
      </w:r>
      <w:r w:rsidRPr="00522B68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>65,4 εκατ. τη</w:t>
      </w:r>
      <w:r w:rsidR="003D460C">
        <w:rPr>
          <w:rFonts w:asciiTheme="minorHAnsi" w:hAnsiTheme="minorHAnsi" w:cstheme="minorHAnsi"/>
        </w:rPr>
        <w:t>ν</w:t>
      </w:r>
      <w:r>
        <w:rPr>
          <w:rFonts w:asciiTheme="minorHAnsi" w:hAnsiTheme="minorHAnsi" w:cstheme="minorHAnsi"/>
        </w:rPr>
        <w:t xml:space="preserve"> αντίστοιχη περιόδου του 2022. Τέλος τα </w:t>
      </w:r>
      <w:r w:rsidR="00A52A18">
        <w:rPr>
          <w:rFonts w:asciiTheme="minorHAnsi" w:hAnsiTheme="minorHAnsi" w:cstheme="minorHAnsi"/>
        </w:rPr>
        <w:t xml:space="preserve"> μετά-</w:t>
      </w:r>
      <w:r>
        <w:rPr>
          <w:rFonts w:asciiTheme="minorHAnsi" w:hAnsiTheme="minorHAnsi" w:cstheme="minorHAnsi"/>
        </w:rPr>
        <w:t xml:space="preserve">φόρων κέρδη του Γ΄Τριμήνου </w:t>
      </w:r>
      <w:r w:rsidR="00035571">
        <w:rPr>
          <w:rFonts w:asciiTheme="minorHAnsi" w:hAnsiTheme="minorHAnsi" w:cstheme="minorHAnsi"/>
        </w:rPr>
        <w:t>διαμορφώθηκαν</w:t>
      </w:r>
      <w:r>
        <w:rPr>
          <w:rFonts w:asciiTheme="minorHAnsi" w:hAnsiTheme="minorHAnsi" w:cstheme="minorHAnsi"/>
        </w:rPr>
        <w:t xml:space="preserve"> σε </w:t>
      </w:r>
      <w:r w:rsidRPr="00522B68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>40,</w:t>
      </w:r>
      <w:r w:rsidR="00A52A1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εκατ. έναντι </w:t>
      </w:r>
      <w:r w:rsidRPr="00522B68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 xml:space="preserve">59,3 εκατ. κατά το Γ΄Τρίμηνο του 2022.   </w:t>
      </w:r>
    </w:p>
    <w:p w:rsidR="00E07F0D" w:rsidRPr="00522B68" w:rsidRDefault="00E07F0D" w:rsidP="00904ED4">
      <w:pPr>
        <w:jc w:val="both"/>
        <w:rPr>
          <w:rFonts w:asciiTheme="minorHAnsi" w:eastAsia="Times New Roman" w:hAnsiTheme="minorHAnsi" w:cstheme="minorHAnsi"/>
          <w:color w:val="000000"/>
          <w:highlight w:val="yellow"/>
        </w:rPr>
      </w:pPr>
    </w:p>
    <w:p w:rsidR="00D451C6" w:rsidRPr="003F4CFF" w:rsidRDefault="0065138A" w:rsidP="002C29A4">
      <w:pP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3F4CFF">
        <w:rPr>
          <w:rFonts w:asciiTheme="minorHAnsi" w:eastAsia="Times New Roman" w:hAnsiTheme="minorHAnsi" w:cstheme="minorHAnsi"/>
          <w:b/>
          <w:bCs/>
          <w:color w:val="000000"/>
        </w:rPr>
        <w:t xml:space="preserve">Προοπτικές - </w:t>
      </w:r>
      <w:r w:rsidRPr="003F4CFF">
        <w:rPr>
          <w:rFonts w:asciiTheme="minorHAnsi" w:eastAsia="Times New Roman" w:hAnsiTheme="minorHAnsi" w:cstheme="minorHAnsi"/>
          <w:b/>
          <w:bCs/>
          <w:color w:val="000000"/>
          <w:lang w:val="en-GB"/>
        </w:rPr>
        <w:t>Outlook</w:t>
      </w:r>
    </w:p>
    <w:p w:rsidR="00981932" w:rsidRPr="00522B68" w:rsidRDefault="00981932" w:rsidP="002C29A4">
      <w:pPr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:rsidR="002E52E0" w:rsidRPr="00522B68" w:rsidRDefault="00DE66C4" w:rsidP="002C29A4">
      <w:pPr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522B68">
        <w:rPr>
          <w:rFonts w:asciiTheme="minorHAnsi" w:eastAsia="Times New Roman" w:hAnsiTheme="minorHAnsi" w:cstheme="minorHAnsi"/>
          <w:b/>
          <w:bCs/>
          <w:color w:val="000000"/>
        </w:rPr>
        <w:t>Δεδομένου του μεγέθους και της δυναμικής που έχει πλέον αναπτύξει ο Όμιλος προσβλέπει σε σημαντική περ</w:t>
      </w:r>
      <w:r w:rsidR="00B12F62">
        <w:rPr>
          <w:rFonts w:asciiTheme="minorHAnsi" w:eastAsia="Times New Roman" w:hAnsiTheme="minorHAnsi" w:cstheme="minorHAnsi"/>
          <w:b/>
          <w:bCs/>
          <w:color w:val="000000"/>
        </w:rPr>
        <w:t>αι</w:t>
      </w:r>
      <w:r w:rsidRPr="00522B68">
        <w:rPr>
          <w:rFonts w:asciiTheme="minorHAnsi" w:eastAsia="Times New Roman" w:hAnsiTheme="minorHAnsi" w:cstheme="minorHAnsi"/>
          <w:b/>
          <w:bCs/>
          <w:color w:val="000000"/>
        </w:rPr>
        <w:t>τ</w:t>
      </w:r>
      <w:r w:rsidR="00B12F62">
        <w:rPr>
          <w:rFonts w:asciiTheme="minorHAnsi" w:eastAsia="Times New Roman" w:hAnsiTheme="minorHAnsi" w:cstheme="minorHAnsi"/>
          <w:b/>
          <w:bCs/>
          <w:color w:val="000000"/>
        </w:rPr>
        <w:t>έ</w:t>
      </w:r>
      <w:r w:rsidRPr="00522B68">
        <w:rPr>
          <w:rFonts w:asciiTheme="minorHAnsi" w:eastAsia="Times New Roman" w:hAnsiTheme="minorHAnsi" w:cstheme="minorHAnsi"/>
          <w:b/>
          <w:bCs/>
          <w:color w:val="000000"/>
        </w:rPr>
        <w:t xml:space="preserve">ρω ενίσχυση </w:t>
      </w:r>
      <w:r w:rsidR="00F9509E" w:rsidRPr="00522B68">
        <w:rPr>
          <w:rFonts w:asciiTheme="minorHAnsi" w:eastAsia="Times New Roman" w:hAnsiTheme="minorHAnsi" w:cstheme="minorHAnsi"/>
          <w:b/>
          <w:bCs/>
          <w:color w:val="000000"/>
        </w:rPr>
        <w:t xml:space="preserve">κατά τις επόμενες περιόδους, ενώ τα χαρακτηριστικά των έργων του χαρτοφυλακίου διασφαλίζουν υψηλή ορατότητα ταμειακών ροών και αποδόσεων για τους μετόχους. </w:t>
      </w:r>
      <w:r w:rsidR="00F9509E" w:rsidRPr="00522B68">
        <w:rPr>
          <w:rFonts w:asciiTheme="minorHAnsi" w:eastAsia="Times New Roman" w:hAnsiTheme="minorHAnsi" w:cstheme="minorHAnsi"/>
          <w:color w:val="000000"/>
        </w:rPr>
        <w:t>Πιο αναλυτικά</w:t>
      </w:r>
      <w:r w:rsidR="00F9509E" w:rsidRPr="002C29A4">
        <w:rPr>
          <w:rFonts w:asciiTheme="minorHAnsi" w:hAnsiTheme="minorHAnsi"/>
          <w:color w:val="000000"/>
        </w:rPr>
        <w:t>:</w:t>
      </w:r>
    </w:p>
    <w:p w:rsidR="00A747DA" w:rsidRPr="00522B68" w:rsidRDefault="00A747DA" w:rsidP="002C29A4">
      <w:pPr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:rsidR="00A747DA" w:rsidRPr="00522B68" w:rsidRDefault="00F9509E" w:rsidP="002C29A4">
      <w:pPr>
        <w:pStyle w:val="a9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</w:pPr>
      <w:r w:rsidRPr="00522B6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/>
        </w:rPr>
        <w:t>Στον τομέα κατασκευής</w:t>
      </w:r>
      <w:r w:rsidR="00FA2B2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/>
        </w:rPr>
        <w:t>,</w:t>
      </w:r>
      <w:r w:rsidRPr="002C29A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δ</w:t>
      </w:r>
      <w:r w:rsidR="007B1379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εδομένου του υψηλού ανεκτέλεστου των € 5,</w:t>
      </w:r>
      <w:r w:rsidR="00157575" w:rsidRPr="00157575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5</w:t>
      </w:r>
      <w:r w:rsidR="007B1379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δι</w:t>
      </w:r>
      <w:r w:rsidR="0039031B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σ.</w:t>
      </w:r>
      <w:r w:rsidR="007B1379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και της δυνατότητας του Ομίλου να προχωράει στην απρόσκοπτη εκτέλεση των έργων</w:t>
      </w:r>
      <w:r w:rsidR="0039031B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,</w:t>
      </w:r>
      <w:r w:rsidR="007B1379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αναμένεται η κατασκευαστική δραστηριότητα να παραμείνει υψηλή τις επόμενες περιόδους και να συνεχίσει να ενισχύει την κερδοφορία του Ομίλου. Επιπρόσθετα, οι προοπτικές του κατασκευαστικού κλάδου στην Ελλάδα είναι θετικές, καθώς ο προϋπολογισμός των νέων έργων που θα βγουν προς δημοπράτηση </w:t>
      </w:r>
      <w:r w:rsidR="003D460C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στα επόμενα χρόνια </w:t>
      </w:r>
      <w:r w:rsidR="007B1379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θα ξεπεράσει τα 30 δισ. ευρώ.</w:t>
      </w:r>
    </w:p>
    <w:p w:rsidR="007B1379" w:rsidRPr="00522B68" w:rsidRDefault="007B1379" w:rsidP="002C29A4">
      <w:pPr>
        <w:pStyle w:val="a9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22B6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/>
        </w:rPr>
        <w:t xml:space="preserve">Ο τομέας </w:t>
      </w:r>
      <w:r w:rsidR="00F9509E" w:rsidRPr="00522B6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/>
        </w:rPr>
        <w:t>παραχωρήσεων</w:t>
      </w:r>
      <w:r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αναμένεται να είναι βασικό</w:t>
      </w:r>
      <w:r w:rsidR="00F9509E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ς</w:t>
      </w:r>
      <w:r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μοχλός ενίσχυσης και δημιουργίας αξίας για τον Όμιλο και του</w:t>
      </w:r>
      <w:r w:rsidR="00FA2B26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ς</w:t>
      </w:r>
      <w:r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μετόχους </w:t>
      </w:r>
      <w:r w:rsidR="00FA2B26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του </w:t>
      </w:r>
      <w:r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δεδομένου του μεγέθους και των χαρακτηριστικών των έργων που βρίσκονται αυτή την στιγμή προς υλοποίηση και αναμένεται να ωριμάσουν σταδιακά. Σημαντική συνεισφορά σε αυτό θα έχει και η παραχώρηση της Αττικής Οδού, ενός έργου με 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ιδιαίτερα</w:t>
      </w:r>
      <w:r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ελκυστικό προφίλ ρίσκου/απόδοσης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, που έρχεται να συμβάλλει περαιτέρω στη διασφάλιση </w:t>
      </w:r>
      <w:r w:rsidR="00C76557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σημαντικ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ών</w:t>
      </w:r>
      <w:r w:rsidR="00C76557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, σταθερ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ών</w:t>
      </w:r>
      <w:r w:rsidR="00C76557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και μακροπρόθεσμ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ων</w:t>
      </w:r>
      <w:r w:rsidR="00C76557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χρηματικ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ών</w:t>
      </w:r>
      <w:r w:rsidR="00C76557" w:rsidRPr="00522B68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 xml:space="preserve"> ρο</w:t>
      </w:r>
      <w:r w:rsidR="00EC4B64">
        <w:rPr>
          <w:rFonts w:asciiTheme="minorHAnsi" w:hAnsiTheme="minorHAnsi" w:cstheme="minorHAnsi"/>
          <w:color w:val="000000"/>
          <w:sz w:val="22"/>
          <w:szCs w:val="22"/>
          <w:bdr w:val="none" w:sz="0" w:space="0" w:color="auto"/>
        </w:rPr>
        <w:t>ών</w:t>
      </w:r>
      <w:r w:rsidR="00C76557" w:rsidRPr="00522B68">
        <w:rPr>
          <w:rFonts w:asciiTheme="minorHAnsi" w:hAnsiTheme="minorHAnsi" w:cstheme="minorHAnsi"/>
          <w:sz w:val="22"/>
          <w:szCs w:val="22"/>
        </w:rPr>
        <w:t>. Επιπρόσθετα</w:t>
      </w:r>
      <w:r w:rsidR="00EC4B64">
        <w:rPr>
          <w:rFonts w:asciiTheme="minorHAnsi" w:hAnsiTheme="minorHAnsi" w:cstheme="minorHAnsi"/>
          <w:sz w:val="22"/>
          <w:szCs w:val="22"/>
        </w:rPr>
        <w:t>,</w:t>
      </w:r>
      <w:r w:rsidR="00C76557" w:rsidRPr="00522B68">
        <w:rPr>
          <w:rFonts w:asciiTheme="minorHAnsi" w:hAnsiTheme="minorHAnsi" w:cstheme="minorHAnsi"/>
          <w:sz w:val="22"/>
          <w:szCs w:val="22"/>
        </w:rPr>
        <w:t xml:space="preserve"> ο Όμιλος συμμετέχει στη διαγωνιστική διαδικασία </w:t>
      </w:r>
      <w:r w:rsidR="00FA2B26">
        <w:rPr>
          <w:rFonts w:asciiTheme="minorHAnsi" w:hAnsiTheme="minorHAnsi" w:cstheme="minorHAnsi"/>
          <w:sz w:val="22"/>
          <w:szCs w:val="22"/>
        </w:rPr>
        <w:t>νέων</w:t>
      </w:r>
      <w:r w:rsidR="00C76557" w:rsidRPr="00522B68">
        <w:rPr>
          <w:rFonts w:asciiTheme="minorHAnsi" w:hAnsiTheme="minorHAnsi" w:cstheme="minorHAnsi"/>
          <w:sz w:val="22"/>
          <w:szCs w:val="22"/>
        </w:rPr>
        <w:t>έργων παραχώρησης (ΒΟΑΚ, αεροδρόμιο Καλαμάτας</w:t>
      </w:r>
      <w:r w:rsidR="00FA2B26">
        <w:rPr>
          <w:rFonts w:asciiTheme="minorHAnsi" w:hAnsiTheme="minorHAnsi" w:cstheme="minorHAnsi"/>
          <w:sz w:val="22"/>
          <w:szCs w:val="22"/>
        </w:rPr>
        <w:t xml:space="preserve"> κ.ά.</w:t>
      </w:r>
      <w:r w:rsidR="00C76557" w:rsidRPr="00522B68">
        <w:rPr>
          <w:rFonts w:asciiTheme="minorHAnsi" w:hAnsiTheme="minorHAnsi" w:cstheme="minorHAnsi"/>
          <w:sz w:val="22"/>
          <w:szCs w:val="22"/>
        </w:rPr>
        <w:t xml:space="preserve">) καθώς και διαφόρων Συμπράξεων Δημοσίου και Ιδιωτικού Τομέα (ΣΔΙΤ) </w:t>
      </w:r>
      <w:r w:rsidR="00FA2B26">
        <w:rPr>
          <w:rFonts w:asciiTheme="minorHAnsi" w:hAnsiTheme="minorHAnsi" w:cstheme="minorHAnsi"/>
          <w:sz w:val="22"/>
          <w:szCs w:val="22"/>
        </w:rPr>
        <w:t xml:space="preserve">κι </w:t>
      </w:r>
      <w:r w:rsidR="00C76557" w:rsidRPr="00522B68">
        <w:rPr>
          <w:rFonts w:asciiTheme="minorHAnsi" w:hAnsiTheme="minorHAnsi" w:cstheme="minorHAnsi"/>
          <w:sz w:val="22"/>
          <w:szCs w:val="22"/>
        </w:rPr>
        <w:t>έργων υποδομής και κτιριακών έργων ανά την Ελλάδα</w:t>
      </w:r>
      <w:r w:rsidR="00EC4B64">
        <w:rPr>
          <w:rFonts w:asciiTheme="minorHAnsi" w:hAnsiTheme="minorHAnsi" w:cstheme="minorHAnsi"/>
          <w:sz w:val="22"/>
          <w:szCs w:val="22"/>
        </w:rPr>
        <w:t>,αξιοποιώντας</w:t>
      </w:r>
      <w:r w:rsidR="00C76557" w:rsidRPr="00522B68">
        <w:rPr>
          <w:rFonts w:asciiTheme="minorHAnsi" w:hAnsiTheme="minorHAnsi" w:cstheme="minorHAnsi"/>
          <w:sz w:val="22"/>
          <w:szCs w:val="22"/>
        </w:rPr>
        <w:t xml:space="preserve"> τη βαθιά του εξειδίκευση και υγιή χρηματοοικονομική διάρθρωση.</w:t>
      </w:r>
    </w:p>
    <w:p w:rsidR="00C76557" w:rsidRPr="00522B68" w:rsidRDefault="00C76557" w:rsidP="002C29A4">
      <w:pPr>
        <w:pStyle w:val="a9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22B68">
        <w:rPr>
          <w:rFonts w:asciiTheme="minorHAnsi" w:hAnsiTheme="minorHAnsi" w:cstheme="minorHAnsi"/>
          <w:b/>
          <w:bCs/>
          <w:sz w:val="22"/>
          <w:szCs w:val="22"/>
        </w:rPr>
        <w:t xml:space="preserve">Στον τομέα της παραγωγής και εμπορίας ενέργειας (ηλεκτρισμού και φυσικού αερίου) στην Ελλάδα και το </w:t>
      </w:r>
      <w:r w:rsidR="00FA2B26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Pr="00522B68">
        <w:rPr>
          <w:rFonts w:asciiTheme="minorHAnsi" w:hAnsiTheme="minorHAnsi" w:cstheme="minorHAnsi"/>
          <w:b/>
          <w:bCs/>
          <w:sz w:val="22"/>
          <w:szCs w:val="22"/>
        </w:rPr>
        <w:t>ξωτερικό,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ο Όμιλος συνεχίζει απρόσκοπτα το επενδυτικό του πλάνο </w:t>
      </w:r>
      <w:r w:rsidR="00A269DA">
        <w:rPr>
          <w:rFonts w:asciiTheme="minorHAnsi" w:hAnsiTheme="minorHAnsi" w:cstheme="minorHAnsi"/>
          <w:color w:val="000000"/>
          <w:sz w:val="22"/>
          <w:szCs w:val="22"/>
        </w:rPr>
        <w:t xml:space="preserve">στις ΑΠΕ 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έχοντας πλέον υπό κατασκευή το μεγάλο έργο </w:t>
      </w:r>
      <w:proofErr w:type="spellStart"/>
      <w:r w:rsidRPr="00522B68">
        <w:rPr>
          <w:rFonts w:asciiTheme="minorHAnsi" w:hAnsiTheme="minorHAnsi" w:cstheme="minorHAnsi"/>
          <w:color w:val="000000"/>
          <w:sz w:val="22"/>
          <w:szCs w:val="22"/>
        </w:rPr>
        <w:t>αντλ</w:t>
      </w:r>
      <w:r w:rsidR="00EC4B64">
        <w:rPr>
          <w:rFonts w:asciiTheme="minorHAnsi" w:hAnsiTheme="minorHAnsi" w:cstheme="minorHAnsi"/>
          <w:color w:val="000000"/>
          <w:sz w:val="22"/>
          <w:szCs w:val="22"/>
        </w:rPr>
        <w:t>η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>σ</w:t>
      </w:r>
      <w:r w:rsidR="00EC4B64">
        <w:rPr>
          <w:rFonts w:asciiTheme="minorHAnsi" w:hAnsiTheme="minorHAnsi" w:cstheme="minorHAnsi"/>
          <w:color w:val="000000"/>
          <w:sz w:val="22"/>
          <w:szCs w:val="22"/>
        </w:rPr>
        <w:t>ι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>οταμίευσης</w:t>
      </w:r>
      <w:proofErr w:type="spellEnd"/>
      <w:r w:rsidR="008D20A3">
        <w:rPr>
          <w:rFonts w:asciiTheme="minorHAnsi" w:hAnsiTheme="minorHAnsi" w:cstheme="minorHAnsi"/>
          <w:color w:val="000000"/>
          <w:sz w:val="22"/>
          <w:szCs w:val="22"/>
        </w:rPr>
        <w:t xml:space="preserve"> 680</w:t>
      </w:r>
      <w:r w:rsidR="008D20A3">
        <w:rPr>
          <w:rFonts w:asciiTheme="minorHAnsi" w:hAnsiTheme="minorHAnsi" w:cstheme="minorHAnsi"/>
          <w:color w:val="000000"/>
          <w:sz w:val="22"/>
          <w:szCs w:val="22"/>
          <w:lang w:val="en-US"/>
        </w:rPr>
        <w:t>MW</w:t>
      </w:r>
      <w:r w:rsidR="00FA2B26">
        <w:rPr>
          <w:rFonts w:asciiTheme="minorHAnsi" w:hAnsiTheme="minorHAnsi" w:cstheme="minorHAnsi"/>
          <w:color w:val="000000"/>
          <w:sz w:val="22"/>
          <w:szCs w:val="22"/>
        </w:rPr>
        <w:t xml:space="preserve"> στην Αμφιλοχία</w:t>
      </w:r>
      <w:r w:rsidRPr="0019066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2B26">
        <w:rPr>
          <w:rFonts w:asciiTheme="minorHAnsi" w:hAnsiTheme="minorHAnsi" w:cstheme="minorHAnsi"/>
          <w:color w:val="000000"/>
          <w:sz w:val="22"/>
          <w:szCs w:val="22"/>
        </w:rPr>
        <w:t xml:space="preserve">Επίσης, </w:t>
      </w:r>
      <w:r w:rsidRPr="0019066E">
        <w:rPr>
          <w:rFonts w:asciiTheme="minorHAnsi" w:hAnsiTheme="minorHAnsi" w:cstheme="minorHAnsi"/>
          <w:color w:val="000000"/>
          <w:sz w:val="22"/>
          <w:szCs w:val="22"/>
        </w:rPr>
        <w:t xml:space="preserve"> σταδιακά από το τέλος του τρέχοντος έτους και εντός του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 2024 προγραμματίζεται να ξεκινήσει η κατασκευή νέων πάρκων (κυρίως </w:t>
      </w:r>
      <w:proofErr w:type="spellStart"/>
      <w:r w:rsidRPr="00522B68">
        <w:rPr>
          <w:rFonts w:asciiTheme="minorHAnsi" w:hAnsiTheme="minorHAnsi" w:cstheme="minorHAnsi"/>
          <w:color w:val="000000"/>
          <w:sz w:val="22"/>
          <w:szCs w:val="22"/>
        </w:rPr>
        <w:t>φωτοβολτ</w:t>
      </w:r>
      <w:r w:rsidR="00031539">
        <w:rPr>
          <w:rFonts w:asciiTheme="minorHAnsi" w:hAnsiTheme="minorHAnsi" w:cstheme="minorHAnsi"/>
          <w:color w:val="000000"/>
          <w:sz w:val="22"/>
          <w:szCs w:val="22"/>
        </w:rPr>
        <w:t>αϊ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>κών</w:t>
      </w:r>
      <w:proofErr w:type="spellEnd"/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) στην Ελλάδα </w:t>
      </w:r>
      <w:r w:rsidR="008D20A3">
        <w:rPr>
          <w:rFonts w:asciiTheme="minorHAnsi" w:hAnsiTheme="minorHAnsi" w:cstheme="minorHAnsi"/>
          <w:color w:val="000000"/>
          <w:sz w:val="22"/>
          <w:szCs w:val="22"/>
        </w:rPr>
        <w:t xml:space="preserve">και την Ν.Α. Ευρώπη 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άνω των </w:t>
      </w:r>
      <w:r w:rsidR="008D20A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8D20A3" w:rsidRPr="008D20A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 w:rsidRPr="00522B68">
        <w:rPr>
          <w:rFonts w:asciiTheme="minorHAnsi" w:hAnsiTheme="minorHAnsi" w:cstheme="minorHAnsi"/>
          <w:color w:val="000000"/>
          <w:sz w:val="22"/>
          <w:szCs w:val="22"/>
          <w:lang w:val="en-GB"/>
        </w:rPr>
        <w:t>MW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>. Παράλληλα</w:t>
      </w:r>
      <w:r w:rsidR="00EC4B64" w:rsidRPr="002C29A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 ο Όμιλος προχωρά τις διαδικασίες για την ωρίμανση έργων διαφόρων τεχνολογιών (π.χ. υδροηλεκτρικά, αποθήκευση, υβριδικά κ.α.) στην Ελλάδα</w:t>
      </w:r>
      <w:r w:rsidRPr="00A121A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C4B64" w:rsidRPr="00DA73AF">
        <w:rPr>
          <w:rFonts w:asciiTheme="minorHAnsi" w:hAnsiTheme="minorHAnsi" w:cstheme="minorHAnsi"/>
          <w:color w:val="000000"/>
          <w:sz w:val="22"/>
          <w:szCs w:val="22"/>
        </w:rPr>
        <w:t>Σε αυτό το πλαίσιο</w:t>
      </w:r>
      <w:r w:rsidR="00FA2B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C4B64" w:rsidRPr="00DA73AF">
        <w:rPr>
          <w:rFonts w:asciiTheme="minorHAnsi" w:hAnsiTheme="minorHAnsi" w:cstheme="minorHAnsi"/>
          <w:color w:val="000000"/>
          <w:sz w:val="22"/>
          <w:szCs w:val="22"/>
        </w:rPr>
        <w:t xml:space="preserve"> η συνολική ισχύς των έργων σε λειτουργία, υπό κατασκευή και έτοιμων προς κατασκευή ανέρχεται πλέον σε 2.500 </w:t>
      </w:r>
      <w:r w:rsidR="00EC4B64" w:rsidRPr="00DA73AF">
        <w:rPr>
          <w:rFonts w:asciiTheme="minorHAnsi" w:hAnsiTheme="minorHAnsi" w:cstheme="minorHAnsi"/>
          <w:color w:val="000000"/>
          <w:sz w:val="22"/>
          <w:szCs w:val="22"/>
          <w:lang w:val="en-GB"/>
        </w:rPr>
        <w:t>MW</w:t>
      </w:r>
      <w:r w:rsidR="00EC4B64" w:rsidRPr="00DA73A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6653A" w:rsidRPr="00A121AA">
        <w:rPr>
          <w:rFonts w:asciiTheme="minorHAnsi" w:hAnsiTheme="minorHAnsi" w:cstheme="minorHAnsi"/>
          <w:color w:val="000000"/>
          <w:sz w:val="22"/>
          <w:szCs w:val="22"/>
        </w:rPr>
        <w:t xml:space="preserve"> Στον τομέα της εμπορίας ηλεκτρισμού</w:t>
      </w:r>
      <w:r w:rsidR="008D20A3">
        <w:rPr>
          <w:rFonts w:asciiTheme="minorHAnsi" w:hAnsiTheme="minorHAnsi" w:cstheme="minorHAnsi"/>
          <w:color w:val="000000"/>
          <w:sz w:val="22"/>
          <w:szCs w:val="22"/>
        </w:rPr>
        <w:t>και φυσικού αερίου στην Ελλάδα και το εξωτερικό</w:t>
      </w:r>
      <w:r w:rsidR="0016653A" w:rsidRPr="00A121AA">
        <w:rPr>
          <w:rFonts w:asciiTheme="minorHAnsi" w:hAnsiTheme="minorHAnsi" w:cstheme="minorHAnsi"/>
          <w:color w:val="000000"/>
          <w:sz w:val="22"/>
          <w:szCs w:val="22"/>
        </w:rPr>
        <w:t xml:space="preserve"> ο Όμιλος πλέον έχει καθιερωθεί </w:t>
      </w:r>
      <w:r w:rsidR="00EC4B64" w:rsidRPr="00A121AA">
        <w:rPr>
          <w:rFonts w:asciiTheme="minorHAnsi" w:hAnsiTheme="minorHAnsi" w:cstheme="minorHAnsi"/>
          <w:color w:val="000000"/>
          <w:sz w:val="22"/>
          <w:szCs w:val="22"/>
        </w:rPr>
        <w:t>ως</w:t>
      </w:r>
      <w:r w:rsidR="0016653A" w:rsidRPr="00A121AA">
        <w:rPr>
          <w:rFonts w:asciiTheme="minorHAnsi" w:hAnsiTheme="minorHAnsi" w:cstheme="minorHAnsi"/>
          <w:color w:val="000000"/>
          <w:sz w:val="22"/>
          <w:szCs w:val="22"/>
        </w:rPr>
        <w:t xml:space="preserve"> ένα</w:t>
      </w:r>
      <w:r w:rsidR="00EC4B64" w:rsidRPr="00A121AA"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="0016653A" w:rsidRPr="00A121AA">
        <w:rPr>
          <w:rFonts w:asciiTheme="minorHAnsi" w:hAnsiTheme="minorHAnsi" w:cstheme="minorHAnsi"/>
          <w:color w:val="000000"/>
          <w:sz w:val="22"/>
          <w:szCs w:val="22"/>
        </w:rPr>
        <w:t xml:space="preserve"> από τους</w:t>
      </w:r>
      <w:r w:rsidR="0016653A"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 μεγαλύτερους ιδιώτες </w:t>
      </w:r>
      <w:proofErr w:type="spellStart"/>
      <w:r w:rsidR="0016653A" w:rsidRPr="00522B68">
        <w:rPr>
          <w:rFonts w:asciiTheme="minorHAnsi" w:hAnsiTheme="minorHAnsi" w:cstheme="minorHAnsi"/>
          <w:color w:val="000000"/>
          <w:sz w:val="22"/>
          <w:szCs w:val="22"/>
        </w:rPr>
        <w:t>παρόχους</w:t>
      </w:r>
      <w:proofErr w:type="spellEnd"/>
      <w:r w:rsidR="0016653A"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 ενέργειας, ενώ η </w:t>
      </w:r>
      <w:r w:rsidR="007278A6">
        <w:rPr>
          <w:rFonts w:asciiTheme="minorHAnsi" w:hAnsiTheme="minorHAnsi" w:cstheme="minorHAnsi"/>
          <w:color w:val="000000"/>
          <w:sz w:val="22"/>
          <w:szCs w:val="22"/>
        </w:rPr>
        <w:t>ισχυρή</w:t>
      </w:r>
      <w:r w:rsidR="0016653A"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 παρουσία </w:t>
      </w:r>
      <w:r w:rsidR="00FA2B26">
        <w:rPr>
          <w:rFonts w:asciiTheme="minorHAnsi" w:hAnsiTheme="minorHAnsi" w:cstheme="minorHAnsi"/>
          <w:color w:val="000000"/>
          <w:sz w:val="22"/>
          <w:szCs w:val="22"/>
        </w:rPr>
        <w:t xml:space="preserve">του και η καθετοποίηση </w:t>
      </w:r>
      <w:r w:rsidR="0016653A" w:rsidRPr="00522B68">
        <w:rPr>
          <w:rFonts w:asciiTheme="minorHAnsi" w:hAnsiTheme="minorHAnsi" w:cstheme="minorHAnsi"/>
          <w:color w:val="000000"/>
          <w:sz w:val="22"/>
          <w:szCs w:val="22"/>
        </w:rPr>
        <w:t xml:space="preserve">στο κομμάτι της παραγωγής προσφέρει σημαντικά </w:t>
      </w:r>
      <w:r w:rsidR="007278A6">
        <w:rPr>
          <w:rFonts w:asciiTheme="minorHAnsi" w:hAnsiTheme="minorHAnsi" w:cstheme="minorHAnsi"/>
          <w:color w:val="000000"/>
          <w:sz w:val="22"/>
          <w:szCs w:val="22"/>
        </w:rPr>
        <w:t xml:space="preserve">οφέλη </w:t>
      </w:r>
      <w:r w:rsidR="008D20A3">
        <w:rPr>
          <w:rFonts w:asciiTheme="minorHAnsi" w:hAnsiTheme="minorHAnsi" w:cstheme="minorHAnsi"/>
          <w:color w:val="000000"/>
          <w:sz w:val="22"/>
          <w:szCs w:val="22"/>
        </w:rPr>
        <w:t>και συνέργειες</w:t>
      </w:r>
      <w:r w:rsidR="00FA2B2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E52E0" w:rsidRPr="00522B68" w:rsidRDefault="002E52E0" w:rsidP="00981932">
      <w:pPr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:rsidR="002E52E0" w:rsidRPr="00522B68" w:rsidRDefault="002E52E0" w:rsidP="00AB5A93">
      <w:pPr>
        <w:jc w:val="both"/>
        <w:rPr>
          <w:rFonts w:asciiTheme="minorHAnsi" w:eastAsia="Times New Roman" w:hAnsiTheme="minorHAnsi" w:cstheme="minorHAnsi"/>
          <w:b/>
          <w:i/>
          <w:u w:val="single"/>
        </w:rPr>
      </w:pPr>
    </w:p>
    <w:sectPr w:rsidR="002E52E0" w:rsidRPr="00522B68" w:rsidSect="002C29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4" w:bottom="567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E6" w:rsidRDefault="002556E6" w:rsidP="006352B5">
      <w:pPr>
        <w:spacing w:after="0" w:line="240" w:lineRule="auto"/>
      </w:pPr>
      <w:r>
        <w:separator/>
      </w:r>
    </w:p>
  </w:endnote>
  <w:endnote w:type="continuationSeparator" w:id="1">
    <w:p w:rsidR="002556E6" w:rsidRDefault="002556E6" w:rsidP="006352B5">
      <w:pPr>
        <w:spacing w:after="0" w:line="240" w:lineRule="auto"/>
      </w:pPr>
      <w:r>
        <w:continuationSeparator/>
      </w:r>
    </w:p>
  </w:endnote>
  <w:endnote w:type="continuationNotice" w:id="2">
    <w:p w:rsidR="002556E6" w:rsidRDefault="002556E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840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F30" w:rsidRDefault="00A173AC">
        <w:pPr>
          <w:pStyle w:val="a5"/>
          <w:jc w:val="right"/>
        </w:pPr>
        <w:r>
          <w:fldChar w:fldCharType="begin"/>
        </w:r>
        <w:r w:rsidR="00115F30">
          <w:instrText xml:space="preserve"> PAGE   \* MERGEFORMAT </w:instrText>
        </w:r>
        <w:r>
          <w:fldChar w:fldCharType="separate"/>
        </w:r>
        <w:r w:rsidR="00A933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1681" w:rsidRPr="001B73CE" w:rsidRDefault="00C21681">
    <w:pPr>
      <w:pStyle w:val="a5"/>
      <w:rPr>
        <w:color w:val="2B447E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81" w:rsidRDefault="00A173AC">
    <w:pPr>
      <w:pStyle w:val="a5"/>
    </w:pPr>
    <w:r w:rsidRPr="00A173AC">
      <w:rPr>
        <w:noProof/>
        <w:lang w:eastAsia="el-GR"/>
      </w:rPr>
      <w:pict>
        <v:rect id="Rectangle 3" o:spid="_x0000_s1026" style="position:absolute;margin-left:-17.7pt;margin-top:781.3pt;width:64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" fillcolor="#2b447e" strokecolor="#2b447e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E6" w:rsidRDefault="002556E6" w:rsidP="006352B5">
      <w:pPr>
        <w:spacing w:after="0" w:line="240" w:lineRule="auto"/>
      </w:pPr>
      <w:r>
        <w:separator/>
      </w:r>
    </w:p>
  </w:footnote>
  <w:footnote w:type="continuationSeparator" w:id="1">
    <w:p w:rsidR="002556E6" w:rsidRDefault="002556E6" w:rsidP="006352B5">
      <w:pPr>
        <w:spacing w:after="0" w:line="240" w:lineRule="auto"/>
      </w:pPr>
      <w:r>
        <w:continuationSeparator/>
      </w:r>
    </w:p>
  </w:footnote>
  <w:footnote w:type="continuationNotice" w:id="2">
    <w:p w:rsidR="002556E6" w:rsidRDefault="002556E6">
      <w:pPr>
        <w:spacing w:after="0" w:line="240" w:lineRule="auto"/>
      </w:pPr>
    </w:p>
  </w:footnote>
  <w:footnote w:id="3">
    <w:p w:rsidR="006E5D38" w:rsidRPr="002E343A" w:rsidRDefault="006E5D38" w:rsidP="00007D50">
      <w:pPr>
        <w:pStyle w:val="a6"/>
        <w:jc w:val="both"/>
      </w:pPr>
      <w:r>
        <w:rPr>
          <w:rStyle w:val="a7"/>
        </w:rPr>
        <w:footnoteRef/>
      </w:r>
      <w:r w:rsidRPr="0015496A">
        <w:rPr>
          <w:rFonts w:asciiTheme="minorHAnsi" w:hAnsiTheme="minorHAnsi" w:cstheme="minorHAnsi"/>
          <w:i/>
          <w:iCs/>
          <w:sz w:val="12"/>
          <w:szCs w:val="12"/>
        </w:rPr>
        <w:t xml:space="preserve">Οι εναλλακτικοί δείκτες μέτρησης ΕΔΜΑ προσδιορίζονται στην ενότητα ΣΤ της Έκθεσης Διαχείρισης του Διοικητικού Συμβουλίου, στην </w:t>
      </w:r>
      <w:r w:rsidR="00F83236">
        <w:rPr>
          <w:rFonts w:asciiTheme="minorHAnsi" w:hAnsiTheme="minorHAnsi" w:cstheme="minorHAnsi"/>
          <w:i/>
          <w:iCs/>
          <w:sz w:val="12"/>
          <w:szCs w:val="12"/>
        </w:rPr>
        <w:t>Εξαμηνιαία</w:t>
      </w:r>
      <w:r w:rsidRPr="0015496A">
        <w:rPr>
          <w:rFonts w:asciiTheme="minorHAnsi" w:hAnsiTheme="minorHAnsi" w:cstheme="minorHAnsi"/>
          <w:i/>
          <w:iCs/>
          <w:sz w:val="12"/>
          <w:szCs w:val="12"/>
        </w:rPr>
        <w:t xml:space="preserve">Οικονομική Έκθεση της περιόδου που </w:t>
      </w:r>
      <w:r w:rsidR="00D95831">
        <w:rPr>
          <w:rFonts w:asciiTheme="minorHAnsi" w:hAnsiTheme="minorHAnsi" w:cstheme="minorHAnsi"/>
          <w:i/>
          <w:iCs/>
          <w:sz w:val="12"/>
          <w:szCs w:val="12"/>
        </w:rPr>
        <w:t>έληξε</w:t>
      </w:r>
      <w:r w:rsidRPr="0015496A">
        <w:rPr>
          <w:rFonts w:asciiTheme="minorHAnsi" w:hAnsiTheme="minorHAnsi" w:cstheme="minorHAnsi"/>
          <w:i/>
          <w:iCs/>
          <w:sz w:val="12"/>
          <w:szCs w:val="12"/>
        </w:rPr>
        <w:t xml:space="preserve"> την </w:t>
      </w:r>
      <w:r w:rsidRPr="0000504B">
        <w:rPr>
          <w:rFonts w:asciiTheme="minorHAnsi" w:hAnsiTheme="minorHAnsi" w:cstheme="minorHAnsi"/>
          <w:i/>
          <w:iCs/>
          <w:sz w:val="12"/>
          <w:szCs w:val="12"/>
        </w:rPr>
        <w:t>3</w:t>
      </w:r>
      <w:r w:rsidR="000E633E">
        <w:rPr>
          <w:rFonts w:asciiTheme="minorHAnsi" w:hAnsiTheme="minorHAnsi" w:cstheme="minorHAnsi"/>
          <w:i/>
          <w:iCs/>
          <w:sz w:val="12"/>
          <w:szCs w:val="12"/>
        </w:rPr>
        <w:t>0</w:t>
      </w:r>
      <w:r w:rsidRPr="0015496A">
        <w:rPr>
          <w:rFonts w:asciiTheme="minorHAnsi" w:hAnsiTheme="minorHAnsi" w:cstheme="minorHAnsi"/>
          <w:i/>
          <w:iCs/>
          <w:sz w:val="12"/>
          <w:szCs w:val="12"/>
        </w:rPr>
        <w:t>.</w:t>
      </w:r>
      <w:r w:rsidR="000E633E">
        <w:rPr>
          <w:rFonts w:asciiTheme="minorHAnsi" w:hAnsiTheme="minorHAnsi" w:cstheme="minorHAnsi"/>
          <w:i/>
          <w:iCs/>
          <w:sz w:val="12"/>
          <w:szCs w:val="12"/>
        </w:rPr>
        <w:t>06</w:t>
      </w:r>
      <w:r w:rsidRPr="0015496A">
        <w:rPr>
          <w:rFonts w:asciiTheme="minorHAnsi" w:hAnsiTheme="minorHAnsi" w:cstheme="minorHAnsi"/>
          <w:i/>
          <w:iCs/>
          <w:sz w:val="12"/>
          <w:szCs w:val="12"/>
        </w:rPr>
        <w:t>.202</w:t>
      </w:r>
      <w:r w:rsidR="000E633E">
        <w:rPr>
          <w:rFonts w:asciiTheme="minorHAnsi" w:hAnsiTheme="minorHAnsi" w:cstheme="minorHAnsi"/>
          <w:i/>
          <w:iCs/>
          <w:sz w:val="12"/>
          <w:szCs w:val="12"/>
        </w:rPr>
        <w:t>3</w:t>
      </w:r>
      <w:r w:rsidRPr="0015496A">
        <w:rPr>
          <w:rFonts w:asciiTheme="minorHAnsi" w:hAnsiTheme="minorHAnsi" w:cstheme="minorHAnsi"/>
          <w:i/>
          <w:iCs/>
          <w:sz w:val="12"/>
          <w:szCs w:val="12"/>
        </w:rPr>
        <w:t>.</w:t>
      </w:r>
    </w:p>
  </w:footnote>
  <w:footnote w:id="4">
    <w:p w:rsidR="006E5D38" w:rsidRPr="006E5D38" w:rsidRDefault="006E5D38" w:rsidP="00007D50">
      <w:pPr>
        <w:pStyle w:val="a6"/>
        <w:jc w:val="both"/>
      </w:pPr>
      <w:r w:rsidRPr="00F83236">
        <w:rPr>
          <w:rStyle w:val="a7"/>
        </w:rPr>
        <w:footnoteRef/>
      </w:r>
      <w:r w:rsidR="007836B5" w:rsidRPr="00D3567E">
        <w:rPr>
          <w:rFonts w:asciiTheme="minorHAnsi" w:hAnsiTheme="minorHAnsi"/>
          <w:sz w:val="12"/>
        </w:rPr>
        <w:t xml:space="preserve">Σημειώνεται ότι, στα μετά φόρων αποτελέσματα της τρέχουσας περιόδου έχουν συμπεριληφθεί και γεγονότα που έχουν τον χαρακτηρισμό  του μη λειτουργικού αποτελέσματος: α) ζημιά 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>4,3</w:t>
      </w:r>
      <w:r w:rsidR="007836B5" w:rsidRPr="00D3567E">
        <w:rPr>
          <w:rFonts w:asciiTheme="minorHAnsi" w:hAnsiTheme="minorHAnsi"/>
          <w:sz w:val="12"/>
        </w:rPr>
        <w:t xml:space="preserve"> εκατ. ευρώ έναντι ζημίας 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>53,2</w:t>
      </w:r>
      <w:r w:rsidR="007836B5" w:rsidRPr="00D3567E">
        <w:rPr>
          <w:rFonts w:asciiTheme="minorHAnsi" w:hAnsiTheme="minorHAnsi"/>
          <w:sz w:val="12"/>
        </w:rPr>
        <w:t xml:space="preserve"> εκατ. ευρώ την αντίστοιχη περίοδο του 2022, από την μεταβολή της εύλογης αξίας του ενσωματωμένου παραγώγου, το οποίο έχει αναγνωριστεί στο πλαίσιο λειτουργίας 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>του Τομέα Παραχωρήσεων</w:t>
      </w:r>
      <w:r w:rsidR="007836B5" w:rsidRPr="00D3567E">
        <w:rPr>
          <w:rFonts w:asciiTheme="minorHAnsi" w:hAnsiTheme="minorHAnsi"/>
          <w:sz w:val="12"/>
        </w:rPr>
        <w:t xml:space="preserve"> και β) κέρδος 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>11,6</w:t>
      </w:r>
      <w:r w:rsidR="007836B5" w:rsidRPr="00D3567E">
        <w:rPr>
          <w:rFonts w:asciiTheme="minorHAnsi" w:hAnsiTheme="minorHAnsi"/>
          <w:sz w:val="12"/>
        </w:rPr>
        <w:t xml:space="preserve"> εκατ. ευρώ από την αποτίμηση παραγώγων στον 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 xml:space="preserve">Τομέα Παραγωγής Ηλεκτρισμού από Θερμικές πηγές ενέργειας – Πώληση Ενέργειας, έναντι κέρδους 7 εκ ευρώ την αντίστοιχη περίοδο του 2022 και γ) κέρδος 3,6 εκατ. ευρώ από αποτιμήσεις λοιπών συμμετοχών (έναντι κέρδους 21,2 </w:t>
      </w:r>
      <w:r w:rsidR="007836B5">
        <w:rPr>
          <w:rFonts w:asciiTheme="minorHAnsi" w:eastAsia="Times New Roman" w:hAnsiTheme="minorHAnsi" w:cstheme="minorHAnsi"/>
          <w:sz w:val="12"/>
          <w:szCs w:val="12"/>
        </w:rPr>
        <w:t xml:space="preserve">εκατ. ευρώ 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>από την εξαγορά της ΗΡΩΝ ΕΝΕΡΓΕΙΑΚΗ</w:t>
      </w:r>
      <w:r w:rsidR="007836B5">
        <w:rPr>
          <w:rFonts w:asciiTheme="minorHAnsi" w:eastAsia="Times New Roman" w:hAnsiTheme="minorHAnsi" w:cstheme="minorHAnsi"/>
          <w:sz w:val="12"/>
          <w:szCs w:val="12"/>
        </w:rPr>
        <w:t xml:space="preserve"> την αντίστοιχη περίοδο του 2022)</w:t>
      </w:r>
      <w:r w:rsidR="007836B5" w:rsidRPr="00D3567E">
        <w:rPr>
          <w:rFonts w:asciiTheme="minorHAnsi" w:eastAsia="Times New Roman" w:hAnsiTheme="minorHAnsi" w:cstheme="minorHAnsi"/>
          <w:sz w:val="12"/>
          <w:szCs w:val="12"/>
        </w:rPr>
        <w:t>. Τα μη λειτουργικά αποτελέσματα δεν συμπεριλαμβάνονται στα προσαρμοσμένα καθαρά κέρδη όπως παρουσιάζονται.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81" w:rsidRDefault="00C21681">
    <w:pPr>
      <w:pStyle w:val="a4"/>
      <w:rPr>
        <w:lang w:val="en-US"/>
      </w:rPr>
    </w:pPr>
    <w:r>
      <w:rPr>
        <w:noProof/>
        <w:lang w:val="en-US"/>
      </w:rPr>
      <w:drawing>
        <wp:inline distT="0" distB="0" distL="0" distR="0">
          <wp:extent cx="1030605" cy="375285"/>
          <wp:effectExtent l="0" t="0" r="0" b="5715"/>
          <wp:docPr id="12" name="Picture 12" descr="GEK_TERN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K_TERNA_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085"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681" w:rsidRPr="00EE0C0E" w:rsidRDefault="00C21681">
    <w:pPr>
      <w:pStyle w:val="a4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81" w:rsidRDefault="00C21681">
    <w:pPr>
      <w:pStyle w:val="a4"/>
      <w:rPr>
        <w:lang w:val="en-US"/>
      </w:rPr>
    </w:pPr>
    <w:r>
      <w:rPr>
        <w:noProof/>
        <w:lang w:val="en-US"/>
      </w:rPr>
      <w:drawing>
        <wp:inline distT="0" distB="0" distL="0" distR="0">
          <wp:extent cx="1528445" cy="573405"/>
          <wp:effectExtent l="0" t="0" r="0" b="0"/>
          <wp:docPr id="13" name="Picture 13" descr="GEK_TERN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K_TERNA_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085" r="2654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681" w:rsidRPr="004A2D2E" w:rsidRDefault="00C21681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1E2"/>
    <w:multiLevelType w:val="hybridMultilevel"/>
    <w:tmpl w:val="DD548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96E"/>
    <w:multiLevelType w:val="hybridMultilevel"/>
    <w:tmpl w:val="553A297A"/>
    <w:lvl w:ilvl="0" w:tplc="3F7C02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E79EB"/>
    <w:multiLevelType w:val="hybridMultilevel"/>
    <w:tmpl w:val="17DCA37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7CF1C83"/>
    <w:multiLevelType w:val="hybridMultilevel"/>
    <w:tmpl w:val="1B6E97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63EC2"/>
    <w:multiLevelType w:val="hybridMultilevel"/>
    <w:tmpl w:val="647EA832"/>
    <w:lvl w:ilvl="0" w:tplc="1ACA0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50CAC"/>
    <w:multiLevelType w:val="hybridMultilevel"/>
    <w:tmpl w:val="A252C4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127E01"/>
    <w:multiLevelType w:val="hybridMultilevel"/>
    <w:tmpl w:val="99B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71654"/>
    <w:multiLevelType w:val="hybridMultilevel"/>
    <w:tmpl w:val="B3928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909D0"/>
    <w:multiLevelType w:val="hybridMultilevel"/>
    <w:tmpl w:val="4970A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E596B"/>
    <w:multiLevelType w:val="hybridMultilevel"/>
    <w:tmpl w:val="27402B26"/>
    <w:lvl w:ilvl="0" w:tplc="93AA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6E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84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2F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C9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7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6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ED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63F24"/>
    <w:multiLevelType w:val="hybridMultilevel"/>
    <w:tmpl w:val="F7AAF216"/>
    <w:lvl w:ilvl="0" w:tplc="D5AE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2C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03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23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AD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61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A8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8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00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04073"/>
    <w:multiLevelType w:val="hybridMultilevel"/>
    <w:tmpl w:val="42925850"/>
    <w:lvl w:ilvl="0" w:tplc="5B846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7F4308"/>
    <w:multiLevelType w:val="hybridMultilevel"/>
    <w:tmpl w:val="73307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C6090"/>
    <w:multiLevelType w:val="hybridMultilevel"/>
    <w:tmpl w:val="7EACE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B4438"/>
    <w:multiLevelType w:val="hybridMultilevel"/>
    <w:tmpl w:val="90929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B270A"/>
    <w:multiLevelType w:val="hybridMultilevel"/>
    <w:tmpl w:val="A6827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140F4"/>
    <w:multiLevelType w:val="hybridMultilevel"/>
    <w:tmpl w:val="17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C6D65"/>
    <w:multiLevelType w:val="hybridMultilevel"/>
    <w:tmpl w:val="C77EB0B2"/>
    <w:lvl w:ilvl="0" w:tplc="D2361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040F4"/>
    <w:multiLevelType w:val="multilevel"/>
    <w:tmpl w:val="08445D3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5C57101"/>
    <w:multiLevelType w:val="hybridMultilevel"/>
    <w:tmpl w:val="11263B2C"/>
    <w:lvl w:ilvl="0" w:tplc="5C64C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3CE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8605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F2EE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1EA09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EDC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0841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F41E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3261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>
    <w:nsid w:val="699412F5"/>
    <w:multiLevelType w:val="hybridMultilevel"/>
    <w:tmpl w:val="E5965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94FC0"/>
    <w:multiLevelType w:val="hybridMultilevel"/>
    <w:tmpl w:val="859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21975"/>
    <w:multiLevelType w:val="hybridMultilevel"/>
    <w:tmpl w:val="4FDC3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20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3"/>
  </w:num>
  <w:num w:numId="16">
    <w:abstractNumId w:val="22"/>
  </w:num>
  <w:num w:numId="17">
    <w:abstractNumId w:val="11"/>
  </w:num>
  <w:num w:numId="18">
    <w:abstractNumId w:val="12"/>
  </w:num>
  <w:num w:numId="19">
    <w:abstractNumId w:val="18"/>
  </w:num>
  <w:num w:numId="20">
    <w:abstractNumId w:val="10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352B5"/>
    <w:rsid w:val="000030D4"/>
    <w:rsid w:val="000043D1"/>
    <w:rsid w:val="0000504B"/>
    <w:rsid w:val="00006E61"/>
    <w:rsid w:val="00007D50"/>
    <w:rsid w:val="00012E14"/>
    <w:rsid w:val="00015764"/>
    <w:rsid w:val="00020431"/>
    <w:rsid w:val="00021ED3"/>
    <w:rsid w:val="00024943"/>
    <w:rsid w:val="000300F1"/>
    <w:rsid w:val="00031539"/>
    <w:rsid w:val="00031B7C"/>
    <w:rsid w:val="000351B7"/>
    <w:rsid w:val="000353D6"/>
    <w:rsid w:val="00035571"/>
    <w:rsid w:val="00041C6C"/>
    <w:rsid w:val="000434CC"/>
    <w:rsid w:val="00045A86"/>
    <w:rsid w:val="000502C8"/>
    <w:rsid w:val="00054836"/>
    <w:rsid w:val="00054EBC"/>
    <w:rsid w:val="00055715"/>
    <w:rsid w:val="00062586"/>
    <w:rsid w:val="00062FBD"/>
    <w:rsid w:val="0006383C"/>
    <w:rsid w:val="00064D81"/>
    <w:rsid w:val="00065030"/>
    <w:rsid w:val="00074350"/>
    <w:rsid w:val="00077051"/>
    <w:rsid w:val="00077F41"/>
    <w:rsid w:val="00081741"/>
    <w:rsid w:val="00082790"/>
    <w:rsid w:val="00086EA9"/>
    <w:rsid w:val="00090DF8"/>
    <w:rsid w:val="00092FA8"/>
    <w:rsid w:val="000A51FF"/>
    <w:rsid w:val="000A5887"/>
    <w:rsid w:val="000A7194"/>
    <w:rsid w:val="000A7319"/>
    <w:rsid w:val="000C06BB"/>
    <w:rsid w:val="000C15D5"/>
    <w:rsid w:val="000C2995"/>
    <w:rsid w:val="000C3C69"/>
    <w:rsid w:val="000C47C8"/>
    <w:rsid w:val="000C50AD"/>
    <w:rsid w:val="000D26D7"/>
    <w:rsid w:val="000D7496"/>
    <w:rsid w:val="000E2EB1"/>
    <w:rsid w:val="000E368A"/>
    <w:rsid w:val="000E3E8D"/>
    <w:rsid w:val="000E633E"/>
    <w:rsid w:val="000E684E"/>
    <w:rsid w:val="000E724F"/>
    <w:rsid w:val="000F0C46"/>
    <w:rsid w:val="000F5F15"/>
    <w:rsid w:val="000F7F4E"/>
    <w:rsid w:val="00100B68"/>
    <w:rsid w:val="00100CD0"/>
    <w:rsid w:val="00104D18"/>
    <w:rsid w:val="00105849"/>
    <w:rsid w:val="00115F30"/>
    <w:rsid w:val="00123043"/>
    <w:rsid w:val="0012437A"/>
    <w:rsid w:val="001247CF"/>
    <w:rsid w:val="0012484D"/>
    <w:rsid w:val="00124DE6"/>
    <w:rsid w:val="00125071"/>
    <w:rsid w:val="00125319"/>
    <w:rsid w:val="00126B34"/>
    <w:rsid w:val="001303D1"/>
    <w:rsid w:val="00134BB2"/>
    <w:rsid w:val="0013732D"/>
    <w:rsid w:val="001417B4"/>
    <w:rsid w:val="00141B37"/>
    <w:rsid w:val="00142C3B"/>
    <w:rsid w:val="00143481"/>
    <w:rsid w:val="0014722A"/>
    <w:rsid w:val="00147E65"/>
    <w:rsid w:val="00150F29"/>
    <w:rsid w:val="001522E4"/>
    <w:rsid w:val="001529B3"/>
    <w:rsid w:val="00152B2C"/>
    <w:rsid w:val="00152F4C"/>
    <w:rsid w:val="0015496A"/>
    <w:rsid w:val="001551DD"/>
    <w:rsid w:val="00155539"/>
    <w:rsid w:val="00157575"/>
    <w:rsid w:val="00157A36"/>
    <w:rsid w:val="00160B12"/>
    <w:rsid w:val="00160FD6"/>
    <w:rsid w:val="0016153B"/>
    <w:rsid w:val="00161C82"/>
    <w:rsid w:val="00162F0B"/>
    <w:rsid w:val="00164394"/>
    <w:rsid w:val="0016653A"/>
    <w:rsid w:val="001706DE"/>
    <w:rsid w:val="00170FD7"/>
    <w:rsid w:val="00171003"/>
    <w:rsid w:val="00172FF9"/>
    <w:rsid w:val="00173599"/>
    <w:rsid w:val="001754EE"/>
    <w:rsid w:val="00175F17"/>
    <w:rsid w:val="00180C5F"/>
    <w:rsid w:val="00180D04"/>
    <w:rsid w:val="00180D5A"/>
    <w:rsid w:val="0018425C"/>
    <w:rsid w:val="00184D9C"/>
    <w:rsid w:val="0019066E"/>
    <w:rsid w:val="001911AD"/>
    <w:rsid w:val="00192D4F"/>
    <w:rsid w:val="0019371A"/>
    <w:rsid w:val="001968DF"/>
    <w:rsid w:val="001A3F3E"/>
    <w:rsid w:val="001A4A95"/>
    <w:rsid w:val="001A4F42"/>
    <w:rsid w:val="001A64E7"/>
    <w:rsid w:val="001A73F4"/>
    <w:rsid w:val="001A76E3"/>
    <w:rsid w:val="001B3C8A"/>
    <w:rsid w:val="001B73CE"/>
    <w:rsid w:val="001B7CA2"/>
    <w:rsid w:val="001C1898"/>
    <w:rsid w:val="001C3A0B"/>
    <w:rsid w:val="001C5287"/>
    <w:rsid w:val="001C713B"/>
    <w:rsid w:val="001D138C"/>
    <w:rsid w:val="001D2572"/>
    <w:rsid w:val="001D2EDF"/>
    <w:rsid w:val="001D35C5"/>
    <w:rsid w:val="001D41E0"/>
    <w:rsid w:val="001D4AAB"/>
    <w:rsid w:val="001D684E"/>
    <w:rsid w:val="001D7725"/>
    <w:rsid w:val="001F0161"/>
    <w:rsid w:val="001F04A5"/>
    <w:rsid w:val="001F1F10"/>
    <w:rsid w:val="001F3CB0"/>
    <w:rsid w:val="001F4420"/>
    <w:rsid w:val="001F7D92"/>
    <w:rsid w:val="002069B3"/>
    <w:rsid w:val="0020700C"/>
    <w:rsid w:val="0020778A"/>
    <w:rsid w:val="00207B24"/>
    <w:rsid w:val="00211D2A"/>
    <w:rsid w:val="00212F8F"/>
    <w:rsid w:val="002136C5"/>
    <w:rsid w:val="0022056B"/>
    <w:rsid w:val="00222BC2"/>
    <w:rsid w:val="00223141"/>
    <w:rsid w:val="00223ADA"/>
    <w:rsid w:val="00226938"/>
    <w:rsid w:val="00231B95"/>
    <w:rsid w:val="002342C3"/>
    <w:rsid w:val="00247496"/>
    <w:rsid w:val="002475C6"/>
    <w:rsid w:val="00251908"/>
    <w:rsid w:val="002556E6"/>
    <w:rsid w:val="0026103A"/>
    <w:rsid w:val="00271445"/>
    <w:rsid w:val="002753A3"/>
    <w:rsid w:val="00277A10"/>
    <w:rsid w:val="00280556"/>
    <w:rsid w:val="00283287"/>
    <w:rsid w:val="0028381B"/>
    <w:rsid w:val="0028437D"/>
    <w:rsid w:val="00284C8D"/>
    <w:rsid w:val="0028505E"/>
    <w:rsid w:val="00286761"/>
    <w:rsid w:val="00297294"/>
    <w:rsid w:val="002978CF"/>
    <w:rsid w:val="00297C4A"/>
    <w:rsid w:val="002A555C"/>
    <w:rsid w:val="002A731D"/>
    <w:rsid w:val="002B019A"/>
    <w:rsid w:val="002B14EB"/>
    <w:rsid w:val="002C11C1"/>
    <w:rsid w:val="002C299B"/>
    <w:rsid w:val="002C29A4"/>
    <w:rsid w:val="002C2A58"/>
    <w:rsid w:val="002C414B"/>
    <w:rsid w:val="002C63D6"/>
    <w:rsid w:val="002D3BAA"/>
    <w:rsid w:val="002D53DA"/>
    <w:rsid w:val="002D53E5"/>
    <w:rsid w:val="002D59BC"/>
    <w:rsid w:val="002D6A12"/>
    <w:rsid w:val="002D700F"/>
    <w:rsid w:val="002E2EB3"/>
    <w:rsid w:val="002E343A"/>
    <w:rsid w:val="002E52E0"/>
    <w:rsid w:val="002E5405"/>
    <w:rsid w:val="002E5CD4"/>
    <w:rsid w:val="002E6B57"/>
    <w:rsid w:val="002F1EA8"/>
    <w:rsid w:val="00300216"/>
    <w:rsid w:val="00305106"/>
    <w:rsid w:val="003070C6"/>
    <w:rsid w:val="00307D16"/>
    <w:rsid w:val="00307E82"/>
    <w:rsid w:val="003102EF"/>
    <w:rsid w:val="00314BB0"/>
    <w:rsid w:val="003152D9"/>
    <w:rsid w:val="00316153"/>
    <w:rsid w:val="00320507"/>
    <w:rsid w:val="0032106E"/>
    <w:rsid w:val="0032166A"/>
    <w:rsid w:val="00325A5B"/>
    <w:rsid w:val="003262D7"/>
    <w:rsid w:val="00331F0A"/>
    <w:rsid w:val="003321D5"/>
    <w:rsid w:val="00332628"/>
    <w:rsid w:val="00332DDB"/>
    <w:rsid w:val="00333AE6"/>
    <w:rsid w:val="003352B4"/>
    <w:rsid w:val="00335386"/>
    <w:rsid w:val="00336072"/>
    <w:rsid w:val="003418E0"/>
    <w:rsid w:val="00343B7F"/>
    <w:rsid w:val="00345DE8"/>
    <w:rsid w:val="0035590F"/>
    <w:rsid w:val="00355D6F"/>
    <w:rsid w:val="003575B8"/>
    <w:rsid w:val="00357C90"/>
    <w:rsid w:val="00360090"/>
    <w:rsid w:val="00361BCF"/>
    <w:rsid w:val="00363319"/>
    <w:rsid w:val="00365101"/>
    <w:rsid w:val="00372259"/>
    <w:rsid w:val="00374E75"/>
    <w:rsid w:val="003804F7"/>
    <w:rsid w:val="003805E7"/>
    <w:rsid w:val="00382778"/>
    <w:rsid w:val="00386E6E"/>
    <w:rsid w:val="0039031B"/>
    <w:rsid w:val="00392FE8"/>
    <w:rsid w:val="003942F4"/>
    <w:rsid w:val="00395D93"/>
    <w:rsid w:val="003A2CF0"/>
    <w:rsid w:val="003A4328"/>
    <w:rsid w:val="003A7004"/>
    <w:rsid w:val="003B2172"/>
    <w:rsid w:val="003B616E"/>
    <w:rsid w:val="003B6A2B"/>
    <w:rsid w:val="003B757C"/>
    <w:rsid w:val="003C31E9"/>
    <w:rsid w:val="003C340F"/>
    <w:rsid w:val="003C3A51"/>
    <w:rsid w:val="003C404F"/>
    <w:rsid w:val="003C59FA"/>
    <w:rsid w:val="003C7543"/>
    <w:rsid w:val="003C7C4D"/>
    <w:rsid w:val="003D03A4"/>
    <w:rsid w:val="003D1701"/>
    <w:rsid w:val="003D23E7"/>
    <w:rsid w:val="003D2C62"/>
    <w:rsid w:val="003D460C"/>
    <w:rsid w:val="003D51D7"/>
    <w:rsid w:val="003D6A10"/>
    <w:rsid w:val="003D74A2"/>
    <w:rsid w:val="003E041F"/>
    <w:rsid w:val="003E06B0"/>
    <w:rsid w:val="003E40EE"/>
    <w:rsid w:val="003E436A"/>
    <w:rsid w:val="003E650A"/>
    <w:rsid w:val="003E6C8C"/>
    <w:rsid w:val="003E6EC7"/>
    <w:rsid w:val="003F06BF"/>
    <w:rsid w:val="003F0789"/>
    <w:rsid w:val="003F17CC"/>
    <w:rsid w:val="003F21B7"/>
    <w:rsid w:val="003F4CFF"/>
    <w:rsid w:val="003F5E7B"/>
    <w:rsid w:val="00403377"/>
    <w:rsid w:val="004040A6"/>
    <w:rsid w:val="004054A6"/>
    <w:rsid w:val="00407243"/>
    <w:rsid w:val="00410840"/>
    <w:rsid w:val="00411101"/>
    <w:rsid w:val="00413C5C"/>
    <w:rsid w:val="004215BF"/>
    <w:rsid w:val="0042170C"/>
    <w:rsid w:val="0042462F"/>
    <w:rsid w:val="00424F07"/>
    <w:rsid w:val="00425373"/>
    <w:rsid w:val="004264A6"/>
    <w:rsid w:val="004367D0"/>
    <w:rsid w:val="004370F0"/>
    <w:rsid w:val="0043743E"/>
    <w:rsid w:val="004416CD"/>
    <w:rsid w:val="00441F5E"/>
    <w:rsid w:val="00444E52"/>
    <w:rsid w:val="00447AC7"/>
    <w:rsid w:val="00447DF3"/>
    <w:rsid w:val="004503DE"/>
    <w:rsid w:val="00453F50"/>
    <w:rsid w:val="004550B8"/>
    <w:rsid w:val="00455D32"/>
    <w:rsid w:val="00456FC2"/>
    <w:rsid w:val="00457D59"/>
    <w:rsid w:val="00461FA8"/>
    <w:rsid w:val="00464122"/>
    <w:rsid w:val="004707A0"/>
    <w:rsid w:val="004738BA"/>
    <w:rsid w:val="00473C22"/>
    <w:rsid w:val="00475F4E"/>
    <w:rsid w:val="00476342"/>
    <w:rsid w:val="004801DE"/>
    <w:rsid w:val="00481C96"/>
    <w:rsid w:val="0048417E"/>
    <w:rsid w:val="004854C8"/>
    <w:rsid w:val="00487509"/>
    <w:rsid w:val="00495D11"/>
    <w:rsid w:val="004A002E"/>
    <w:rsid w:val="004A07FD"/>
    <w:rsid w:val="004A0C86"/>
    <w:rsid w:val="004A22DD"/>
    <w:rsid w:val="004A2D2E"/>
    <w:rsid w:val="004A4378"/>
    <w:rsid w:val="004A74B1"/>
    <w:rsid w:val="004A7CA9"/>
    <w:rsid w:val="004B1A0B"/>
    <w:rsid w:val="004B2F44"/>
    <w:rsid w:val="004B3526"/>
    <w:rsid w:val="004C19F1"/>
    <w:rsid w:val="004C19F7"/>
    <w:rsid w:val="004C3D7E"/>
    <w:rsid w:val="004C4B2D"/>
    <w:rsid w:val="004C516E"/>
    <w:rsid w:val="004C52A6"/>
    <w:rsid w:val="004C53EF"/>
    <w:rsid w:val="004C65EB"/>
    <w:rsid w:val="004D0610"/>
    <w:rsid w:val="004D1F42"/>
    <w:rsid w:val="004D517C"/>
    <w:rsid w:val="004D6D15"/>
    <w:rsid w:val="004D77D6"/>
    <w:rsid w:val="004E2160"/>
    <w:rsid w:val="004E35B7"/>
    <w:rsid w:val="004E57D0"/>
    <w:rsid w:val="004E5CCD"/>
    <w:rsid w:val="004E6372"/>
    <w:rsid w:val="004F08F3"/>
    <w:rsid w:val="004F3C92"/>
    <w:rsid w:val="004F4083"/>
    <w:rsid w:val="004F4EBF"/>
    <w:rsid w:val="004F7B34"/>
    <w:rsid w:val="0050002B"/>
    <w:rsid w:val="00500EC8"/>
    <w:rsid w:val="00501666"/>
    <w:rsid w:val="0050282D"/>
    <w:rsid w:val="0050392C"/>
    <w:rsid w:val="005043E1"/>
    <w:rsid w:val="00505C70"/>
    <w:rsid w:val="00507AC5"/>
    <w:rsid w:val="005103E3"/>
    <w:rsid w:val="00511BBC"/>
    <w:rsid w:val="00511F55"/>
    <w:rsid w:val="00513617"/>
    <w:rsid w:val="00513FDF"/>
    <w:rsid w:val="00514742"/>
    <w:rsid w:val="00514B25"/>
    <w:rsid w:val="005153FC"/>
    <w:rsid w:val="00515D17"/>
    <w:rsid w:val="00517569"/>
    <w:rsid w:val="0052003D"/>
    <w:rsid w:val="00520171"/>
    <w:rsid w:val="0052248B"/>
    <w:rsid w:val="00522B68"/>
    <w:rsid w:val="00522BC6"/>
    <w:rsid w:val="0052729E"/>
    <w:rsid w:val="00532156"/>
    <w:rsid w:val="0053612D"/>
    <w:rsid w:val="00537E91"/>
    <w:rsid w:val="005413FA"/>
    <w:rsid w:val="0054267F"/>
    <w:rsid w:val="00551301"/>
    <w:rsid w:val="0055248E"/>
    <w:rsid w:val="005526BD"/>
    <w:rsid w:val="00554267"/>
    <w:rsid w:val="0055456F"/>
    <w:rsid w:val="005546E7"/>
    <w:rsid w:val="00554DEC"/>
    <w:rsid w:val="00555524"/>
    <w:rsid w:val="0055618D"/>
    <w:rsid w:val="00560B6E"/>
    <w:rsid w:val="0056240F"/>
    <w:rsid w:val="005628DF"/>
    <w:rsid w:val="00563DBA"/>
    <w:rsid w:val="00564AEA"/>
    <w:rsid w:val="0056702C"/>
    <w:rsid w:val="00567D0F"/>
    <w:rsid w:val="00573397"/>
    <w:rsid w:val="00573AD4"/>
    <w:rsid w:val="00574F15"/>
    <w:rsid w:val="0057554C"/>
    <w:rsid w:val="00576773"/>
    <w:rsid w:val="0057689C"/>
    <w:rsid w:val="0057733F"/>
    <w:rsid w:val="005846B0"/>
    <w:rsid w:val="00586B48"/>
    <w:rsid w:val="00587B6E"/>
    <w:rsid w:val="00593677"/>
    <w:rsid w:val="00593F6E"/>
    <w:rsid w:val="005964FB"/>
    <w:rsid w:val="005968CC"/>
    <w:rsid w:val="0059746C"/>
    <w:rsid w:val="005A04AA"/>
    <w:rsid w:val="005A0AAE"/>
    <w:rsid w:val="005A0C3D"/>
    <w:rsid w:val="005A1086"/>
    <w:rsid w:val="005A4CD4"/>
    <w:rsid w:val="005A4E70"/>
    <w:rsid w:val="005A5B15"/>
    <w:rsid w:val="005B06E1"/>
    <w:rsid w:val="005B0C7B"/>
    <w:rsid w:val="005B37F5"/>
    <w:rsid w:val="005B4D66"/>
    <w:rsid w:val="005B6028"/>
    <w:rsid w:val="005B667B"/>
    <w:rsid w:val="005C2BC4"/>
    <w:rsid w:val="005C3F2A"/>
    <w:rsid w:val="005D0282"/>
    <w:rsid w:val="005D165A"/>
    <w:rsid w:val="005D3DA6"/>
    <w:rsid w:val="005E1138"/>
    <w:rsid w:val="005E20B7"/>
    <w:rsid w:val="005E4E27"/>
    <w:rsid w:val="005E563D"/>
    <w:rsid w:val="005E5FA3"/>
    <w:rsid w:val="005E7B76"/>
    <w:rsid w:val="005F23DF"/>
    <w:rsid w:val="005F38E9"/>
    <w:rsid w:val="005F3B96"/>
    <w:rsid w:val="005F5DBB"/>
    <w:rsid w:val="005F66F3"/>
    <w:rsid w:val="005F7381"/>
    <w:rsid w:val="00605144"/>
    <w:rsid w:val="00607E05"/>
    <w:rsid w:val="0061221A"/>
    <w:rsid w:val="006131CF"/>
    <w:rsid w:val="006152ED"/>
    <w:rsid w:val="006162DE"/>
    <w:rsid w:val="006172CB"/>
    <w:rsid w:val="00617D62"/>
    <w:rsid w:val="0062392C"/>
    <w:rsid w:val="00624F4C"/>
    <w:rsid w:val="00625750"/>
    <w:rsid w:val="00625D77"/>
    <w:rsid w:val="0062751F"/>
    <w:rsid w:val="00630250"/>
    <w:rsid w:val="0063074B"/>
    <w:rsid w:val="006308AA"/>
    <w:rsid w:val="006309C0"/>
    <w:rsid w:val="006352B5"/>
    <w:rsid w:val="006368A3"/>
    <w:rsid w:val="006373AB"/>
    <w:rsid w:val="00642896"/>
    <w:rsid w:val="006466AC"/>
    <w:rsid w:val="00646E17"/>
    <w:rsid w:val="0065138A"/>
    <w:rsid w:val="00652A5F"/>
    <w:rsid w:val="006539CB"/>
    <w:rsid w:val="006548C6"/>
    <w:rsid w:val="00664FE9"/>
    <w:rsid w:val="00665763"/>
    <w:rsid w:val="00667A2D"/>
    <w:rsid w:val="00667C2A"/>
    <w:rsid w:val="00672871"/>
    <w:rsid w:val="006732A1"/>
    <w:rsid w:val="00673E2D"/>
    <w:rsid w:val="00674C68"/>
    <w:rsid w:val="00675111"/>
    <w:rsid w:val="00676791"/>
    <w:rsid w:val="00676AC2"/>
    <w:rsid w:val="00677C2E"/>
    <w:rsid w:val="00683480"/>
    <w:rsid w:val="00684481"/>
    <w:rsid w:val="00686F03"/>
    <w:rsid w:val="006913C7"/>
    <w:rsid w:val="006959CD"/>
    <w:rsid w:val="00695BEC"/>
    <w:rsid w:val="00696000"/>
    <w:rsid w:val="00696879"/>
    <w:rsid w:val="00697AFC"/>
    <w:rsid w:val="006A489D"/>
    <w:rsid w:val="006B0090"/>
    <w:rsid w:val="006B036E"/>
    <w:rsid w:val="006B126B"/>
    <w:rsid w:val="006B2A92"/>
    <w:rsid w:val="006B5DA5"/>
    <w:rsid w:val="006C165E"/>
    <w:rsid w:val="006C1AE5"/>
    <w:rsid w:val="006C33B4"/>
    <w:rsid w:val="006C4CB3"/>
    <w:rsid w:val="006C54F3"/>
    <w:rsid w:val="006C6B88"/>
    <w:rsid w:val="006D0669"/>
    <w:rsid w:val="006D39DC"/>
    <w:rsid w:val="006D3CC7"/>
    <w:rsid w:val="006D5C94"/>
    <w:rsid w:val="006E2978"/>
    <w:rsid w:val="006E5D38"/>
    <w:rsid w:val="006E6292"/>
    <w:rsid w:val="006F02D7"/>
    <w:rsid w:val="006F05DB"/>
    <w:rsid w:val="006F2D97"/>
    <w:rsid w:val="006F74C5"/>
    <w:rsid w:val="006F7791"/>
    <w:rsid w:val="0070005A"/>
    <w:rsid w:val="00703949"/>
    <w:rsid w:val="00707124"/>
    <w:rsid w:val="0070753A"/>
    <w:rsid w:val="00707696"/>
    <w:rsid w:val="00711F73"/>
    <w:rsid w:val="00713350"/>
    <w:rsid w:val="00721C8C"/>
    <w:rsid w:val="007278A6"/>
    <w:rsid w:val="00727F9A"/>
    <w:rsid w:val="0073066E"/>
    <w:rsid w:val="007351A1"/>
    <w:rsid w:val="007365EE"/>
    <w:rsid w:val="007373D6"/>
    <w:rsid w:val="007374F8"/>
    <w:rsid w:val="00737647"/>
    <w:rsid w:val="0074262F"/>
    <w:rsid w:val="0074344B"/>
    <w:rsid w:val="007444F6"/>
    <w:rsid w:val="00745203"/>
    <w:rsid w:val="00746927"/>
    <w:rsid w:val="00753C6A"/>
    <w:rsid w:val="00755131"/>
    <w:rsid w:val="00757DCD"/>
    <w:rsid w:val="00761566"/>
    <w:rsid w:val="00761AC9"/>
    <w:rsid w:val="0076317B"/>
    <w:rsid w:val="0076337F"/>
    <w:rsid w:val="00766BA1"/>
    <w:rsid w:val="00767166"/>
    <w:rsid w:val="00772657"/>
    <w:rsid w:val="007740D4"/>
    <w:rsid w:val="007768D4"/>
    <w:rsid w:val="007800FF"/>
    <w:rsid w:val="00781003"/>
    <w:rsid w:val="00782FB2"/>
    <w:rsid w:val="007830FC"/>
    <w:rsid w:val="007831F9"/>
    <w:rsid w:val="007836B5"/>
    <w:rsid w:val="00783B5B"/>
    <w:rsid w:val="00784BBB"/>
    <w:rsid w:val="0078674F"/>
    <w:rsid w:val="00790B1C"/>
    <w:rsid w:val="00791E01"/>
    <w:rsid w:val="0079226A"/>
    <w:rsid w:val="007945B1"/>
    <w:rsid w:val="00794A88"/>
    <w:rsid w:val="007B1379"/>
    <w:rsid w:val="007B2F72"/>
    <w:rsid w:val="007B46C3"/>
    <w:rsid w:val="007B6B22"/>
    <w:rsid w:val="007C2FDB"/>
    <w:rsid w:val="007C427C"/>
    <w:rsid w:val="007C61E7"/>
    <w:rsid w:val="007C778C"/>
    <w:rsid w:val="007C7DE6"/>
    <w:rsid w:val="007D6A43"/>
    <w:rsid w:val="007E0EE7"/>
    <w:rsid w:val="007E42F1"/>
    <w:rsid w:val="007F20BE"/>
    <w:rsid w:val="007F574C"/>
    <w:rsid w:val="007F5BA9"/>
    <w:rsid w:val="0080025A"/>
    <w:rsid w:val="00805990"/>
    <w:rsid w:val="008065C0"/>
    <w:rsid w:val="008100B2"/>
    <w:rsid w:val="00810680"/>
    <w:rsid w:val="00815333"/>
    <w:rsid w:val="00816C8B"/>
    <w:rsid w:val="00821319"/>
    <w:rsid w:val="0082416C"/>
    <w:rsid w:val="0082473B"/>
    <w:rsid w:val="00825298"/>
    <w:rsid w:val="00827664"/>
    <w:rsid w:val="00837EA3"/>
    <w:rsid w:val="00837F63"/>
    <w:rsid w:val="008408A3"/>
    <w:rsid w:val="00843C4D"/>
    <w:rsid w:val="0084696A"/>
    <w:rsid w:val="00851393"/>
    <w:rsid w:val="00854405"/>
    <w:rsid w:val="008552F6"/>
    <w:rsid w:val="00857576"/>
    <w:rsid w:val="00857792"/>
    <w:rsid w:val="0086199F"/>
    <w:rsid w:val="00861EED"/>
    <w:rsid w:val="008635C0"/>
    <w:rsid w:val="0086440C"/>
    <w:rsid w:val="008661CC"/>
    <w:rsid w:val="008673F8"/>
    <w:rsid w:val="00867C26"/>
    <w:rsid w:val="008715FB"/>
    <w:rsid w:val="008769CD"/>
    <w:rsid w:val="00882757"/>
    <w:rsid w:val="0088534A"/>
    <w:rsid w:val="00890BF8"/>
    <w:rsid w:val="00891A2D"/>
    <w:rsid w:val="00893206"/>
    <w:rsid w:val="008A2C73"/>
    <w:rsid w:val="008A34F7"/>
    <w:rsid w:val="008A69B6"/>
    <w:rsid w:val="008A742A"/>
    <w:rsid w:val="008A7D96"/>
    <w:rsid w:val="008B0412"/>
    <w:rsid w:val="008B7349"/>
    <w:rsid w:val="008C360A"/>
    <w:rsid w:val="008C3898"/>
    <w:rsid w:val="008C4B95"/>
    <w:rsid w:val="008D1528"/>
    <w:rsid w:val="008D20A3"/>
    <w:rsid w:val="008D4AD9"/>
    <w:rsid w:val="008E17C3"/>
    <w:rsid w:val="008E360E"/>
    <w:rsid w:val="008E55D6"/>
    <w:rsid w:val="008E5827"/>
    <w:rsid w:val="008E7ED9"/>
    <w:rsid w:val="008F3FF6"/>
    <w:rsid w:val="008F4159"/>
    <w:rsid w:val="00901387"/>
    <w:rsid w:val="009028B7"/>
    <w:rsid w:val="00904ED4"/>
    <w:rsid w:val="009067B1"/>
    <w:rsid w:val="0091089C"/>
    <w:rsid w:val="0091133A"/>
    <w:rsid w:val="00911B5A"/>
    <w:rsid w:val="00915E84"/>
    <w:rsid w:val="00920A7D"/>
    <w:rsid w:val="009238B6"/>
    <w:rsid w:val="00923F4F"/>
    <w:rsid w:val="00926B6D"/>
    <w:rsid w:val="0093150E"/>
    <w:rsid w:val="00931D11"/>
    <w:rsid w:val="00932243"/>
    <w:rsid w:val="00936C41"/>
    <w:rsid w:val="00937535"/>
    <w:rsid w:val="00941E48"/>
    <w:rsid w:val="00943ECA"/>
    <w:rsid w:val="00945C60"/>
    <w:rsid w:val="00950AD6"/>
    <w:rsid w:val="00951B22"/>
    <w:rsid w:val="00960C1C"/>
    <w:rsid w:val="009611C5"/>
    <w:rsid w:val="009612CB"/>
    <w:rsid w:val="00963712"/>
    <w:rsid w:val="00972849"/>
    <w:rsid w:val="00974329"/>
    <w:rsid w:val="00975475"/>
    <w:rsid w:val="0097741D"/>
    <w:rsid w:val="009812AD"/>
    <w:rsid w:val="00981932"/>
    <w:rsid w:val="00985F70"/>
    <w:rsid w:val="009912FB"/>
    <w:rsid w:val="009975C5"/>
    <w:rsid w:val="009A197D"/>
    <w:rsid w:val="009A34F3"/>
    <w:rsid w:val="009A4439"/>
    <w:rsid w:val="009A64B6"/>
    <w:rsid w:val="009A7CA9"/>
    <w:rsid w:val="009B257D"/>
    <w:rsid w:val="009B4BFE"/>
    <w:rsid w:val="009B75C7"/>
    <w:rsid w:val="009C122A"/>
    <w:rsid w:val="009C4F5F"/>
    <w:rsid w:val="009C54D2"/>
    <w:rsid w:val="009D224B"/>
    <w:rsid w:val="009D2889"/>
    <w:rsid w:val="009D3102"/>
    <w:rsid w:val="009D34B6"/>
    <w:rsid w:val="009D406F"/>
    <w:rsid w:val="009D6A0F"/>
    <w:rsid w:val="009D79D0"/>
    <w:rsid w:val="009D7ACE"/>
    <w:rsid w:val="009E5CC9"/>
    <w:rsid w:val="009E5EB3"/>
    <w:rsid w:val="009E6131"/>
    <w:rsid w:val="009E6166"/>
    <w:rsid w:val="009F05A1"/>
    <w:rsid w:val="009F44B0"/>
    <w:rsid w:val="00A00A73"/>
    <w:rsid w:val="00A030EF"/>
    <w:rsid w:val="00A044AF"/>
    <w:rsid w:val="00A0730B"/>
    <w:rsid w:val="00A073A1"/>
    <w:rsid w:val="00A1137B"/>
    <w:rsid w:val="00A121AA"/>
    <w:rsid w:val="00A13132"/>
    <w:rsid w:val="00A14096"/>
    <w:rsid w:val="00A173AC"/>
    <w:rsid w:val="00A214EC"/>
    <w:rsid w:val="00A269DA"/>
    <w:rsid w:val="00A270AB"/>
    <w:rsid w:val="00A270B5"/>
    <w:rsid w:val="00A27DD3"/>
    <w:rsid w:val="00A32DFD"/>
    <w:rsid w:val="00A35E7B"/>
    <w:rsid w:val="00A37584"/>
    <w:rsid w:val="00A40044"/>
    <w:rsid w:val="00A44C41"/>
    <w:rsid w:val="00A456CC"/>
    <w:rsid w:val="00A52719"/>
    <w:rsid w:val="00A52A18"/>
    <w:rsid w:val="00A52EC7"/>
    <w:rsid w:val="00A53056"/>
    <w:rsid w:val="00A53953"/>
    <w:rsid w:val="00A57721"/>
    <w:rsid w:val="00A61F60"/>
    <w:rsid w:val="00A63925"/>
    <w:rsid w:val="00A63D8C"/>
    <w:rsid w:val="00A67336"/>
    <w:rsid w:val="00A747DA"/>
    <w:rsid w:val="00A774A1"/>
    <w:rsid w:val="00A77EF2"/>
    <w:rsid w:val="00A80847"/>
    <w:rsid w:val="00A83F3A"/>
    <w:rsid w:val="00A90D0A"/>
    <w:rsid w:val="00A9169E"/>
    <w:rsid w:val="00A9204B"/>
    <w:rsid w:val="00A92763"/>
    <w:rsid w:val="00A9336D"/>
    <w:rsid w:val="00A9643B"/>
    <w:rsid w:val="00AA07CB"/>
    <w:rsid w:val="00AA5D5B"/>
    <w:rsid w:val="00AB1124"/>
    <w:rsid w:val="00AB17A9"/>
    <w:rsid w:val="00AB4E40"/>
    <w:rsid w:val="00AB5A93"/>
    <w:rsid w:val="00AB79FF"/>
    <w:rsid w:val="00AB7C50"/>
    <w:rsid w:val="00AC0DFF"/>
    <w:rsid w:val="00AC225F"/>
    <w:rsid w:val="00AC33BA"/>
    <w:rsid w:val="00AC46DE"/>
    <w:rsid w:val="00AD0016"/>
    <w:rsid w:val="00AD0144"/>
    <w:rsid w:val="00AD2657"/>
    <w:rsid w:val="00AD2CF4"/>
    <w:rsid w:val="00AD3454"/>
    <w:rsid w:val="00AD6EFF"/>
    <w:rsid w:val="00AE0366"/>
    <w:rsid w:val="00AE2775"/>
    <w:rsid w:val="00AE31D2"/>
    <w:rsid w:val="00AE3AB2"/>
    <w:rsid w:val="00AE4E50"/>
    <w:rsid w:val="00AE56B2"/>
    <w:rsid w:val="00AE7570"/>
    <w:rsid w:val="00AE7FBE"/>
    <w:rsid w:val="00AF0E2F"/>
    <w:rsid w:val="00AF1896"/>
    <w:rsid w:val="00AF4056"/>
    <w:rsid w:val="00B008A3"/>
    <w:rsid w:val="00B01FC3"/>
    <w:rsid w:val="00B052DF"/>
    <w:rsid w:val="00B06184"/>
    <w:rsid w:val="00B12F62"/>
    <w:rsid w:val="00B13738"/>
    <w:rsid w:val="00B151C8"/>
    <w:rsid w:val="00B22AF6"/>
    <w:rsid w:val="00B24A66"/>
    <w:rsid w:val="00B25D5F"/>
    <w:rsid w:val="00B2652B"/>
    <w:rsid w:val="00B26C7F"/>
    <w:rsid w:val="00B3197C"/>
    <w:rsid w:val="00B33014"/>
    <w:rsid w:val="00B332CF"/>
    <w:rsid w:val="00B34952"/>
    <w:rsid w:val="00B359E2"/>
    <w:rsid w:val="00B41208"/>
    <w:rsid w:val="00B454FB"/>
    <w:rsid w:val="00B47BA4"/>
    <w:rsid w:val="00B504E5"/>
    <w:rsid w:val="00B50F6F"/>
    <w:rsid w:val="00B53A66"/>
    <w:rsid w:val="00B55D5C"/>
    <w:rsid w:val="00B57298"/>
    <w:rsid w:val="00B57348"/>
    <w:rsid w:val="00B61C57"/>
    <w:rsid w:val="00B63178"/>
    <w:rsid w:val="00B64D40"/>
    <w:rsid w:val="00B659DA"/>
    <w:rsid w:val="00B66653"/>
    <w:rsid w:val="00B67D5B"/>
    <w:rsid w:val="00B70A08"/>
    <w:rsid w:val="00B70D6D"/>
    <w:rsid w:val="00B71374"/>
    <w:rsid w:val="00B73651"/>
    <w:rsid w:val="00B749C3"/>
    <w:rsid w:val="00B74C12"/>
    <w:rsid w:val="00B7673B"/>
    <w:rsid w:val="00B80B99"/>
    <w:rsid w:val="00B81980"/>
    <w:rsid w:val="00B82B05"/>
    <w:rsid w:val="00B82D19"/>
    <w:rsid w:val="00B91370"/>
    <w:rsid w:val="00B93497"/>
    <w:rsid w:val="00B9389F"/>
    <w:rsid w:val="00B95E3B"/>
    <w:rsid w:val="00B97AC3"/>
    <w:rsid w:val="00BA3FA7"/>
    <w:rsid w:val="00BA42F1"/>
    <w:rsid w:val="00BA69BA"/>
    <w:rsid w:val="00BB00C1"/>
    <w:rsid w:val="00BB15CF"/>
    <w:rsid w:val="00BB6DBD"/>
    <w:rsid w:val="00BC143F"/>
    <w:rsid w:val="00BC1B59"/>
    <w:rsid w:val="00BC2179"/>
    <w:rsid w:val="00BC48E7"/>
    <w:rsid w:val="00BC7C6A"/>
    <w:rsid w:val="00BD14BF"/>
    <w:rsid w:val="00BD1C37"/>
    <w:rsid w:val="00BD20FC"/>
    <w:rsid w:val="00BD46DB"/>
    <w:rsid w:val="00BD7B1A"/>
    <w:rsid w:val="00BE0120"/>
    <w:rsid w:val="00BE1C14"/>
    <w:rsid w:val="00BE29BF"/>
    <w:rsid w:val="00BE2BB9"/>
    <w:rsid w:val="00BE2C2E"/>
    <w:rsid w:val="00BE3AF6"/>
    <w:rsid w:val="00BE4BD1"/>
    <w:rsid w:val="00BF319C"/>
    <w:rsid w:val="00BF3DA4"/>
    <w:rsid w:val="00BF443B"/>
    <w:rsid w:val="00BF7598"/>
    <w:rsid w:val="00C01695"/>
    <w:rsid w:val="00C02C1B"/>
    <w:rsid w:val="00C02C43"/>
    <w:rsid w:val="00C062DE"/>
    <w:rsid w:val="00C11A5A"/>
    <w:rsid w:val="00C11D9D"/>
    <w:rsid w:val="00C15B58"/>
    <w:rsid w:val="00C16407"/>
    <w:rsid w:val="00C17367"/>
    <w:rsid w:val="00C209B3"/>
    <w:rsid w:val="00C21681"/>
    <w:rsid w:val="00C21706"/>
    <w:rsid w:val="00C277E3"/>
    <w:rsid w:val="00C358D0"/>
    <w:rsid w:val="00C40E80"/>
    <w:rsid w:val="00C41AF3"/>
    <w:rsid w:val="00C435E3"/>
    <w:rsid w:val="00C450EB"/>
    <w:rsid w:val="00C45D03"/>
    <w:rsid w:val="00C5486D"/>
    <w:rsid w:val="00C55D3E"/>
    <w:rsid w:val="00C55E8D"/>
    <w:rsid w:val="00C55F0B"/>
    <w:rsid w:val="00C61EBE"/>
    <w:rsid w:val="00C63961"/>
    <w:rsid w:val="00C6651F"/>
    <w:rsid w:val="00C72BB6"/>
    <w:rsid w:val="00C74712"/>
    <w:rsid w:val="00C75F97"/>
    <w:rsid w:val="00C76557"/>
    <w:rsid w:val="00C774D2"/>
    <w:rsid w:val="00C811AB"/>
    <w:rsid w:val="00C82A85"/>
    <w:rsid w:val="00C83B0D"/>
    <w:rsid w:val="00C84A6E"/>
    <w:rsid w:val="00C84D83"/>
    <w:rsid w:val="00C867F5"/>
    <w:rsid w:val="00C92232"/>
    <w:rsid w:val="00CA0299"/>
    <w:rsid w:val="00CA2292"/>
    <w:rsid w:val="00CA309D"/>
    <w:rsid w:val="00CA44ED"/>
    <w:rsid w:val="00CA4E33"/>
    <w:rsid w:val="00CB19D2"/>
    <w:rsid w:val="00CB2186"/>
    <w:rsid w:val="00CC2AF1"/>
    <w:rsid w:val="00CC2D5B"/>
    <w:rsid w:val="00CC2D87"/>
    <w:rsid w:val="00CC7EF6"/>
    <w:rsid w:val="00CD35E7"/>
    <w:rsid w:val="00CD4CF3"/>
    <w:rsid w:val="00CD601F"/>
    <w:rsid w:val="00CD74C6"/>
    <w:rsid w:val="00CD7C5D"/>
    <w:rsid w:val="00CE5499"/>
    <w:rsid w:val="00CE7328"/>
    <w:rsid w:val="00CF008F"/>
    <w:rsid w:val="00CF684A"/>
    <w:rsid w:val="00D0125C"/>
    <w:rsid w:val="00D1036D"/>
    <w:rsid w:val="00D11057"/>
    <w:rsid w:val="00D12AC9"/>
    <w:rsid w:val="00D155AC"/>
    <w:rsid w:val="00D2161E"/>
    <w:rsid w:val="00D22AA0"/>
    <w:rsid w:val="00D22FE2"/>
    <w:rsid w:val="00D231CC"/>
    <w:rsid w:val="00D2496A"/>
    <w:rsid w:val="00D30036"/>
    <w:rsid w:val="00D30DED"/>
    <w:rsid w:val="00D32A0B"/>
    <w:rsid w:val="00D33DDC"/>
    <w:rsid w:val="00D3423B"/>
    <w:rsid w:val="00D34C32"/>
    <w:rsid w:val="00D36E1E"/>
    <w:rsid w:val="00D41B01"/>
    <w:rsid w:val="00D42331"/>
    <w:rsid w:val="00D43CFD"/>
    <w:rsid w:val="00D451C6"/>
    <w:rsid w:val="00D45EEA"/>
    <w:rsid w:val="00D46CA5"/>
    <w:rsid w:val="00D47911"/>
    <w:rsid w:val="00D5199E"/>
    <w:rsid w:val="00D5289A"/>
    <w:rsid w:val="00D57522"/>
    <w:rsid w:val="00D60CD3"/>
    <w:rsid w:val="00D61477"/>
    <w:rsid w:val="00D64EE2"/>
    <w:rsid w:val="00D700AE"/>
    <w:rsid w:val="00D70330"/>
    <w:rsid w:val="00D721C1"/>
    <w:rsid w:val="00D730B0"/>
    <w:rsid w:val="00D73A20"/>
    <w:rsid w:val="00D76DC0"/>
    <w:rsid w:val="00D846D0"/>
    <w:rsid w:val="00D90C84"/>
    <w:rsid w:val="00D95831"/>
    <w:rsid w:val="00DA1058"/>
    <w:rsid w:val="00DA13BF"/>
    <w:rsid w:val="00DA55C4"/>
    <w:rsid w:val="00DA639E"/>
    <w:rsid w:val="00DA6F69"/>
    <w:rsid w:val="00DA73AF"/>
    <w:rsid w:val="00DB08AA"/>
    <w:rsid w:val="00DB4BFE"/>
    <w:rsid w:val="00DB57C3"/>
    <w:rsid w:val="00DB580C"/>
    <w:rsid w:val="00DB6C1A"/>
    <w:rsid w:val="00DC0886"/>
    <w:rsid w:val="00DC0D36"/>
    <w:rsid w:val="00DC17A0"/>
    <w:rsid w:val="00DC19F9"/>
    <w:rsid w:val="00DC1CD3"/>
    <w:rsid w:val="00DC226C"/>
    <w:rsid w:val="00DC617D"/>
    <w:rsid w:val="00DC64F8"/>
    <w:rsid w:val="00DC6F33"/>
    <w:rsid w:val="00DC7592"/>
    <w:rsid w:val="00DD09C6"/>
    <w:rsid w:val="00DD157F"/>
    <w:rsid w:val="00DD2E02"/>
    <w:rsid w:val="00DD338A"/>
    <w:rsid w:val="00DE44C3"/>
    <w:rsid w:val="00DE6331"/>
    <w:rsid w:val="00DE66C4"/>
    <w:rsid w:val="00DF2A1B"/>
    <w:rsid w:val="00DF3F79"/>
    <w:rsid w:val="00DF418F"/>
    <w:rsid w:val="00DF4A4E"/>
    <w:rsid w:val="00DF54BC"/>
    <w:rsid w:val="00DF5D39"/>
    <w:rsid w:val="00DF6428"/>
    <w:rsid w:val="00DF7F65"/>
    <w:rsid w:val="00E01024"/>
    <w:rsid w:val="00E01BD4"/>
    <w:rsid w:val="00E02183"/>
    <w:rsid w:val="00E02852"/>
    <w:rsid w:val="00E07850"/>
    <w:rsid w:val="00E07F0D"/>
    <w:rsid w:val="00E1102D"/>
    <w:rsid w:val="00E137D5"/>
    <w:rsid w:val="00E1523F"/>
    <w:rsid w:val="00E15A97"/>
    <w:rsid w:val="00E16A63"/>
    <w:rsid w:val="00E17F07"/>
    <w:rsid w:val="00E22A63"/>
    <w:rsid w:val="00E242D4"/>
    <w:rsid w:val="00E27A87"/>
    <w:rsid w:val="00E314CF"/>
    <w:rsid w:val="00E32601"/>
    <w:rsid w:val="00E33C62"/>
    <w:rsid w:val="00E34600"/>
    <w:rsid w:val="00E35F48"/>
    <w:rsid w:val="00E36CC7"/>
    <w:rsid w:val="00E40323"/>
    <w:rsid w:val="00E41F06"/>
    <w:rsid w:val="00E41F10"/>
    <w:rsid w:val="00E423FA"/>
    <w:rsid w:val="00E42576"/>
    <w:rsid w:val="00E44E9B"/>
    <w:rsid w:val="00E45B04"/>
    <w:rsid w:val="00E46811"/>
    <w:rsid w:val="00E50A8E"/>
    <w:rsid w:val="00E51C30"/>
    <w:rsid w:val="00E52882"/>
    <w:rsid w:val="00E55265"/>
    <w:rsid w:val="00E55517"/>
    <w:rsid w:val="00E56849"/>
    <w:rsid w:val="00E62F9D"/>
    <w:rsid w:val="00E67274"/>
    <w:rsid w:val="00E7127C"/>
    <w:rsid w:val="00E71947"/>
    <w:rsid w:val="00E84BA1"/>
    <w:rsid w:val="00E84BF8"/>
    <w:rsid w:val="00E84CB9"/>
    <w:rsid w:val="00E90BAD"/>
    <w:rsid w:val="00E932B0"/>
    <w:rsid w:val="00E93504"/>
    <w:rsid w:val="00E93D4D"/>
    <w:rsid w:val="00E94677"/>
    <w:rsid w:val="00E9494E"/>
    <w:rsid w:val="00E94ACF"/>
    <w:rsid w:val="00E95716"/>
    <w:rsid w:val="00E96F11"/>
    <w:rsid w:val="00EA4DCB"/>
    <w:rsid w:val="00EA541D"/>
    <w:rsid w:val="00EA6377"/>
    <w:rsid w:val="00EA6D5C"/>
    <w:rsid w:val="00EB2748"/>
    <w:rsid w:val="00EB3CC5"/>
    <w:rsid w:val="00EB3E12"/>
    <w:rsid w:val="00EB6B2C"/>
    <w:rsid w:val="00EC0081"/>
    <w:rsid w:val="00EC09C2"/>
    <w:rsid w:val="00EC4B64"/>
    <w:rsid w:val="00EC4E2E"/>
    <w:rsid w:val="00EC74AD"/>
    <w:rsid w:val="00EE0377"/>
    <w:rsid w:val="00EE0A8A"/>
    <w:rsid w:val="00EE0C0E"/>
    <w:rsid w:val="00EE0E3E"/>
    <w:rsid w:val="00EE1ADC"/>
    <w:rsid w:val="00EE21D2"/>
    <w:rsid w:val="00EE2B4A"/>
    <w:rsid w:val="00EE3517"/>
    <w:rsid w:val="00EE37FB"/>
    <w:rsid w:val="00EE52BB"/>
    <w:rsid w:val="00EE5992"/>
    <w:rsid w:val="00EE6276"/>
    <w:rsid w:val="00EE7FF3"/>
    <w:rsid w:val="00EF1368"/>
    <w:rsid w:val="00EF27E8"/>
    <w:rsid w:val="00EF2B81"/>
    <w:rsid w:val="00EF4909"/>
    <w:rsid w:val="00F02A54"/>
    <w:rsid w:val="00F046D8"/>
    <w:rsid w:val="00F0575C"/>
    <w:rsid w:val="00F070FC"/>
    <w:rsid w:val="00F076F1"/>
    <w:rsid w:val="00F07AF7"/>
    <w:rsid w:val="00F105EB"/>
    <w:rsid w:val="00F11C95"/>
    <w:rsid w:val="00F13BFC"/>
    <w:rsid w:val="00F1497A"/>
    <w:rsid w:val="00F152BF"/>
    <w:rsid w:val="00F22A35"/>
    <w:rsid w:val="00F23108"/>
    <w:rsid w:val="00F24CBB"/>
    <w:rsid w:val="00F26994"/>
    <w:rsid w:val="00F26B1C"/>
    <w:rsid w:val="00F31583"/>
    <w:rsid w:val="00F337A5"/>
    <w:rsid w:val="00F3523D"/>
    <w:rsid w:val="00F40E72"/>
    <w:rsid w:val="00F4182E"/>
    <w:rsid w:val="00F452B2"/>
    <w:rsid w:val="00F47137"/>
    <w:rsid w:val="00F50172"/>
    <w:rsid w:val="00F50759"/>
    <w:rsid w:val="00F525EF"/>
    <w:rsid w:val="00F5640A"/>
    <w:rsid w:val="00F63213"/>
    <w:rsid w:val="00F64811"/>
    <w:rsid w:val="00F75201"/>
    <w:rsid w:val="00F75977"/>
    <w:rsid w:val="00F75D6D"/>
    <w:rsid w:val="00F75F44"/>
    <w:rsid w:val="00F76053"/>
    <w:rsid w:val="00F77029"/>
    <w:rsid w:val="00F8029F"/>
    <w:rsid w:val="00F83236"/>
    <w:rsid w:val="00F84828"/>
    <w:rsid w:val="00F8486F"/>
    <w:rsid w:val="00F85AAB"/>
    <w:rsid w:val="00F90DA9"/>
    <w:rsid w:val="00F91BFE"/>
    <w:rsid w:val="00F9509E"/>
    <w:rsid w:val="00F97DCF"/>
    <w:rsid w:val="00FA055B"/>
    <w:rsid w:val="00FA0770"/>
    <w:rsid w:val="00FA14DE"/>
    <w:rsid w:val="00FA25EC"/>
    <w:rsid w:val="00FA2B26"/>
    <w:rsid w:val="00FA55B5"/>
    <w:rsid w:val="00FA56C2"/>
    <w:rsid w:val="00FA7576"/>
    <w:rsid w:val="00FA7BE2"/>
    <w:rsid w:val="00FC06DE"/>
    <w:rsid w:val="00FC29A7"/>
    <w:rsid w:val="00FC2BE7"/>
    <w:rsid w:val="00FC3235"/>
    <w:rsid w:val="00FC3570"/>
    <w:rsid w:val="00FC7230"/>
    <w:rsid w:val="00FD07E5"/>
    <w:rsid w:val="00FD2FC1"/>
    <w:rsid w:val="00FD3A1B"/>
    <w:rsid w:val="00FD3B17"/>
    <w:rsid w:val="00FD6113"/>
    <w:rsid w:val="00FD7176"/>
    <w:rsid w:val="00FE0D02"/>
    <w:rsid w:val="00FE22E5"/>
    <w:rsid w:val="00FE4917"/>
    <w:rsid w:val="00FE656B"/>
    <w:rsid w:val="00FE6F76"/>
    <w:rsid w:val="00FF026E"/>
    <w:rsid w:val="00FF2D01"/>
    <w:rsid w:val="00FF5163"/>
    <w:rsid w:val="00FF5E86"/>
    <w:rsid w:val="00FF7785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CF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2B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6352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5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352B5"/>
  </w:style>
  <w:style w:type="paragraph" w:styleId="a5">
    <w:name w:val="footer"/>
    <w:basedOn w:val="a"/>
    <w:link w:val="Char1"/>
    <w:uiPriority w:val="99"/>
    <w:unhideWhenUsed/>
    <w:rsid w:val="00635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352B5"/>
  </w:style>
  <w:style w:type="character" w:styleId="-">
    <w:name w:val="Hyperlink"/>
    <w:uiPriority w:val="99"/>
    <w:unhideWhenUsed/>
    <w:rsid w:val="00A27DD3"/>
    <w:rPr>
      <w:color w:val="0000FF"/>
      <w:u w:val="single"/>
    </w:rPr>
  </w:style>
  <w:style w:type="paragraph" w:styleId="a6">
    <w:name w:val="footnote text"/>
    <w:basedOn w:val="a"/>
    <w:link w:val="Char2"/>
    <w:uiPriority w:val="99"/>
    <w:unhideWhenUsed/>
    <w:rsid w:val="00155539"/>
    <w:rPr>
      <w:sz w:val="20"/>
      <w:szCs w:val="20"/>
    </w:rPr>
  </w:style>
  <w:style w:type="character" w:customStyle="1" w:styleId="Char2">
    <w:name w:val="Κείμενο υποσημείωσης Char"/>
    <w:link w:val="a6"/>
    <w:uiPriority w:val="99"/>
    <w:rsid w:val="00155539"/>
    <w:rPr>
      <w:lang w:eastAsia="en-US"/>
    </w:rPr>
  </w:style>
  <w:style w:type="character" w:styleId="a7">
    <w:name w:val="footnote reference"/>
    <w:uiPriority w:val="99"/>
    <w:semiHidden/>
    <w:unhideWhenUsed/>
    <w:rsid w:val="00155539"/>
    <w:rPr>
      <w:vertAlign w:val="superscript"/>
    </w:rPr>
  </w:style>
  <w:style w:type="paragraph" w:styleId="a8">
    <w:name w:val="Revision"/>
    <w:hidden/>
    <w:uiPriority w:val="99"/>
    <w:semiHidden/>
    <w:rsid w:val="00F91BFE"/>
    <w:rPr>
      <w:sz w:val="22"/>
      <w:szCs w:val="22"/>
      <w:lang w:val="el-GR"/>
    </w:rPr>
  </w:style>
  <w:style w:type="paragraph" w:styleId="a9">
    <w:name w:val="List Paragraph"/>
    <w:basedOn w:val="a"/>
    <w:uiPriority w:val="34"/>
    <w:qFormat/>
    <w:rsid w:val="0042537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280" w:lineRule="atLeast"/>
      <w:ind w:left="720"/>
      <w:jc w:val="both"/>
    </w:pPr>
    <w:rPr>
      <w:rFonts w:ascii="Arial" w:eastAsia="Times New Roman" w:hAnsi="Arial" w:cs="Arial"/>
      <w:sz w:val="20"/>
      <w:szCs w:val="20"/>
      <w:bdr w:val="nil"/>
    </w:rPr>
  </w:style>
  <w:style w:type="character" w:styleId="aa">
    <w:name w:val="annotation reference"/>
    <w:uiPriority w:val="99"/>
    <w:semiHidden/>
    <w:unhideWhenUsed/>
    <w:rsid w:val="00554DEC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554DEC"/>
    <w:rPr>
      <w:sz w:val="20"/>
      <w:szCs w:val="20"/>
    </w:rPr>
  </w:style>
  <w:style w:type="character" w:customStyle="1" w:styleId="Char3">
    <w:name w:val="Κείμενο σχολίου Char"/>
    <w:link w:val="ab"/>
    <w:uiPriority w:val="99"/>
    <w:rsid w:val="00554DEC"/>
    <w:rPr>
      <w:lang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54DEC"/>
    <w:rPr>
      <w:b/>
      <w:bCs/>
    </w:rPr>
  </w:style>
  <w:style w:type="character" w:customStyle="1" w:styleId="Char4">
    <w:name w:val="Θέμα σχολίου Char"/>
    <w:link w:val="ac"/>
    <w:uiPriority w:val="99"/>
    <w:semiHidden/>
    <w:rsid w:val="00554DE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9FB73-B393-4DBE-8F77-FEA3AFF5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17129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mailto:dkalantidi@gekterna.com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MBalioussi</dc:creator>
  <cp:lastModifiedBy>User</cp:lastModifiedBy>
  <cp:revision>2</cp:revision>
  <cp:lastPrinted>2023-09-22T12:12:00Z</cp:lastPrinted>
  <dcterms:created xsi:type="dcterms:W3CDTF">2023-11-23T16:03:00Z</dcterms:created>
  <dcterms:modified xsi:type="dcterms:W3CDTF">2023-11-23T16:03:00Z</dcterms:modified>
</cp:coreProperties>
</file>