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1EEB" w14:textId="7C18C06F" w:rsidR="004215BF" w:rsidRPr="00E93504" w:rsidRDefault="004D1F42" w:rsidP="00AB5A93">
      <w:pPr>
        <w:spacing w:before="240" w:after="120"/>
        <w:jc w:val="center"/>
        <w:rPr>
          <w:rFonts w:asciiTheme="minorHAnsi" w:eastAsia="Times New Roman" w:hAnsiTheme="minorHAnsi" w:cstheme="minorHAnsi"/>
          <w:spacing w:val="-6"/>
          <w:kern w:val="24"/>
          <w:position w:val="6"/>
          <w:sz w:val="36"/>
          <w:szCs w:val="36"/>
        </w:rPr>
      </w:pPr>
      <w:r w:rsidRPr="00E93504">
        <w:rPr>
          <w:rFonts w:asciiTheme="minorHAnsi" w:eastAsia="Times New Roman" w:hAnsiTheme="minorHAnsi" w:cstheme="minorHAnsi"/>
          <w:spacing w:val="-6"/>
          <w:kern w:val="24"/>
          <w:position w:val="6"/>
          <w:sz w:val="36"/>
          <w:szCs w:val="36"/>
        </w:rPr>
        <w:t>Δελτίο Τύπου</w:t>
      </w:r>
    </w:p>
    <w:p w14:paraId="2C33121C" w14:textId="078360F4" w:rsidR="004215BF" w:rsidRPr="00E93504" w:rsidRDefault="004D1F42" w:rsidP="00AB5A93">
      <w:pPr>
        <w:spacing w:before="240" w:after="120"/>
        <w:jc w:val="right"/>
        <w:rPr>
          <w:rFonts w:asciiTheme="minorHAnsi" w:eastAsia="Times New Roman" w:hAnsiTheme="minorHAnsi" w:cstheme="minorHAnsi"/>
        </w:rPr>
      </w:pPr>
      <w:r w:rsidRPr="00E93504">
        <w:rPr>
          <w:rFonts w:asciiTheme="minorHAnsi" w:eastAsia="Times New Roman" w:hAnsiTheme="minorHAnsi" w:cstheme="minorHAnsi"/>
        </w:rPr>
        <w:t>Αθήνα</w:t>
      </w:r>
      <w:r w:rsidR="00150F29" w:rsidRPr="00E93504">
        <w:rPr>
          <w:rFonts w:asciiTheme="minorHAnsi" w:eastAsia="Times New Roman" w:hAnsiTheme="minorHAnsi" w:cstheme="minorHAnsi"/>
        </w:rPr>
        <w:t xml:space="preserve">, </w:t>
      </w:r>
      <w:r w:rsidR="00AB5A93" w:rsidRPr="00AB5A93">
        <w:rPr>
          <w:rFonts w:asciiTheme="minorHAnsi" w:eastAsia="Times New Roman" w:hAnsiTheme="minorHAnsi" w:cstheme="minorHAnsi"/>
        </w:rPr>
        <w:t>27</w:t>
      </w:r>
      <w:r w:rsidR="00551301" w:rsidRPr="00E93504">
        <w:rPr>
          <w:rFonts w:asciiTheme="minorHAnsi" w:eastAsia="Times New Roman" w:hAnsiTheme="minorHAnsi" w:cstheme="minorHAnsi"/>
        </w:rPr>
        <w:t xml:space="preserve"> </w:t>
      </w:r>
      <w:r w:rsidR="00AB5A93">
        <w:rPr>
          <w:rFonts w:asciiTheme="minorHAnsi" w:eastAsia="Times New Roman" w:hAnsiTheme="minorHAnsi" w:cstheme="minorHAnsi"/>
        </w:rPr>
        <w:t>Απριλίου</w:t>
      </w:r>
      <w:r w:rsidR="00150F29" w:rsidRPr="00E93504">
        <w:rPr>
          <w:rFonts w:asciiTheme="minorHAnsi" w:eastAsia="Times New Roman" w:hAnsiTheme="minorHAnsi" w:cstheme="minorHAnsi"/>
        </w:rPr>
        <w:t xml:space="preserve"> 202</w:t>
      </w:r>
      <w:r w:rsidR="00AB5A93">
        <w:rPr>
          <w:rFonts w:asciiTheme="minorHAnsi" w:eastAsia="Times New Roman" w:hAnsiTheme="minorHAnsi" w:cstheme="minorHAnsi"/>
        </w:rPr>
        <w:t>3</w:t>
      </w:r>
    </w:p>
    <w:p w14:paraId="03E66600" w14:textId="77777777" w:rsidR="007351A1" w:rsidRPr="00E93504" w:rsidRDefault="007351A1" w:rsidP="00AB5A93">
      <w:pPr>
        <w:spacing w:after="120"/>
        <w:jc w:val="center"/>
        <w:rPr>
          <w:rFonts w:asciiTheme="minorHAnsi" w:eastAsia="Times New Roman" w:hAnsiTheme="minorHAnsi" w:cstheme="minorHAnsi"/>
          <w:b/>
          <w:bCs/>
        </w:rPr>
      </w:pPr>
    </w:p>
    <w:p w14:paraId="25C33B0E" w14:textId="562B14AE" w:rsidR="00403377" w:rsidRPr="00E93504" w:rsidRDefault="004D1F42" w:rsidP="00AB5A93">
      <w:pPr>
        <w:spacing w:before="240" w:after="120"/>
        <w:jc w:val="center"/>
        <w:rPr>
          <w:rFonts w:asciiTheme="minorHAnsi" w:eastAsia="Times New Roman" w:hAnsiTheme="minorHAnsi" w:cstheme="minorHAnsi"/>
          <w:sz w:val="24"/>
          <w:szCs w:val="24"/>
        </w:rPr>
      </w:pPr>
      <w:r w:rsidRPr="00E93504">
        <w:rPr>
          <w:rFonts w:asciiTheme="minorHAnsi" w:eastAsia="Times New Roman" w:hAnsiTheme="minorHAnsi" w:cstheme="minorHAnsi"/>
          <w:b/>
          <w:bCs/>
          <w:sz w:val="28"/>
          <w:szCs w:val="28"/>
        </w:rPr>
        <w:t>Όμιλος ΓΕΚ ΤΕΡΝΑ</w:t>
      </w:r>
      <w:r w:rsidR="00BC2179" w:rsidRPr="00E93504">
        <w:rPr>
          <w:rFonts w:asciiTheme="minorHAnsi" w:eastAsia="Times New Roman" w:hAnsiTheme="minorHAnsi" w:cstheme="minorHAnsi"/>
          <w:b/>
          <w:bCs/>
          <w:sz w:val="28"/>
          <w:szCs w:val="28"/>
        </w:rPr>
        <w:t xml:space="preserve">: </w:t>
      </w:r>
      <w:r w:rsidRPr="00E93504">
        <w:rPr>
          <w:rFonts w:asciiTheme="minorHAnsi" w:eastAsia="Times New Roman" w:hAnsiTheme="minorHAnsi" w:cstheme="minorHAnsi"/>
          <w:b/>
          <w:bCs/>
          <w:sz w:val="28"/>
          <w:szCs w:val="28"/>
        </w:rPr>
        <w:t>Οικονομικά Αποτελέσματα 2022</w:t>
      </w:r>
    </w:p>
    <w:p w14:paraId="72FDCE6E" w14:textId="0DC5B2F4" w:rsidR="00FF026E" w:rsidRPr="00F22A35" w:rsidRDefault="00DC17A0" w:rsidP="00AB5A93">
      <w:pPr>
        <w:spacing w:before="240" w:after="120"/>
        <w:jc w:val="center"/>
        <w:rPr>
          <w:rFonts w:asciiTheme="minorHAnsi" w:eastAsia="Times New Roman" w:hAnsiTheme="minorHAnsi" w:cstheme="minorHAnsi"/>
          <w:i/>
          <w:iCs/>
          <w:u w:val="single"/>
        </w:rPr>
      </w:pPr>
      <w:r w:rsidRPr="00EC74AD">
        <w:rPr>
          <w:rFonts w:asciiTheme="minorHAnsi" w:eastAsia="Times New Roman" w:hAnsiTheme="minorHAnsi" w:cstheme="minorHAnsi"/>
          <w:i/>
          <w:iCs/>
          <w:u w:val="single"/>
        </w:rPr>
        <w:t>Α</w:t>
      </w:r>
      <w:r w:rsidR="00E93504" w:rsidRPr="00EC74AD">
        <w:rPr>
          <w:rFonts w:asciiTheme="minorHAnsi" w:eastAsia="Times New Roman" w:hAnsiTheme="minorHAnsi" w:cstheme="minorHAnsi"/>
          <w:i/>
          <w:iCs/>
          <w:u w:val="single"/>
        </w:rPr>
        <w:t>ύξηση οικονομικών μεγεθών</w:t>
      </w:r>
      <w:r w:rsidR="00EC74AD" w:rsidRPr="00CF684A">
        <w:rPr>
          <w:rFonts w:asciiTheme="minorHAnsi" w:eastAsia="Times New Roman" w:hAnsiTheme="minorHAnsi" w:cstheme="minorHAnsi"/>
          <w:i/>
          <w:iCs/>
          <w:u w:val="single"/>
        </w:rPr>
        <w:t>, ισχυρά θεμελιώδη και θετικές προοπτικές σ</w:t>
      </w:r>
      <w:r w:rsidRPr="00EC74AD">
        <w:rPr>
          <w:rFonts w:asciiTheme="minorHAnsi" w:eastAsia="Times New Roman" w:hAnsiTheme="minorHAnsi" w:cstheme="minorHAnsi"/>
          <w:i/>
          <w:iCs/>
          <w:u w:val="single"/>
        </w:rPr>
        <w:t xml:space="preserve">τους τομείς </w:t>
      </w:r>
      <w:r w:rsidR="00837EA3" w:rsidRPr="00EC74AD">
        <w:rPr>
          <w:rFonts w:asciiTheme="minorHAnsi" w:eastAsia="Times New Roman" w:hAnsiTheme="minorHAnsi" w:cstheme="minorHAnsi"/>
          <w:i/>
          <w:iCs/>
          <w:u w:val="single"/>
        </w:rPr>
        <w:t>δραστηρ</w:t>
      </w:r>
      <w:r w:rsidR="00F84828">
        <w:rPr>
          <w:rFonts w:asciiTheme="minorHAnsi" w:eastAsia="Times New Roman" w:hAnsiTheme="minorHAnsi" w:cstheme="minorHAnsi"/>
          <w:i/>
          <w:iCs/>
          <w:u w:val="single"/>
        </w:rPr>
        <w:t>ιοποίησης</w:t>
      </w:r>
    </w:p>
    <w:p w14:paraId="14F80CF6" w14:textId="21F635B9" w:rsidR="00F22A35" w:rsidRPr="00A52719" w:rsidRDefault="008C360A" w:rsidP="00AB5A93">
      <w:pPr>
        <w:spacing w:before="240" w:after="120"/>
        <w:jc w:val="both"/>
        <w:rPr>
          <w:rFonts w:asciiTheme="minorHAnsi" w:eastAsia="Times New Roman" w:hAnsiTheme="minorHAnsi" w:cstheme="minorHAnsi"/>
          <w:b/>
          <w:bCs/>
        </w:rPr>
      </w:pPr>
      <w:r w:rsidRPr="008C360A">
        <w:rPr>
          <w:rFonts w:asciiTheme="minorHAnsi" w:eastAsia="Times New Roman" w:hAnsiTheme="minorHAnsi" w:cstheme="minorHAnsi"/>
          <w:b/>
          <w:bCs/>
        </w:rPr>
        <w:t xml:space="preserve">Παρά τις </w:t>
      </w:r>
      <w:r w:rsidR="00A13132">
        <w:rPr>
          <w:rFonts w:asciiTheme="minorHAnsi" w:eastAsia="Times New Roman" w:hAnsiTheme="minorHAnsi" w:cstheme="minorHAnsi"/>
          <w:b/>
          <w:bCs/>
        </w:rPr>
        <w:t>διεθνείς</w:t>
      </w:r>
      <w:r w:rsidRPr="008C360A">
        <w:rPr>
          <w:rFonts w:asciiTheme="minorHAnsi" w:eastAsia="Times New Roman" w:hAnsiTheme="minorHAnsi" w:cstheme="minorHAnsi"/>
          <w:b/>
          <w:bCs/>
        </w:rPr>
        <w:t xml:space="preserve"> γεωπολιτικές και μακροοικονομικές αβεβαιότητες, ο Όμιλος ΓΕΚ ΤΕΡΝΑ</w:t>
      </w:r>
      <w:r w:rsidR="00A13132">
        <w:rPr>
          <w:rFonts w:asciiTheme="minorHAnsi" w:eastAsia="Times New Roman" w:hAnsiTheme="minorHAnsi" w:cstheme="minorHAnsi"/>
          <w:b/>
          <w:bCs/>
        </w:rPr>
        <w:t xml:space="preserve"> </w:t>
      </w:r>
      <w:r w:rsidR="00A13132" w:rsidRPr="006E5D38">
        <w:rPr>
          <w:rFonts w:asciiTheme="minorHAnsi" w:eastAsia="Times New Roman" w:hAnsiTheme="minorHAnsi" w:cstheme="minorHAnsi"/>
          <w:b/>
          <w:bCs/>
        </w:rPr>
        <w:t>(</w:t>
      </w:r>
      <w:r w:rsidR="00A13132" w:rsidRPr="006E5D38">
        <w:rPr>
          <w:rFonts w:asciiTheme="minorHAnsi" w:eastAsia="Times New Roman" w:hAnsiTheme="minorHAnsi" w:cstheme="minorHAnsi"/>
          <w:b/>
          <w:bCs/>
          <w:lang w:val="en-GB"/>
        </w:rPr>
        <w:t>Bloomberg</w:t>
      </w:r>
      <w:r w:rsidR="00A13132" w:rsidRPr="006E5D38">
        <w:rPr>
          <w:rFonts w:asciiTheme="minorHAnsi" w:eastAsia="Times New Roman" w:hAnsiTheme="minorHAnsi" w:cstheme="minorHAnsi"/>
          <w:b/>
          <w:bCs/>
        </w:rPr>
        <w:t xml:space="preserve">: </w:t>
      </w:r>
      <w:r w:rsidR="00A13132" w:rsidRPr="006E5D38">
        <w:rPr>
          <w:rFonts w:asciiTheme="minorHAnsi" w:eastAsia="Times New Roman" w:hAnsiTheme="minorHAnsi" w:cstheme="minorHAnsi"/>
          <w:b/>
          <w:bCs/>
          <w:lang w:val="en-GB"/>
        </w:rPr>
        <w:t>GEKTERNA</w:t>
      </w:r>
      <w:r w:rsidR="00A13132" w:rsidRPr="006E5D38">
        <w:rPr>
          <w:rFonts w:asciiTheme="minorHAnsi" w:eastAsia="Times New Roman" w:hAnsiTheme="minorHAnsi" w:cstheme="minorHAnsi"/>
          <w:b/>
          <w:bCs/>
        </w:rPr>
        <w:t xml:space="preserve"> </w:t>
      </w:r>
      <w:r w:rsidR="00A13132" w:rsidRPr="006E5D38">
        <w:rPr>
          <w:rFonts w:asciiTheme="minorHAnsi" w:eastAsia="Times New Roman" w:hAnsiTheme="minorHAnsi" w:cstheme="minorHAnsi"/>
          <w:b/>
          <w:bCs/>
          <w:lang w:val="en-GB"/>
        </w:rPr>
        <w:t>GA</w:t>
      </w:r>
      <w:r w:rsidR="00A13132" w:rsidRPr="006E5D38">
        <w:rPr>
          <w:rFonts w:asciiTheme="minorHAnsi" w:eastAsia="Times New Roman" w:hAnsiTheme="minorHAnsi" w:cstheme="minorHAnsi"/>
          <w:b/>
          <w:bCs/>
        </w:rPr>
        <w:t xml:space="preserve"> / </w:t>
      </w:r>
      <w:r w:rsidR="00A13132" w:rsidRPr="006E5D38">
        <w:rPr>
          <w:rFonts w:asciiTheme="minorHAnsi" w:eastAsia="Times New Roman" w:hAnsiTheme="minorHAnsi" w:cstheme="minorHAnsi"/>
          <w:b/>
          <w:bCs/>
          <w:lang w:val="en-GB"/>
        </w:rPr>
        <w:t>RIC</w:t>
      </w:r>
      <w:r w:rsidR="00A13132" w:rsidRPr="006E5D38">
        <w:rPr>
          <w:rFonts w:asciiTheme="minorHAnsi" w:eastAsia="Times New Roman" w:hAnsiTheme="minorHAnsi" w:cstheme="minorHAnsi"/>
          <w:b/>
          <w:bCs/>
        </w:rPr>
        <w:t xml:space="preserve">: </w:t>
      </w:r>
      <w:proofErr w:type="spellStart"/>
      <w:r w:rsidR="00A13132" w:rsidRPr="006E5D38">
        <w:rPr>
          <w:rFonts w:asciiTheme="minorHAnsi" w:eastAsia="Times New Roman" w:hAnsiTheme="minorHAnsi" w:cstheme="minorHAnsi"/>
          <w:b/>
          <w:bCs/>
          <w:lang w:val="en-GB"/>
        </w:rPr>
        <w:t>HRMr</w:t>
      </w:r>
      <w:proofErr w:type="spellEnd"/>
      <w:r w:rsidR="00A13132" w:rsidRPr="006E5D38">
        <w:rPr>
          <w:rFonts w:asciiTheme="minorHAnsi" w:eastAsia="Times New Roman" w:hAnsiTheme="minorHAnsi" w:cstheme="minorHAnsi"/>
          <w:b/>
          <w:bCs/>
        </w:rPr>
        <w:t>.</w:t>
      </w:r>
      <w:r w:rsidR="00A13132" w:rsidRPr="006E5D38">
        <w:rPr>
          <w:rFonts w:asciiTheme="minorHAnsi" w:eastAsia="Times New Roman" w:hAnsiTheme="minorHAnsi" w:cstheme="minorHAnsi"/>
          <w:b/>
          <w:bCs/>
          <w:lang w:val="en-GB"/>
        </w:rPr>
        <w:t>AT</w:t>
      </w:r>
      <w:r w:rsidR="00A13132" w:rsidRPr="006E5D38">
        <w:rPr>
          <w:rFonts w:asciiTheme="minorHAnsi" w:eastAsia="Times New Roman" w:hAnsiTheme="minorHAnsi" w:cstheme="minorHAnsi"/>
          <w:b/>
          <w:bCs/>
        </w:rPr>
        <w:t xml:space="preserve">) </w:t>
      </w:r>
      <w:r w:rsidRPr="008C360A">
        <w:rPr>
          <w:rFonts w:asciiTheme="minorHAnsi" w:eastAsia="Times New Roman" w:hAnsiTheme="minorHAnsi" w:cstheme="minorHAnsi"/>
          <w:b/>
          <w:bCs/>
        </w:rPr>
        <w:t>παραμένει π</w:t>
      </w:r>
      <w:r w:rsidR="00A13132">
        <w:rPr>
          <w:rFonts w:asciiTheme="minorHAnsi" w:eastAsia="Times New Roman" w:hAnsiTheme="minorHAnsi" w:cstheme="minorHAnsi"/>
          <w:b/>
          <w:bCs/>
        </w:rPr>
        <w:t>ροσηλωμένος</w:t>
      </w:r>
      <w:r w:rsidRPr="008C360A">
        <w:rPr>
          <w:rFonts w:asciiTheme="minorHAnsi" w:eastAsia="Times New Roman" w:hAnsiTheme="minorHAnsi" w:cstheme="minorHAnsi"/>
          <w:b/>
          <w:bCs/>
        </w:rPr>
        <w:t xml:space="preserve"> στην αναπτυξιακή του πορεία</w:t>
      </w:r>
      <w:r w:rsidR="00A13132">
        <w:rPr>
          <w:rFonts w:asciiTheme="minorHAnsi" w:eastAsia="Times New Roman" w:hAnsiTheme="minorHAnsi" w:cstheme="minorHAnsi"/>
          <w:b/>
          <w:bCs/>
        </w:rPr>
        <w:t>,</w:t>
      </w:r>
      <w:r w:rsidRPr="008C360A">
        <w:rPr>
          <w:rFonts w:asciiTheme="minorHAnsi" w:eastAsia="Times New Roman" w:hAnsiTheme="minorHAnsi" w:cstheme="minorHAnsi"/>
          <w:b/>
          <w:bCs/>
        </w:rPr>
        <w:t xml:space="preserve"> </w:t>
      </w:r>
      <w:r w:rsidR="009D2889" w:rsidRPr="009D2889">
        <w:rPr>
          <w:rFonts w:asciiTheme="minorHAnsi" w:eastAsia="Times New Roman" w:hAnsiTheme="minorHAnsi" w:cstheme="minorHAnsi"/>
          <w:b/>
          <w:bCs/>
        </w:rPr>
        <w:t>καταγράφ</w:t>
      </w:r>
      <w:r>
        <w:rPr>
          <w:rFonts w:asciiTheme="minorHAnsi" w:eastAsia="Times New Roman" w:hAnsiTheme="minorHAnsi" w:cstheme="minorHAnsi"/>
          <w:b/>
          <w:bCs/>
        </w:rPr>
        <w:t>οντας</w:t>
      </w:r>
      <w:r w:rsidR="009D2889">
        <w:rPr>
          <w:rFonts w:asciiTheme="minorHAnsi" w:eastAsia="Times New Roman" w:hAnsiTheme="minorHAnsi" w:cstheme="minorHAnsi"/>
          <w:b/>
          <w:bCs/>
        </w:rPr>
        <w:t xml:space="preserve"> </w:t>
      </w:r>
      <w:r w:rsidR="00395D93" w:rsidRPr="006E5D38">
        <w:rPr>
          <w:rFonts w:asciiTheme="minorHAnsi" w:eastAsia="Times New Roman" w:hAnsiTheme="minorHAnsi" w:cstheme="minorHAnsi"/>
          <w:b/>
          <w:bCs/>
        </w:rPr>
        <w:t xml:space="preserve">σημαντική ενίσχυση των χρηματοοικονομικών του μεγεθών. </w:t>
      </w:r>
      <w:r w:rsidR="00F22A35" w:rsidRPr="006E5D38">
        <w:rPr>
          <w:rFonts w:asciiTheme="minorHAnsi" w:eastAsia="Times New Roman" w:hAnsiTheme="minorHAnsi" w:cstheme="minorHAnsi"/>
          <w:b/>
          <w:bCs/>
          <w:lang w:val="en-GB"/>
        </w:rPr>
        <w:t>H</w:t>
      </w:r>
      <w:r w:rsidR="00F22A35" w:rsidRPr="006E5D38">
        <w:rPr>
          <w:rFonts w:asciiTheme="minorHAnsi" w:eastAsia="Times New Roman" w:hAnsiTheme="minorHAnsi" w:cstheme="minorHAnsi"/>
          <w:b/>
          <w:bCs/>
        </w:rPr>
        <w:t xml:space="preserve"> ισχυρή λειτουργική επίδοση </w:t>
      </w:r>
      <w:r w:rsidR="009D2889" w:rsidRPr="009D2889">
        <w:rPr>
          <w:rFonts w:asciiTheme="minorHAnsi" w:eastAsia="Times New Roman" w:hAnsiTheme="minorHAnsi" w:cstheme="minorHAnsi"/>
          <w:b/>
          <w:bCs/>
        </w:rPr>
        <w:t>σε όλους τους τομείς δραστηρ</w:t>
      </w:r>
      <w:r w:rsidR="00F84828">
        <w:rPr>
          <w:rFonts w:asciiTheme="minorHAnsi" w:eastAsia="Times New Roman" w:hAnsiTheme="minorHAnsi" w:cstheme="minorHAnsi"/>
          <w:b/>
          <w:bCs/>
        </w:rPr>
        <w:t>ιοποίησης</w:t>
      </w:r>
      <w:r w:rsidR="009D2889">
        <w:rPr>
          <w:rFonts w:asciiTheme="minorHAnsi" w:eastAsia="Times New Roman" w:hAnsiTheme="minorHAnsi" w:cstheme="minorHAnsi"/>
          <w:b/>
          <w:bCs/>
        </w:rPr>
        <w:t xml:space="preserve"> </w:t>
      </w:r>
      <w:r>
        <w:rPr>
          <w:rFonts w:asciiTheme="minorHAnsi" w:eastAsia="Times New Roman" w:hAnsiTheme="minorHAnsi" w:cstheme="minorHAnsi"/>
          <w:b/>
          <w:bCs/>
        </w:rPr>
        <w:t>οδήγησε σ</w:t>
      </w:r>
      <w:r w:rsidR="00F22A35" w:rsidRPr="006E5D38">
        <w:rPr>
          <w:rFonts w:asciiTheme="minorHAnsi" w:eastAsia="Times New Roman" w:hAnsiTheme="minorHAnsi" w:cstheme="minorHAnsi"/>
          <w:b/>
          <w:bCs/>
        </w:rPr>
        <w:t xml:space="preserve">την αύξηση των οικονομικών μεγεθών και </w:t>
      </w:r>
      <w:r>
        <w:rPr>
          <w:rFonts w:asciiTheme="minorHAnsi" w:eastAsia="Times New Roman" w:hAnsiTheme="minorHAnsi" w:cstheme="minorHAnsi"/>
          <w:b/>
          <w:bCs/>
        </w:rPr>
        <w:t>σ</w:t>
      </w:r>
      <w:r w:rsidR="00F22A35" w:rsidRPr="006E5D38">
        <w:rPr>
          <w:rFonts w:asciiTheme="minorHAnsi" w:eastAsia="Times New Roman" w:hAnsiTheme="minorHAnsi" w:cstheme="minorHAnsi"/>
          <w:b/>
          <w:bCs/>
        </w:rPr>
        <w:t xml:space="preserve">την </w:t>
      </w:r>
      <w:r w:rsidR="00123043">
        <w:rPr>
          <w:rFonts w:asciiTheme="minorHAnsi" w:eastAsia="Times New Roman" w:hAnsiTheme="minorHAnsi" w:cstheme="minorHAnsi"/>
          <w:b/>
          <w:bCs/>
        </w:rPr>
        <w:t>περαιτέρω</w:t>
      </w:r>
      <w:r w:rsidR="00F22A35" w:rsidRPr="006E5D38">
        <w:rPr>
          <w:rFonts w:asciiTheme="minorHAnsi" w:eastAsia="Times New Roman" w:hAnsiTheme="minorHAnsi" w:cstheme="minorHAnsi"/>
          <w:b/>
          <w:bCs/>
        </w:rPr>
        <w:t xml:space="preserve"> βελτίωση της χρηματοοικονομικής θέσης του Ομίλου. </w:t>
      </w:r>
    </w:p>
    <w:p w14:paraId="3F796A17" w14:textId="5A6AE298" w:rsidR="0000504B" w:rsidRPr="006E5D38" w:rsidRDefault="00F22A35" w:rsidP="00AB5A93">
      <w:pPr>
        <w:spacing w:before="240" w:after="120"/>
        <w:jc w:val="both"/>
        <w:rPr>
          <w:rFonts w:asciiTheme="minorHAnsi" w:eastAsia="Times New Roman" w:hAnsiTheme="minorHAnsi" w:cstheme="minorHAnsi"/>
          <w:b/>
          <w:bCs/>
        </w:rPr>
      </w:pPr>
      <w:r w:rsidRPr="006E5D38">
        <w:rPr>
          <w:rFonts w:asciiTheme="minorHAnsi" w:eastAsia="Times New Roman" w:hAnsiTheme="minorHAnsi" w:cstheme="minorHAnsi"/>
          <w:b/>
          <w:bCs/>
        </w:rPr>
        <w:t xml:space="preserve">Τα συνολικά έσοδα του Όμιλου για το 2022 </w:t>
      </w:r>
      <w:r w:rsidRPr="00345DE8">
        <w:rPr>
          <w:rFonts w:asciiTheme="minorHAnsi" w:eastAsia="Times New Roman" w:hAnsiTheme="minorHAnsi" w:cstheme="minorHAnsi"/>
          <w:b/>
          <w:bCs/>
        </w:rPr>
        <w:t>ανήλθαν σε 3.93</w:t>
      </w:r>
      <w:r w:rsidR="00164394" w:rsidRPr="00345DE8">
        <w:rPr>
          <w:rFonts w:asciiTheme="minorHAnsi" w:eastAsia="Times New Roman" w:hAnsiTheme="minorHAnsi" w:cstheme="minorHAnsi"/>
          <w:b/>
          <w:bCs/>
        </w:rPr>
        <w:t>8</w:t>
      </w:r>
      <w:r w:rsidRPr="00345DE8">
        <w:rPr>
          <w:rFonts w:asciiTheme="minorHAnsi" w:eastAsia="Times New Roman" w:hAnsiTheme="minorHAnsi" w:cstheme="minorHAnsi"/>
          <w:b/>
          <w:bCs/>
        </w:rPr>
        <w:t>,3 εκατ. ευρώ έναντι</w:t>
      </w:r>
      <w:r w:rsidRPr="006E5D38">
        <w:rPr>
          <w:rFonts w:asciiTheme="minorHAnsi" w:eastAsia="Times New Roman" w:hAnsiTheme="minorHAnsi" w:cstheme="minorHAnsi"/>
          <w:b/>
          <w:bCs/>
        </w:rPr>
        <w:t xml:space="preserve"> 1.144,2 εκατ. ευρώ το προηγούμενο έτος, με τη λειτουργική κερδοφορία (προσαρμοσμένο </w:t>
      </w:r>
      <w:r w:rsidRPr="006E5D38">
        <w:rPr>
          <w:rFonts w:asciiTheme="minorHAnsi" w:eastAsia="Times New Roman" w:hAnsiTheme="minorHAnsi" w:cstheme="minorHAnsi"/>
          <w:b/>
          <w:bCs/>
          <w:lang w:val="en-GB"/>
        </w:rPr>
        <w:t>EBITDA</w:t>
      </w:r>
      <w:r w:rsidR="006E5D38">
        <w:rPr>
          <w:rStyle w:val="FootnoteReference"/>
          <w:rFonts w:asciiTheme="minorHAnsi" w:eastAsia="Times New Roman" w:hAnsiTheme="minorHAnsi" w:cstheme="minorHAnsi"/>
          <w:b/>
          <w:bCs/>
          <w:lang w:val="en-GB"/>
        </w:rPr>
        <w:footnoteReference w:id="2"/>
      </w:r>
      <w:r w:rsidRPr="006E5D38">
        <w:rPr>
          <w:rFonts w:asciiTheme="minorHAnsi" w:eastAsia="Times New Roman" w:hAnsiTheme="minorHAnsi" w:cstheme="minorHAnsi"/>
          <w:b/>
          <w:bCs/>
        </w:rPr>
        <w:t xml:space="preserve">) να αυξάνεται στα 661,8 εκατ. ευρώ έναντι 323,5 εκατ. ευρώ για το 2021. </w:t>
      </w:r>
      <w:r w:rsidR="008C360A">
        <w:rPr>
          <w:rFonts w:asciiTheme="minorHAnsi" w:eastAsia="Times New Roman" w:hAnsiTheme="minorHAnsi" w:cstheme="minorHAnsi"/>
          <w:b/>
          <w:bCs/>
        </w:rPr>
        <w:t>Τ</w:t>
      </w:r>
      <w:r w:rsidRPr="006E5D38">
        <w:rPr>
          <w:rFonts w:asciiTheme="minorHAnsi" w:eastAsia="Times New Roman" w:hAnsiTheme="minorHAnsi" w:cstheme="minorHAnsi"/>
          <w:b/>
          <w:bCs/>
        </w:rPr>
        <w:t>α καθαρά κέρδη αποδιδόμενα στους μετόχους</w:t>
      </w:r>
      <w:r w:rsidR="0000504B" w:rsidRPr="006E5D38">
        <w:rPr>
          <w:rFonts w:asciiTheme="minorHAnsi" w:eastAsia="Times New Roman" w:hAnsiTheme="minorHAnsi" w:cstheme="minorHAnsi"/>
          <w:b/>
          <w:bCs/>
        </w:rPr>
        <w:t xml:space="preserve"> προσαρμοσμένα για </w:t>
      </w:r>
      <w:r w:rsidR="00123043">
        <w:rPr>
          <w:rFonts w:asciiTheme="minorHAnsi" w:eastAsia="Times New Roman" w:hAnsiTheme="minorHAnsi" w:cstheme="minorHAnsi"/>
          <w:b/>
          <w:bCs/>
        </w:rPr>
        <w:t xml:space="preserve">μη </w:t>
      </w:r>
      <w:r w:rsidR="0000504B" w:rsidRPr="006E5D38">
        <w:rPr>
          <w:rFonts w:asciiTheme="minorHAnsi" w:eastAsia="Times New Roman" w:hAnsiTheme="minorHAnsi" w:cstheme="minorHAnsi"/>
          <w:b/>
          <w:bCs/>
        </w:rPr>
        <w:t>λειτουργικά αποτελέσματα</w:t>
      </w:r>
      <w:r w:rsidR="006E5D38">
        <w:rPr>
          <w:rStyle w:val="FootnoteReference"/>
          <w:rFonts w:asciiTheme="minorHAnsi" w:eastAsia="Times New Roman" w:hAnsiTheme="minorHAnsi" w:cstheme="minorHAnsi"/>
          <w:b/>
          <w:bCs/>
        </w:rPr>
        <w:footnoteReference w:id="3"/>
      </w:r>
      <w:r w:rsidR="0000504B" w:rsidRPr="006E5D38">
        <w:rPr>
          <w:rFonts w:asciiTheme="minorHAnsi" w:eastAsia="Times New Roman" w:hAnsiTheme="minorHAnsi" w:cstheme="minorHAnsi"/>
          <w:b/>
          <w:bCs/>
          <w:i/>
          <w:iCs/>
        </w:rPr>
        <w:t xml:space="preserve"> </w:t>
      </w:r>
      <w:r w:rsidR="0000504B" w:rsidRPr="006E5D38">
        <w:rPr>
          <w:rFonts w:asciiTheme="minorHAnsi" w:eastAsia="Times New Roman" w:hAnsiTheme="minorHAnsi" w:cstheme="minorHAnsi"/>
          <w:b/>
          <w:bCs/>
        </w:rPr>
        <w:t>για το 2022 ανήλθαν σε 174,4 εκατ. ευρώ</w:t>
      </w:r>
      <w:r w:rsidR="00A13132">
        <w:rPr>
          <w:rFonts w:asciiTheme="minorHAnsi" w:eastAsia="Times New Roman" w:hAnsiTheme="minorHAnsi" w:cstheme="minorHAnsi"/>
          <w:b/>
          <w:bCs/>
        </w:rPr>
        <w:t>,</w:t>
      </w:r>
      <w:r w:rsidR="0000504B" w:rsidRPr="006E5D38">
        <w:rPr>
          <w:rFonts w:asciiTheme="minorHAnsi" w:eastAsia="Times New Roman" w:hAnsiTheme="minorHAnsi" w:cstheme="minorHAnsi"/>
          <w:b/>
          <w:bCs/>
        </w:rPr>
        <w:t xml:space="preserve"> σημαντικά ενισχυμένα έναντι 33,1 εκατ. ευρώ το προηγούμενο έτος.</w:t>
      </w:r>
    </w:p>
    <w:p w14:paraId="4E69C2C3" w14:textId="54B5B088" w:rsidR="0013732D" w:rsidRPr="006E5D38" w:rsidRDefault="0000504B" w:rsidP="00AB5A93">
      <w:pPr>
        <w:spacing w:before="240" w:after="120"/>
        <w:jc w:val="both"/>
        <w:rPr>
          <w:rFonts w:asciiTheme="minorHAnsi" w:eastAsia="Times New Roman" w:hAnsiTheme="minorHAnsi" w:cstheme="minorHAnsi"/>
          <w:b/>
          <w:bCs/>
        </w:rPr>
      </w:pPr>
      <w:r w:rsidRPr="006E5D38">
        <w:rPr>
          <w:rFonts w:asciiTheme="minorHAnsi" w:eastAsia="Times New Roman" w:hAnsiTheme="minorHAnsi" w:cstheme="minorHAnsi"/>
          <w:b/>
          <w:bCs/>
        </w:rPr>
        <w:t xml:space="preserve">Η ισχυρή λειτουργική κερδοφορία </w:t>
      </w:r>
      <w:r w:rsidR="00395D93" w:rsidRPr="006E5D38">
        <w:rPr>
          <w:rFonts w:asciiTheme="minorHAnsi" w:eastAsia="Times New Roman" w:hAnsiTheme="minorHAnsi" w:cstheme="minorHAnsi"/>
          <w:b/>
          <w:bCs/>
        </w:rPr>
        <w:t>οδήγησε</w:t>
      </w:r>
      <w:r w:rsidR="00F84828">
        <w:rPr>
          <w:rFonts w:asciiTheme="minorHAnsi" w:eastAsia="Times New Roman" w:hAnsiTheme="minorHAnsi" w:cstheme="minorHAnsi"/>
          <w:b/>
          <w:bCs/>
        </w:rPr>
        <w:t>,</w:t>
      </w:r>
      <w:r w:rsidRPr="006E5D38">
        <w:rPr>
          <w:rFonts w:asciiTheme="minorHAnsi" w:eastAsia="Times New Roman" w:hAnsiTheme="minorHAnsi" w:cstheme="minorHAnsi"/>
          <w:b/>
          <w:bCs/>
        </w:rPr>
        <w:t xml:space="preserve"> </w:t>
      </w:r>
      <w:r w:rsidR="00F84828">
        <w:rPr>
          <w:rFonts w:asciiTheme="minorHAnsi" w:eastAsia="Times New Roman" w:hAnsiTheme="minorHAnsi" w:cstheme="minorHAnsi"/>
          <w:b/>
          <w:bCs/>
        </w:rPr>
        <w:t>επίσης,</w:t>
      </w:r>
      <w:r w:rsidRPr="006E5D38">
        <w:rPr>
          <w:rFonts w:asciiTheme="minorHAnsi" w:eastAsia="Times New Roman" w:hAnsiTheme="minorHAnsi" w:cstheme="minorHAnsi"/>
          <w:b/>
          <w:bCs/>
        </w:rPr>
        <w:t xml:space="preserve"> στην </w:t>
      </w:r>
      <w:r w:rsidR="00123043">
        <w:rPr>
          <w:rFonts w:asciiTheme="minorHAnsi" w:eastAsia="Times New Roman" w:hAnsiTheme="minorHAnsi" w:cstheme="minorHAnsi"/>
          <w:b/>
          <w:bCs/>
        </w:rPr>
        <w:t>περαιτέρω</w:t>
      </w:r>
      <w:r w:rsidRPr="006E5D38">
        <w:rPr>
          <w:rFonts w:asciiTheme="minorHAnsi" w:eastAsia="Times New Roman" w:hAnsiTheme="minorHAnsi" w:cstheme="minorHAnsi"/>
          <w:b/>
          <w:bCs/>
        </w:rPr>
        <w:t xml:space="preserve"> ενδυνάμωση του ισολογισμού του Ομίλου με τα συνολικά ταμειακά διαθέσιμα να αυξάνονται στα 1.491,7</w:t>
      </w:r>
      <w:r w:rsidR="00CF684A">
        <w:rPr>
          <w:rFonts w:asciiTheme="minorHAnsi" w:eastAsia="Times New Roman" w:hAnsiTheme="minorHAnsi" w:cstheme="minorHAnsi"/>
          <w:b/>
          <w:bCs/>
        </w:rPr>
        <w:t xml:space="preserve"> εκατ.</w:t>
      </w:r>
      <w:r w:rsidRPr="006E5D38">
        <w:rPr>
          <w:rFonts w:asciiTheme="minorHAnsi" w:eastAsia="Times New Roman" w:hAnsiTheme="minorHAnsi" w:cstheme="minorHAnsi"/>
          <w:b/>
          <w:bCs/>
        </w:rPr>
        <w:t xml:space="preserve"> ευρώ και τον συντελεστή Καθαρό Χρέος/Προσαρμοσμένο </w:t>
      </w:r>
      <w:r w:rsidRPr="006E5D38">
        <w:rPr>
          <w:rFonts w:asciiTheme="minorHAnsi" w:eastAsia="Times New Roman" w:hAnsiTheme="minorHAnsi" w:cstheme="minorHAnsi"/>
          <w:b/>
          <w:bCs/>
          <w:lang w:val="en-US"/>
        </w:rPr>
        <w:t>EBITDA</w:t>
      </w:r>
      <w:r w:rsidR="006E5D38" w:rsidRPr="006E5D38">
        <w:rPr>
          <w:rFonts w:asciiTheme="minorHAnsi" w:eastAsia="Times New Roman" w:hAnsiTheme="minorHAnsi" w:cstheme="minorHAnsi"/>
          <w:b/>
          <w:bCs/>
          <w:vertAlign w:val="superscript"/>
        </w:rPr>
        <w:t>1</w:t>
      </w:r>
      <w:r w:rsidRPr="006E5D38">
        <w:rPr>
          <w:rFonts w:asciiTheme="minorHAnsi" w:eastAsia="Times New Roman" w:hAnsiTheme="minorHAnsi" w:cstheme="minorHAnsi"/>
          <w:b/>
          <w:bCs/>
        </w:rPr>
        <w:t xml:space="preserve"> να υποχωρεί περ</w:t>
      </w:r>
      <w:r w:rsidR="002D59BC">
        <w:rPr>
          <w:rFonts w:asciiTheme="minorHAnsi" w:eastAsia="Times New Roman" w:hAnsiTheme="minorHAnsi" w:cstheme="minorHAnsi"/>
          <w:b/>
          <w:bCs/>
        </w:rPr>
        <w:t>αι</w:t>
      </w:r>
      <w:r w:rsidRPr="006E5D38">
        <w:rPr>
          <w:rFonts w:asciiTheme="minorHAnsi" w:eastAsia="Times New Roman" w:hAnsiTheme="minorHAnsi" w:cstheme="minorHAnsi"/>
          <w:b/>
          <w:bCs/>
        </w:rPr>
        <w:t>τ</w:t>
      </w:r>
      <w:r w:rsidR="002D59BC">
        <w:rPr>
          <w:rFonts w:asciiTheme="minorHAnsi" w:eastAsia="Times New Roman" w:hAnsiTheme="minorHAnsi" w:cstheme="minorHAnsi"/>
          <w:b/>
          <w:bCs/>
        </w:rPr>
        <w:t>έ</w:t>
      </w:r>
      <w:r w:rsidRPr="006E5D38">
        <w:rPr>
          <w:rFonts w:asciiTheme="minorHAnsi" w:eastAsia="Times New Roman" w:hAnsiTheme="minorHAnsi" w:cstheme="minorHAnsi"/>
          <w:b/>
          <w:bCs/>
        </w:rPr>
        <w:t>ρω στο 2.3</w:t>
      </w:r>
      <w:r w:rsidRPr="006E5D38">
        <w:rPr>
          <w:rFonts w:asciiTheme="minorHAnsi" w:eastAsia="Times New Roman" w:hAnsiTheme="minorHAnsi" w:cstheme="minorHAnsi"/>
          <w:b/>
          <w:bCs/>
          <w:lang w:val="en-GB"/>
        </w:rPr>
        <w:t>x</w:t>
      </w:r>
      <w:r w:rsidRPr="006E5D38">
        <w:rPr>
          <w:rFonts w:asciiTheme="minorHAnsi" w:eastAsia="Times New Roman" w:hAnsiTheme="minorHAnsi" w:cstheme="minorHAnsi"/>
          <w:b/>
          <w:bCs/>
        </w:rPr>
        <w:t xml:space="preserve"> έναντι 3.8</w:t>
      </w:r>
      <w:r w:rsidRPr="006E5D38">
        <w:rPr>
          <w:rFonts w:asciiTheme="minorHAnsi" w:eastAsia="Times New Roman" w:hAnsiTheme="minorHAnsi" w:cstheme="minorHAnsi"/>
          <w:b/>
          <w:bCs/>
          <w:lang w:val="en-GB"/>
        </w:rPr>
        <w:t>x</w:t>
      </w:r>
      <w:r w:rsidRPr="006E5D38">
        <w:rPr>
          <w:rFonts w:asciiTheme="minorHAnsi" w:eastAsia="Times New Roman" w:hAnsiTheme="minorHAnsi" w:cstheme="minorHAnsi"/>
          <w:b/>
          <w:bCs/>
        </w:rPr>
        <w:t xml:space="preserve"> για το προηγούμενο έτος</w:t>
      </w:r>
      <w:r w:rsidR="00A13132">
        <w:rPr>
          <w:rFonts w:asciiTheme="minorHAnsi" w:eastAsia="Times New Roman" w:hAnsiTheme="minorHAnsi" w:cstheme="minorHAnsi"/>
          <w:b/>
          <w:bCs/>
        </w:rPr>
        <w:t>,</w:t>
      </w:r>
      <w:r w:rsidR="00395D93" w:rsidRPr="006E5D38">
        <w:rPr>
          <w:rFonts w:asciiTheme="minorHAnsi" w:eastAsia="Times New Roman" w:hAnsiTheme="minorHAnsi" w:cstheme="minorHAnsi"/>
          <w:b/>
          <w:bCs/>
        </w:rPr>
        <w:t xml:space="preserve"> παρά τις αυξημένες επενδύσεις (338,4 εκατ. ευρώ για το 2022 έναντι 245,6 για το 2021)</w:t>
      </w:r>
      <w:r w:rsidRPr="006E5D38">
        <w:rPr>
          <w:rFonts w:asciiTheme="minorHAnsi" w:eastAsia="Times New Roman" w:hAnsiTheme="minorHAnsi" w:cstheme="minorHAnsi"/>
          <w:b/>
          <w:bCs/>
        </w:rPr>
        <w:t>.</w:t>
      </w:r>
    </w:p>
    <w:p w14:paraId="6116DA8F" w14:textId="5AA86068" w:rsidR="0000504B" w:rsidRPr="006E5D38" w:rsidRDefault="00A13132" w:rsidP="00AB5A93">
      <w:pPr>
        <w:spacing w:before="240" w:after="120"/>
        <w:jc w:val="both"/>
        <w:rPr>
          <w:rFonts w:asciiTheme="minorHAnsi" w:eastAsia="Times New Roman" w:hAnsiTheme="minorHAnsi" w:cstheme="minorHAnsi"/>
          <w:b/>
          <w:bCs/>
        </w:rPr>
      </w:pPr>
      <w:r w:rsidRPr="00A77EF2">
        <w:rPr>
          <w:rFonts w:asciiTheme="minorHAnsi" w:eastAsia="Times New Roman" w:hAnsiTheme="minorHAnsi" w:cstheme="minorHAnsi"/>
          <w:b/>
          <w:bCs/>
        </w:rPr>
        <w:t xml:space="preserve">Ως αποτέλεσμα της ισχυρής οικονομικής θέσης και της σημαντικά ενισχυμένης </w:t>
      </w:r>
      <w:r w:rsidR="0000504B" w:rsidRPr="00A77EF2">
        <w:rPr>
          <w:rFonts w:asciiTheme="minorHAnsi" w:eastAsia="Times New Roman" w:hAnsiTheme="minorHAnsi" w:cstheme="minorHAnsi"/>
          <w:b/>
          <w:bCs/>
        </w:rPr>
        <w:t xml:space="preserve">λειτουργικής επίδοσης </w:t>
      </w:r>
      <w:r w:rsidRPr="00A77EF2">
        <w:rPr>
          <w:rFonts w:asciiTheme="minorHAnsi" w:eastAsia="Times New Roman" w:hAnsiTheme="minorHAnsi" w:cstheme="minorHAnsi"/>
          <w:b/>
          <w:bCs/>
        </w:rPr>
        <w:t xml:space="preserve">του Ομίλου, </w:t>
      </w:r>
      <w:r w:rsidR="0000504B" w:rsidRPr="00A77EF2">
        <w:rPr>
          <w:rFonts w:asciiTheme="minorHAnsi" w:eastAsia="Times New Roman" w:hAnsiTheme="minorHAnsi" w:cstheme="minorHAnsi"/>
          <w:b/>
          <w:bCs/>
        </w:rPr>
        <w:t>το Διοικητικό Συμβούλιο θα προτείνει στην επερχόμενη Γενική Συνέλευση χρηματική διανομή (επιστροφή κεφαλαίου) 0,20 ευρώ ανά μετοχή (μεικτ</w:t>
      </w:r>
      <w:r w:rsidR="006E5D38" w:rsidRPr="00A77EF2">
        <w:rPr>
          <w:rFonts w:asciiTheme="minorHAnsi" w:eastAsia="Times New Roman" w:hAnsiTheme="minorHAnsi" w:cstheme="minorHAnsi"/>
          <w:b/>
          <w:bCs/>
        </w:rPr>
        <w:t>ό</w:t>
      </w:r>
      <w:r w:rsidR="0000504B" w:rsidRPr="00A77EF2">
        <w:rPr>
          <w:rFonts w:asciiTheme="minorHAnsi" w:eastAsia="Times New Roman" w:hAnsiTheme="minorHAnsi" w:cstheme="minorHAnsi"/>
          <w:b/>
          <w:bCs/>
        </w:rPr>
        <w:t xml:space="preserve">) έναντι 0,12 ευρώ ανά μετοχή </w:t>
      </w:r>
      <w:r w:rsidR="0057733F" w:rsidRPr="00A77EF2">
        <w:rPr>
          <w:rFonts w:asciiTheme="minorHAnsi" w:eastAsia="Times New Roman" w:hAnsiTheme="minorHAnsi" w:cstheme="minorHAnsi"/>
          <w:b/>
          <w:bCs/>
        </w:rPr>
        <w:t xml:space="preserve">που </w:t>
      </w:r>
      <w:r w:rsidR="001303D1">
        <w:rPr>
          <w:rFonts w:asciiTheme="minorHAnsi" w:eastAsia="Times New Roman" w:hAnsiTheme="minorHAnsi" w:cstheme="minorHAnsi"/>
          <w:b/>
          <w:bCs/>
        </w:rPr>
        <w:t xml:space="preserve">καταβλήθηκε </w:t>
      </w:r>
      <w:r w:rsidR="007C778C">
        <w:rPr>
          <w:rFonts w:asciiTheme="minorHAnsi" w:eastAsia="Times New Roman" w:hAnsiTheme="minorHAnsi" w:cstheme="minorHAnsi"/>
          <w:b/>
          <w:bCs/>
        </w:rPr>
        <w:t>για τ</w:t>
      </w:r>
      <w:r w:rsidR="0000504B" w:rsidRPr="00A77EF2">
        <w:rPr>
          <w:rFonts w:asciiTheme="minorHAnsi" w:eastAsia="Times New Roman" w:hAnsiTheme="minorHAnsi" w:cstheme="minorHAnsi"/>
          <w:b/>
          <w:bCs/>
        </w:rPr>
        <w:t>ο προηγούμενο έτος.</w:t>
      </w:r>
      <w:r w:rsidR="0000504B" w:rsidRPr="006E5D38">
        <w:rPr>
          <w:rFonts w:asciiTheme="minorHAnsi" w:eastAsia="Times New Roman" w:hAnsiTheme="minorHAnsi" w:cstheme="minorHAnsi"/>
          <w:b/>
          <w:bCs/>
        </w:rPr>
        <w:t xml:space="preserve"> </w:t>
      </w:r>
      <w:r w:rsidR="0000504B" w:rsidRPr="00345DE8">
        <w:rPr>
          <w:rFonts w:asciiTheme="minorHAnsi" w:eastAsia="Times New Roman" w:hAnsiTheme="minorHAnsi" w:cstheme="minorHAnsi"/>
          <w:b/>
          <w:bCs/>
        </w:rPr>
        <w:t>Αξίζει να σημειωθεί</w:t>
      </w:r>
      <w:r w:rsidR="0057733F" w:rsidRPr="00345DE8">
        <w:rPr>
          <w:rFonts w:asciiTheme="minorHAnsi" w:eastAsia="Times New Roman" w:hAnsiTheme="minorHAnsi" w:cstheme="minorHAnsi"/>
          <w:b/>
          <w:bCs/>
        </w:rPr>
        <w:t>,</w:t>
      </w:r>
      <w:r w:rsidR="0000504B" w:rsidRPr="00345DE8">
        <w:rPr>
          <w:rFonts w:asciiTheme="minorHAnsi" w:eastAsia="Times New Roman" w:hAnsiTheme="minorHAnsi" w:cstheme="minorHAnsi"/>
          <w:b/>
          <w:bCs/>
        </w:rPr>
        <w:t xml:space="preserve"> ότι αν συμπεριλη</w:t>
      </w:r>
      <w:r w:rsidR="00395D93" w:rsidRPr="00345DE8">
        <w:rPr>
          <w:rFonts w:asciiTheme="minorHAnsi" w:eastAsia="Times New Roman" w:hAnsiTheme="minorHAnsi" w:cstheme="minorHAnsi"/>
          <w:b/>
          <w:bCs/>
        </w:rPr>
        <w:t xml:space="preserve">φθούν και οι </w:t>
      </w:r>
      <w:r w:rsidR="003C7543" w:rsidRPr="00890BF8">
        <w:rPr>
          <w:rFonts w:asciiTheme="minorHAnsi" w:eastAsia="Times New Roman" w:hAnsiTheme="minorHAnsi" w:cstheme="minorHAnsi"/>
          <w:b/>
          <w:bCs/>
        </w:rPr>
        <w:t xml:space="preserve">πραγματοποιθείσες </w:t>
      </w:r>
      <w:r w:rsidR="00395D93" w:rsidRPr="00890BF8">
        <w:rPr>
          <w:rFonts w:asciiTheme="minorHAnsi" w:eastAsia="Times New Roman" w:hAnsiTheme="minorHAnsi" w:cstheme="minorHAnsi"/>
          <w:b/>
          <w:bCs/>
        </w:rPr>
        <w:t xml:space="preserve">επαναγορές μετοχών από την αρχή του έτους, το συνολικό ποσό που θα διατεθεί στους μετόχους </w:t>
      </w:r>
      <w:r w:rsidR="007C778C" w:rsidRPr="00890BF8">
        <w:rPr>
          <w:rFonts w:asciiTheme="minorHAnsi" w:eastAsia="Times New Roman" w:hAnsiTheme="minorHAnsi" w:cstheme="minorHAnsi"/>
          <w:b/>
          <w:bCs/>
        </w:rPr>
        <w:t xml:space="preserve">σαν αποτέλεσμα της χρήσης </w:t>
      </w:r>
      <w:r w:rsidR="00395D93" w:rsidRPr="00890BF8">
        <w:rPr>
          <w:rFonts w:asciiTheme="minorHAnsi" w:eastAsia="Times New Roman" w:hAnsiTheme="minorHAnsi" w:cstheme="minorHAnsi"/>
          <w:b/>
          <w:bCs/>
        </w:rPr>
        <w:t>του</w:t>
      </w:r>
      <w:r w:rsidR="00CF684A" w:rsidRPr="00890BF8">
        <w:rPr>
          <w:rFonts w:asciiTheme="minorHAnsi" w:eastAsia="Times New Roman" w:hAnsiTheme="minorHAnsi" w:cstheme="minorHAnsi"/>
          <w:b/>
          <w:bCs/>
        </w:rPr>
        <w:t xml:space="preserve"> 202</w:t>
      </w:r>
      <w:r w:rsidR="007C778C" w:rsidRPr="00890BF8">
        <w:rPr>
          <w:rFonts w:asciiTheme="minorHAnsi" w:eastAsia="Times New Roman" w:hAnsiTheme="minorHAnsi" w:cstheme="minorHAnsi"/>
          <w:b/>
          <w:bCs/>
        </w:rPr>
        <w:t>2</w:t>
      </w:r>
      <w:r w:rsidR="00395D93" w:rsidRPr="00890BF8">
        <w:rPr>
          <w:rFonts w:asciiTheme="minorHAnsi" w:eastAsia="Times New Roman" w:hAnsiTheme="minorHAnsi" w:cstheme="minorHAnsi"/>
          <w:b/>
          <w:bCs/>
        </w:rPr>
        <w:t xml:space="preserve"> </w:t>
      </w:r>
      <w:r w:rsidR="00AD2657" w:rsidRPr="00890BF8">
        <w:rPr>
          <w:rFonts w:asciiTheme="minorHAnsi" w:eastAsia="Times New Roman" w:hAnsiTheme="minorHAnsi" w:cstheme="minorHAnsi"/>
          <w:b/>
          <w:bCs/>
        </w:rPr>
        <w:t xml:space="preserve">αναμένεται να ξεπεράσει τα </w:t>
      </w:r>
      <w:r w:rsidR="00395D93" w:rsidRPr="00890BF8">
        <w:rPr>
          <w:rFonts w:asciiTheme="minorHAnsi" w:eastAsia="Times New Roman" w:hAnsiTheme="minorHAnsi" w:cstheme="minorHAnsi"/>
          <w:b/>
          <w:bCs/>
        </w:rPr>
        <w:t>3</w:t>
      </w:r>
      <w:r w:rsidR="00AD2657" w:rsidRPr="00890BF8">
        <w:rPr>
          <w:rFonts w:asciiTheme="minorHAnsi" w:eastAsia="Times New Roman" w:hAnsiTheme="minorHAnsi" w:cstheme="minorHAnsi"/>
          <w:b/>
          <w:bCs/>
        </w:rPr>
        <w:t>5</w:t>
      </w:r>
      <w:r w:rsidR="00395D93" w:rsidRPr="00890BF8">
        <w:rPr>
          <w:rFonts w:asciiTheme="minorHAnsi" w:eastAsia="Times New Roman" w:hAnsiTheme="minorHAnsi" w:cstheme="minorHAnsi"/>
          <w:b/>
          <w:bCs/>
        </w:rPr>
        <w:t xml:space="preserve"> εκατ. ευρώ</w:t>
      </w:r>
      <w:r w:rsidR="003C7543" w:rsidRPr="00890BF8">
        <w:rPr>
          <w:rFonts w:asciiTheme="minorHAnsi" w:eastAsia="Times New Roman" w:hAnsiTheme="minorHAnsi" w:cstheme="minorHAnsi"/>
          <w:b/>
          <w:bCs/>
        </w:rPr>
        <w:t xml:space="preserve"> έναντ</w:t>
      </w:r>
      <w:r w:rsidR="001303D1" w:rsidRPr="00890BF8">
        <w:rPr>
          <w:rFonts w:asciiTheme="minorHAnsi" w:eastAsia="Times New Roman" w:hAnsiTheme="minorHAnsi" w:cstheme="minorHAnsi"/>
          <w:b/>
          <w:bCs/>
        </w:rPr>
        <w:t>ι</w:t>
      </w:r>
      <w:r w:rsidR="003C7543" w:rsidRPr="00890BF8">
        <w:rPr>
          <w:rFonts w:asciiTheme="minorHAnsi" w:eastAsia="Times New Roman" w:hAnsiTheme="minorHAnsi" w:cstheme="minorHAnsi"/>
          <w:b/>
          <w:bCs/>
        </w:rPr>
        <w:t xml:space="preserve"> συνολικού ποσού 22 εκατ. ευρώ που διατέθηκ</w:t>
      </w:r>
      <w:r w:rsidR="001303D1" w:rsidRPr="00890BF8">
        <w:rPr>
          <w:rFonts w:asciiTheme="minorHAnsi" w:eastAsia="Times New Roman" w:hAnsiTheme="minorHAnsi" w:cstheme="minorHAnsi"/>
          <w:b/>
          <w:bCs/>
        </w:rPr>
        <w:t>ε</w:t>
      </w:r>
      <w:r w:rsidR="003C7543" w:rsidRPr="00890BF8">
        <w:rPr>
          <w:rFonts w:asciiTheme="minorHAnsi" w:eastAsia="Times New Roman" w:hAnsiTheme="minorHAnsi" w:cstheme="minorHAnsi"/>
          <w:b/>
          <w:bCs/>
        </w:rPr>
        <w:t xml:space="preserve"> </w:t>
      </w:r>
      <w:r w:rsidR="007C778C" w:rsidRPr="00890BF8">
        <w:rPr>
          <w:rFonts w:asciiTheme="minorHAnsi" w:eastAsia="Times New Roman" w:hAnsiTheme="minorHAnsi" w:cstheme="minorHAnsi"/>
          <w:b/>
          <w:bCs/>
        </w:rPr>
        <w:t>για τη χρήση του 2021</w:t>
      </w:r>
      <w:r w:rsidR="00395D93" w:rsidRPr="00890BF8">
        <w:rPr>
          <w:rFonts w:asciiTheme="minorHAnsi" w:eastAsia="Times New Roman" w:hAnsiTheme="minorHAnsi" w:cstheme="minorHAnsi"/>
          <w:b/>
          <w:bCs/>
        </w:rPr>
        <w:t>.</w:t>
      </w:r>
      <w:r w:rsidR="00395D93" w:rsidRPr="006E5D38">
        <w:rPr>
          <w:rFonts w:asciiTheme="minorHAnsi" w:eastAsia="Times New Roman" w:hAnsiTheme="minorHAnsi" w:cstheme="minorHAnsi"/>
          <w:b/>
          <w:bCs/>
        </w:rPr>
        <w:t xml:space="preserve"> </w:t>
      </w:r>
      <w:r w:rsidR="0000504B" w:rsidRPr="006E5D38">
        <w:rPr>
          <w:rFonts w:asciiTheme="minorHAnsi" w:eastAsia="Times New Roman" w:hAnsiTheme="minorHAnsi" w:cstheme="minorHAnsi"/>
          <w:b/>
          <w:bCs/>
        </w:rPr>
        <w:t xml:space="preserve"> </w:t>
      </w:r>
    </w:p>
    <w:p w14:paraId="2B493802" w14:textId="1F1BD913" w:rsidR="006E2978" w:rsidRPr="006E5D38" w:rsidRDefault="00395D93" w:rsidP="00AB5A93">
      <w:pPr>
        <w:spacing w:before="240" w:after="120"/>
        <w:jc w:val="both"/>
        <w:rPr>
          <w:rFonts w:asciiTheme="minorHAnsi" w:eastAsia="Times New Roman" w:hAnsiTheme="minorHAnsi" w:cstheme="minorHAnsi"/>
          <w:b/>
          <w:bCs/>
        </w:rPr>
      </w:pPr>
      <w:r w:rsidRPr="006E5D38">
        <w:rPr>
          <w:rFonts w:asciiTheme="minorHAnsi" w:eastAsia="Times New Roman" w:hAnsiTheme="minorHAnsi" w:cstheme="minorHAnsi"/>
          <w:b/>
          <w:bCs/>
        </w:rPr>
        <w:t>Κατά το 2022</w:t>
      </w:r>
      <w:r w:rsidR="0057733F">
        <w:rPr>
          <w:rFonts w:asciiTheme="minorHAnsi" w:eastAsia="Times New Roman" w:hAnsiTheme="minorHAnsi" w:cstheme="minorHAnsi"/>
          <w:b/>
          <w:bCs/>
        </w:rPr>
        <w:t>,</w:t>
      </w:r>
      <w:r w:rsidRPr="006E5D38">
        <w:rPr>
          <w:rFonts w:asciiTheme="minorHAnsi" w:eastAsia="Times New Roman" w:hAnsiTheme="minorHAnsi" w:cstheme="minorHAnsi"/>
          <w:b/>
          <w:bCs/>
        </w:rPr>
        <w:t xml:space="preserve"> ο Όμιλος </w:t>
      </w:r>
      <w:r w:rsidR="0052003D">
        <w:rPr>
          <w:rFonts w:asciiTheme="minorHAnsi" w:eastAsia="Times New Roman" w:hAnsiTheme="minorHAnsi" w:cstheme="minorHAnsi"/>
          <w:b/>
          <w:bCs/>
        </w:rPr>
        <w:t xml:space="preserve">συνέχισε </w:t>
      </w:r>
      <w:r w:rsidR="008B0412" w:rsidRPr="006E5D38">
        <w:rPr>
          <w:rFonts w:asciiTheme="minorHAnsi" w:eastAsia="Times New Roman" w:hAnsiTheme="minorHAnsi" w:cstheme="minorHAnsi"/>
          <w:b/>
          <w:bCs/>
        </w:rPr>
        <w:t xml:space="preserve">την </w:t>
      </w:r>
      <w:r w:rsidR="0057733F">
        <w:rPr>
          <w:rFonts w:asciiTheme="minorHAnsi" w:eastAsia="Times New Roman" w:hAnsiTheme="minorHAnsi" w:cstheme="minorHAnsi"/>
          <w:b/>
          <w:bCs/>
        </w:rPr>
        <w:t>υλοποίηση</w:t>
      </w:r>
      <w:r w:rsidR="008B0412" w:rsidRPr="006E5D38">
        <w:rPr>
          <w:rFonts w:asciiTheme="minorHAnsi" w:eastAsia="Times New Roman" w:hAnsiTheme="minorHAnsi" w:cstheme="minorHAnsi"/>
          <w:b/>
          <w:bCs/>
        </w:rPr>
        <w:t xml:space="preserve"> του στρατηγικού του σχεδίου</w:t>
      </w:r>
      <w:r w:rsidR="0052003D">
        <w:rPr>
          <w:rFonts w:asciiTheme="minorHAnsi" w:eastAsia="Times New Roman" w:hAnsiTheme="minorHAnsi" w:cstheme="minorHAnsi"/>
          <w:b/>
          <w:bCs/>
        </w:rPr>
        <w:t xml:space="preserve"> </w:t>
      </w:r>
      <w:r w:rsidR="0052003D" w:rsidRPr="0052003D">
        <w:rPr>
          <w:rFonts w:asciiTheme="minorHAnsi" w:eastAsia="Times New Roman" w:hAnsiTheme="minorHAnsi" w:cstheme="minorHAnsi"/>
          <w:b/>
          <w:bCs/>
        </w:rPr>
        <w:t>σε όλους τους τομείς δραστηρι</w:t>
      </w:r>
      <w:r w:rsidR="00F84828">
        <w:rPr>
          <w:rFonts w:asciiTheme="minorHAnsi" w:eastAsia="Times New Roman" w:hAnsiTheme="minorHAnsi" w:cstheme="minorHAnsi"/>
          <w:b/>
          <w:bCs/>
        </w:rPr>
        <w:t>οποίησης</w:t>
      </w:r>
      <w:r w:rsidR="008B0412" w:rsidRPr="006E5D38">
        <w:rPr>
          <w:rFonts w:asciiTheme="minorHAnsi" w:eastAsia="Times New Roman" w:hAnsiTheme="minorHAnsi" w:cstheme="minorHAnsi"/>
          <w:b/>
          <w:bCs/>
        </w:rPr>
        <w:t xml:space="preserve">. </w:t>
      </w:r>
      <w:r w:rsidR="0052003D">
        <w:rPr>
          <w:rFonts w:asciiTheme="minorHAnsi" w:eastAsia="Times New Roman" w:hAnsiTheme="minorHAnsi" w:cstheme="minorHAnsi"/>
          <w:b/>
          <w:bCs/>
        </w:rPr>
        <w:t>Στον κατασκευαστικό τομέα</w:t>
      </w:r>
      <w:r w:rsidR="0057733F">
        <w:rPr>
          <w:rFonts w:asciiTheme="minorHAnsi" w:eastAsia="Times New Roman" w:hAnsiTheme="minorHAnsi" w:cstheme="minorHAnsi"/>
          <w:b/>
          <w:bCs/>
        </w:rPr>
        <w:t>,</w:t>
      </w:r>
      <w:r w:rsidR="0052003D">
        <w:rPr>
          <w:rFonts w:asciiTheme="minorHAnsi" w:eastAsia="Times New Roman" w:hAnsiTheme="minorHAnsi" w:cstheme="minorHAnsi"/>
          <w:b/>
          <w:bCs/>
        </w:rPr>
        <w:t xml:space="preserve"> </w:t>
      </w:r>
      <w:r w:rsidR="008B0412" w:rsidRPr="006E5D38">
        <w:rPr>
          <w:rFonts w:asciiTheme="minorHAnsi" w:eastAsia="Times New Roman" w:hAnsiTheme="minorHAnsi" w:cstheme="minorHAnsi"/>
          <w:b/>
          <w:bCs/>
        </w:rPr>
        <w:t xml:space="preserve">το ανεκτέλεστο </w:t>
      </w:r>
      <w:r w:rsidR="00890BF8">
        <w:rPr>
          <w:rFonts w:asciiTheme="minorHAnsi" w:eastAsia="Times New Roman" w:hAnsiTheme="minorHAnsi" w:cstheme="minorHAnsi"/>
          <w:b/>
          <w:bCs/>
        </w:rPr>
        <w:t>διαμορφώνεται</w:t>
      </w:r>
      <w:r w:rsidR="000E684E">
        <w:rPr>
          <w:rFonts w:asciiTheme="minorHAnsi" w:eastAsia="Times New Roman" w:hAnsiTheme="minorHAnsi" w:cstheme="minorHAnsi"/>
          <w:b/>
          <w:bCs/>
        </w:rPr>
        <w:t xml:space="preserve"> </w:t>
      </w:r>
      <w:r w:rsidR="008B0412" w:rsidRPr="006E5D38">
        <w:rPr>
          <w:rFonts w:asciiTheme="minorHAnsi" w:eastAsia="Times New Roman" w:hAnsiTheme="minorHAnsi" w:cstheme="minorHAnsi"/>
          <w:b/>
          <w:bCs/>
        </w:rPr>
        <w:t>στα 5,3 δι</w:t>
      </w:r>
      <w:r w:rsidR="0057733F">
        <w:rPr>
          <w:rFonts w:asciiTheme="minorHAnsi" w:eastAsia="Times New Roman" w:hAnsiTheme="minorHAnsi" w:cstheme="minorHAnsi"/>
          <w:b/>
          <w:bCs/>
        </w:rPr>
        <w:t>σ.</w:t>
      </w:r>
      <w:r w:rsidR="008B0412" w:rsidRPr="006E5D38">
        <w:rPr>
          <w:rFonts w:asciiTheme="minorHAnsi" w:eastAsia="Times New Roman" w:hAnsiTheme="minorHAnsi" w:cstheme="minorHAnsi"/>
          <w:b/>
          <w:bCs/>
        </w:rPr>
        <w:t xml:space="preserve"> ευρώ </w:t>
      </w:r>
      <w:r w:rsidR="008B0412" w:rsidRPr="006E5D38">
        <w:rPr>
          <w:rFonts w:asciiTheme="minorHAnsi" w:eastAsia="Times New Roman" w:hAnsiTheme="minorHAnsi" w:cstheme="minorHAnsi"/>
          <w:b/>
          <w:bCs/>
        </w:rPr>
        <w:lastRenderedPageBreak/>
        <w:t>(έναντι 4,9 δι</w:t>
      </w:r>
      <w:r w:rsidR="0057733F">
        <w:rPr>
          <w:rFonts w:asciiTheme="minorHAnsi" w:eastAsia="Times New Roman" w:hAnsiTheme="minorHAnsi" w:cstheme="minorHAnsi"/>
          <w:b/>
          <w:bCs/>
        </w:rPr>
        <w:t>σ.</w:t>
      </w:r>
      <w:r w:rsidR="00890BF8">
        <w:rPr>
          <w:rFonts w:asciiTheme="minorHAnsi" w:eastAsia="Times New Roman" w:hAnsiTheme="minorHAnsi" w:cstheme="minorHAnsi"/>
          <w:b/>
          <w:bCs/>
        </w:rPr>
        <w:t xml:space="preserve"> ευρώ</w:t>
      </w:r>
      <w:r w:rsidR="008B0412" w:rsidRPr="006E5D38">
        <w:rPr>
          <w:rFonts w:asciiTheme="minorHAnsi" w:eastAsia="Times New Roman" w:hAnsiTheme="minorHAnsi" w:cstheme="minorHAnsi"/>
          <w:b/>
          <w:bCs/>
        </w:rPr>
        <w:t xml:space="preserve"> το</w:t>
      </w:r>
      <w:r w:rsidR="0057733F">
        <w:rPr>
          <w:rFonts w:asciiTheme="minorHAnsi" w:eastAsia="Times New Roman" w:hAnsiTheme="minorHAnsi" w:cstheme="minorHAnsi"/>
          <w:b/>
          <w:bCs/>
        </w:rPr>
        <w:t xml:space="preserve"> </w:t>
      </w:r>
      <w:r w:rsidR="008B0412" w:rsidRPr="006E5D38">
        <w:rPr>
          <w:rFonts w:asciiTheme="minorHAnsi" w:eastAsia="Times New Roman" w:hAnsiTheme="minorHAnsi" w:cstheme="minorHAnsi"/>
          <w:b/>
          <w:bCs/>
        </w:rPr>
        <w:t>2021)</w:t>
      </w:r>
      <w:r w:rsidR="0057733F">
        <w:rPr>
          <w:rFonts w:asciiTheme="minorHAnsi" w:eastAsia="Times New Roman" w:hAnsiTheme="minorHAnsi" w:cstheme="minorHAnsi"/>
          <w:b/>
          <w:bCs/>
        </w:rPr>
        <w:t xml:space="preserve"> </w:t>
      </w:r>
      <w:r w:rsidR="000E684E">
        <w:rPr>
          <w:rFonts w:asciiTheme="minorHAnsi" w:eastAsia="Times New Roman" w:hAnsiTheme="minorHAnsi" w:cstheme="minorHAnsi"/>
          <w:b/>
          <w:bCs/>
        </w:rPr>
        <w:t>ενώ</w:t>
      </w:r>
      <w:r w:rsidR="00F84828">
        <w:rPr>
          <w:rFonts w:asciiTheme="minorHAnsi" w:eastAsia="Times New Roman" w:hAnsiTheme="minorHAnsi" w:cstheme="minorHAnsi"/>
          <w:b/>
          <w:bCs/>
        </w:rPr>
        <w:t xml:space="preserve"> ήδη</w:t>
      </w:r>
      <w:r w:rsidR="0057733F">
        <w:rPr>
          <w:rFonts w:asciiTheme="minorHAnsi" w:eastAsia="Times New Roman" w:hAnsiTheme="minorHAnsi" w:cstheme="minorHAnsi"/>
          <w:b/>
          <w:bCs/>
        </w:rPr>
        <w:t xml:space="preserve"> βρίσκονται σε εξέλιξη μεγάλης κλίμακας ενεργειακά έργα</w:t>
      </w:r>
      <w:r w:rsidR="0052003D">
        <w:rPr>
          <w:rFonts w:asciiTheme="minorHAnsi" w:eastAsia="Times New Roman" w:hAnsiTheme="minorHAnsi" w:cstheme="minorHAnsi"/>
          <w:b/>
          <w:bCs/>
        </w:rPr>
        <w:t xml:space="preserve"> </w:t>
      </w:r>
      <w:r w:rsidR="0052003D" w:rsidRPr="006E5D38">
        <w:rPr>
          <w:rFonts w:asciiTheme="minorHAnsi" w:eastAsia="Times New Roman" w:hAnsiTheme="minorHAnsi" w:cstheme="minorHAnsi"/>
          <w:b/>
          <w:bCs/>
        </w:rPr>
        <w:t>(</w:t>
      </w:r>
      <w:r w:rsidR="0057733F">
        <w:rPr>
          <w:rFonts w:asciiTheme="minorHAnsi" w:eastAsia="Times New Roman" w:hAnsiTheme="minorHAnsi" w:cstheme="minorHAnsi"/>
          <w:b/>
          <w:bCs/>
        </w:rPr>
        <w:t>Μ</w:t>
      </w:r>
      <w:r w:rsidR="0052003D" w:rsidRPr="006E5D38">
        <w:rPr>
          <w:rFonts w:asciiTheme="minorHAnsi" w:eastAsia="Times New Roman" w:hAnsiTheme="minorHAnsi" w:cstheme="minorHAnsi"/>
          <w:b/>
          <w:bCs/>
        </w:rPr>
        <w:t xml:space="preserve">ονάδας </w:t>
      </w:r>
      <w:r w:rsidR="0057733F">
        <w:rPr>
          <w:rFonts w:asciiTheme="minorHAnsi" w:eastAsia="Times New Roman" w:hAnsiTheme="minorHAnsi" w:cstheme="minorHAnsi"/>
          <w:b/>
          <w:bCs/>
        </w:rPr>
        <w:t>Α</w:t>
      </w:r>
      <w:r w:rsidR="0052003D" w:rsidRPr="006E5D38">
        <w:rPr>
          <w:rFonts w:asciiTheme="minorHAnsi" w:eastAsia="Times New Roman" w:hAnsiTheme="minorHAnsi" w:cstheme="minorHAnsi"/>
          <w:b/>
          <w:bCs/>
        </w:rPr>
        <w:t xml:space="preserve">ποθήκευσης </w:t>
      </w:r>
      <w:r w:rsidR="0057733F">
        <w:rPr>
          <w:rFonts w:asciiTheme="minorHAnsi" w:eastAsia="Times New Roman" w:hAnsiTheme="minorHAnsi" w:cstheme="minorHAnsi"/>
          <w:b/>
          <w:bCs/>
        </w:rPr>
        <w:t>Ε</w:t>
      </w:r>
      <w:r w:rsidR="0052003D">
        <w:rPr>
          <w:rFonts w:asciiTheme="minorHAnsi" w:eastAsia="Times New Roman" w:hAnsiTheme="minorHAnsi" w:cstheme="minorHAnsi"/>
          <w:b/>
          <w:bCs/>
        </w:rPr>
        <w:t xml:space="preserve">νέργειας </w:t>
      </w:r>
      <w:r w:rsidR="0052003D" w:rsidRPr="006E5D38">
        <w:rPr>
          <w:rFonts w:asciiTheme="minorHAnsi" w:eastAsia="Times New Roman" w:hAnsiTheme="minorHAnsi" w:cstheme="minorHAnsi"/>
          <w:b/>
          <w:bCs/>
        </w:rPr>
        <w:t xml:space="preserve">με την τεχνολογία της </w:t>
      </w:r>
      <w:proofErr w:type="spellStart"/>
      <w:r w:rsidR="0057733F">
        <w:rPr>
          <w:rFonts w:asciiTheme="minorHAnsi" w:eastAsia="Times New Roman" w:hAnsiTheme="minorHAnsi" w:cstheme="minorHAnsi"/>
          <w:b/>
          <w:bCs/>
        </w:rPr>
        <w:t>Α</w:t>
      </w:r>
      <w:r w:rsidR="0052003D" w:rsidRPr="0052003D">
        <w:rPr>
          <w:rFonts w:asciiTheme="minorHAnsi" w:eastAsia="Times New Roman" w:hAnsiTheme="minorHAnsi" w:cstheme="minorHAnsi"/>
          <w:b/>
          <w:bCs/>
        </w:rPr>
        <w:t>ντλησιοταμίευσης</w:t>
      </w:r>
      <w:proofErr w:type="spellEnd"/>
      <w:r w:rsidR="0052003D" w:rsidRPr="0052003D">
        <w:rPr>
          <w:rFonts w:asciiTheme="minorHAnsi" w:eastAsia="Times New Roman" w:hAnsiTheme="minorHAnsi" w:cstheme="minorHAnsi"/>
          <w:b/>
          <w:bCs/>
        </w:rPr>
        <w:t xml:space="preserve"> </w:t>
      </w:r>
      <w:r w:rsidR="0052003D" w:rsidRPr="006E5D38">
        <w:rPr>
          <w:rFonts w:asciiTheme="minorHAnsi" w:eastAsia="Times New Roman" w:hAnsiTheme="minorHAnsi" w:cstheme="minorHAnsi"/>
          <w:b/>
          <w:bCs/>
        </w:rPr>
        <w:t xml:space="preserve">στην Αμφιλοχία, </w:t>
      </w:r>
      <w:r w:rsidR="0057733F">
        <w:rPr>
          <w:rFonts w:asciiTheme="minorHAnsi" w:eastAsia="Times New Roman" w:hAnsiTheme="minorHAnsi" w:cstheme="minorHAnsi"/>
          <w:b/>
          <w:bCs/>
        </w:rPr>
        <w:t>ν</w:t>
      </w:r>
      <w:r w:rsidR="0052003D" w:rsidRPr="006E5D38">
        <w:rPr>
          <w:rFonts w:asciiTheme="minorHAnsi" w:eastAsia="Times New Roman" w:hAnsiTheme="minorHAnsi" w:cstheme="minorHAnsi"/>
          <w:b/>
          <w:bCs/>
        </w:rPr>
        <w:t xml:space="preserve">έα </w:t>
      </w:r>
      <w:r w:rsidR="0057733F">
        <w:rPr>
          <w:rFonts w:asciiTheme="minorHAnsi" w:eastAsia="Times New Roman" w:hAnsiTheme="minorHAnsi" w:cstheme="minorHAnsi"/>
          <w:b/>
          <w:bCs/>
        </w:rPr>
        <w:t>Μ</w:t>
      </w:r>
      <w:r w:rsidR="0052003D" w:rsidRPr="006E5D38">
        <w:rPr>
          <w:rFonts w:asciiTheme="minorHAnsi" w:eastAsia="Times New Roman" w:hAnsiTheme="minorHAnsi" w:cstheme="minorHAnsi"/>
          <w:b/>
          <w:bCs/>
        </w:rPr>
        <w:t xml:space="preserve">ονάδας </w:t>
      </w:r>
      <w:r w:rsidR="0057733F">
        <w:rPr>
          <w:rFonts w:asciiTheme="minorHAnsi" w:eastAsia="Times New Roman" w:hAnsiTheme="minorHAnsi" w:cstheme="minorHAnsi"/>
          <w:b/>
          <w:bCs/>
        </w:rPr>
        <w:t>Ηλεκτροπαραγωγής με καύσιμο Φ</w:t>
      </w:r>
      <w:r w:rsidR="0052003D" w:rsidRPr="006E5D38">
        <w:rPr>
          <w:rFonts w:asciiTheme="minorHAnsi" w:eastAsia="Times New Roman" w:hAnsiTheme="minorHAnsi" w:cstheme="minorHAnsi"/>
          <w:b/>
          <w:bCs/>
        </w:rPr>
        <w:t>υσικ</w:t>
      </w:r>
      <w:r w:rsidR="0057733F">
        <w:rPr>
          <w:rFonts w:asciiTheme="minorHAnsi" w:eastAsia="Times New Roman" w:hAnsiTheme="minorHAnsi" w:cstheme="minorHAnsi"/>
          <w:b/>
          <w:bCs/>
        </w:rPr>
        <w:t>ό</w:t>
      </w:r>
      <w:r w:rsidR="0052003D" w:rsidRPr="006E5D38">
        <w:rPr>
          <w:rFonts w:asciiTheme="minorHAnsi" w:eastAsia="Times New Roman" w:hAnsiTheme="minorHAnsi" w:cstheme="minorHAnsi"/>
          <w:b/>
          <w:bCs/>
        </w:rPr>
        <w:t xml:space="preserve"> </w:t>
      </w:r>
      <w:r w:rsidR="0057733F">
        <w:rPr>
          <w:rFonts w:asciiTheme="minorHAnsi" w:eastAsia="Times New Roman" w:hAnsiTheme="minorHAnsi" w:cstheme="minorHAnsi"/>
          <w:b/>
          <w:bCs/>
        </w:rPr>
        <w:t>Αέριο</w:t>
      </w:r>
      <w:r w:rsidR="0052003D" w:rsidRPr="006E5D38">
        <w:rPr>
          <w:rFonts w:asciiTheme="minorHAnsi" w:eastAsia="Times New Roman" w:hAnsiTheme="minorHAnsi" w:cstheme="minorHAnsi"/>
          <w:b/>
          <w:bCs/>
        </w:rPr>
        <w:t xml:space="preserve"> στην Κομοτηνή</w:t>
      </w:r>
      <w:r w:rsidR="00CF684A">
        <w:rPr>
          <w:rFonts w:asciiTheme="minorHAnsi" w:eastAsia="Times New Roman" w:hAnsiTheme="minorHAnsi" w:cstheme="minorHAnsi"/>
          <w:b/>
          <w:bCs/>
        </w:rPr>
        <w:t>)</w:t>
      </w:r>
      <w:r w:rsidR="000E684E">
        <w:rPr>
          <w:rFonts w:asciiTheme="minorHAnsi" w:eastAsia="Times New Roman" w:hAnsiTheme="minorHAnsi" w:cstheme="minorHAnsi"/>
          <w:b/>
          <w:bCs/>
        </w:rPr>
        <w:t>. Παράλληλα</w:t>
      </w:r>
      <w:r w:rsidR="0052003D">
        <w:rPr>
          <w:rFonts w:asciiTheme="minorHAnsi" w:eastAsia="Times New Roman" w:hAnsiTheme="minorHAnsi" w:cstheme="minorHAnsi"/>
          <w:b/>
          <w:bCs/>
        </w:rPr>
        <w:t xml:space="preserve"> </w:t>
      </w:r>
      <w:r w:rsidR="00AA5D5B">
        <w:rPr>
          <w:rFonts w:asciiTheme="minorHAnsi" w:eastAsia="Times New Roman" w:hAnsiTheme="minorHAnsi" w:cstheme="minorHAnsi"/>
          <w:b/>
          <w:bCs/>
        </w:rPr>
        <w:t>έχει</w:t>
      </w:r>
      <w:r w:rsidR="00123043">
        <w:rPr>
          <w:rFonts w:asciiTheme="minorHAnsi" w:eastAsia="Times New Roman" w:hAnsiTheme="minorHAnsi" w:cstheme="minorHAnsi"/>
          <w:b/>
          <w:bCs/>
        </w:rPr>
        <w:t xml:space="preserve"> </w:t>
      </w:r>
      <w:r w:rsidR="000E684E">
        <w:rPr>
          <w:rFonts w:asciiTheme="minorHAnsi" w:eastAsia="Times New Roman" w:hAnsiTheme="minorHAnsi" w:cstheme="minorHAnsi"/>
          <w:b/>
          <w:bCs/>
        </w:rPr>
        <w:t xml:space="preserve">ήδη </w:t>
      </w:r>
      <w:r w:rsidR="00AA5D5B">
        <w:rPr>
          <w:rFonts w:asciiTheme="minorHAnsi" w:eastAsia="Times New Roman" w:hAnsiTheme="minorHAnsi" w:cstheme="minorHAnsi"/>
          <w:b/>
          <w:bCs/>
        </w:rPr>
        <w:t xml:space="preserve">ξεκινήσει η ηλέκτριση </w:t>
      </w:r>
      <w:r w:rsidR="000E684E">
        <w:rPr>
          <w:rFonts w:asciiTheme="minorHAnsi" w:eastAsia="Times New Roman" w:hAnsiTheme="minorHAnsi" w:cstheme="minorHAnsi"/>
          <w:b/>
          <w:bCs/>
        </w:rPr>
        <w:t xml:space="preserve">του νέου </w:t>
      </w:r>
      <w:r w:rsidR="00AA5D5B">
        <w:rPr>
          <w:rFonts w:asciiTheme="minorHAnsi" w:eastAsia="Times New Roman" w:hAnsiTheme="minorHAnsi" w:cstheme="minorHAnsi"/>
          <w:b/>
          <w:bCs/>
        </w:rPr>
        <w:t xml:space="preserve">συμπλέγματος </w:t>
      </w:r>
      <w:r w:rsidR="0057733F">
        <w:rPr>
          <w:rFonts w:asciiTheme="minorHAnsi" w:eastAsia="Times New Roman" w:hAnsiTheme="minorHAnsi" w:cstheme="minorHAnsi"/>
          <w:b/>
          <w:bCs/>
        </w:rPr>
        <w:t>Α</w:t>
      </w:r>
      <w:r w:rsidR="00AA5D5B">
        <w:rPr>
          <w:rFonts w:asciiTheme="minorHAnsi" w:eastAsia="Times New Roman" w:hAnsiTheme="minorHAnsi" w:cstheme="minorHAnsi"/>
          <w:b/>
          <w:bCs/>
        </w:rPr>
        <w:t xml:space="preserve">ιολικών </w:t>
      </w:r>
      <w:r w:rsidR="0057733F">
        <w:rPr>
          <w:rFonts w:asciiTheme="minorHAnsi" w:eastAsia="Times New Roman" w:hAnsiTheme="minorHAnsi" w:cstheme="minorHAnsi"/>
          <w:b/>
          <w:bCs/>
        </w:rPr>
        <w:t>Π</w:t>
      </w:r>
      <w:r w:rsidR="00123043">
        <w:rPr>
          <w:rFonts w:asciiTheme="minorHAnsi" w:eastAsia="Times New Roman" w:hAnsiTheme="minorHAnsi" w:cstheme="minorHAnsi"/>
          <w:b/>
          <w:bCs/>
        </w:rPr>
        <w:t xml:space="preserve">άρκων </w:t>
      </w:r>
      <w:r w:rsidR="00AA5D5B">
        <w:rPr>
          <w:rFonts w:asciiTheme="minorHAnsi" w:eastAsia="Times New Roman" w:hAnsiTheme="minorHAnsi" w:cstheme="minorHAnsi"/>
          <w:b/>
          <w:bCs/>
        </w:rPr>
        <w:t xml:space="preserve">στη </w:t>
      </w:r>
      <w:r w:rsidR="00123043">
        <w:rPr>
          <w:rFonts w:asciiTheme="minorHAnsi" w:eastAsia="Times New Roman" w:hAnsiTheme="minorHAnsi" w:cstheme="minorHAnsi"/>
          <w:b/>
          <w:bCs/>
        </w:rPr>
        <w:t>Εύβοια</w:t>
      </w:r>
      <w:r w:rsidR="00A80847" w:rsidRPr="006E5D38">
        <w:rPr>
          <w:rFonts w:asciiTheme="minorHAnsi" w:eastAsia="Times New Roman" w:hAnsiTheme="minorHAnsi" w:cstheme="minorHAnsi"/>
          <w:b/>
          <w:bCs/>
        </w:rPr>
        <w:t xml:space="preserve">. </w:t>
      </w:r>
      <w:r w:rsidR="0052003D">
        <w:rPr>
          <w:rFonts w:asciiTheme="minorHAnsi" w:eastAsia="Times New Roman" w:hAnsiTheme="minorHAnsi" w:cstheme="minorHAnsi"/>
          <w:b/>
          <w:bCs/>
        </w:rPr>
        <w:t>Σ</w:t>
      </w:r>
      <w:r w:rsidR="00A80847" w:rsidRPr="006E5D38">
        <w:rPr>
          <w:rFonts w:asciiTheme="minorHAnsi" w:eastAsia="Times New Roman" w:hAnsiTheme="minorHAnsi" w:cstheme="minorHAnsi"/>
          <w:b/>
          <w:bCs/>
        </w:rPr>
        <w:t xml:space="preserve">τον τομέα </w:t>
      </w:r>
      <w:r w:rsidR="0052003D">
        <w:rPr>
          <w:rFonts w:asciiTheme="minorHAnsi" w:eastAsia="Times New Roman" w:hAnsiTheme="minorHAnsi" w:cstheme="minorHAnsi"/>
          <w:b/>
          <w:bCs/>
        </w:rPr>
        <w:t xml:space="preserve">των </w:t>
      </w:r>
      <w:r w:rsidR="00A80847" w:rsidRPr="006E5D38">
        <w:rPr>
          <w:rFonts w:asciiTheme="minorHAnsi" w:eastAsia="Times New Roman" w:hAnsiTheme="minorHAnsi" w:cstheme="minorHAnsi"/>
          <w:b/>
          <w:bCs/>
        </w:rPr>
        <w:t>παραχωρήσεων και υποδομών</w:t>
      </w:r>
      <w:r w:rsidR="0057733F">
        <w:rPr>
          <w:rFonts w:asciiTheme="minorHAnsi" w:eastAsia="Times New Roman" w:hAnsiTheme="minorHAnsi" w:cstheme="minorHAnsi"/>
          <w:b/>
          <w:bCs/>
        </w:rPr>
        <w:t>,</w:t>
      </w:r>
      <w:r w:rsidR="00A80847" w:rsidRPr="006E5D38">
        <w:rPr>
          <w:rFonts w:asciiTheme="minorHAnsi" w:eastAsia="Times New Roman" w:hAnsiTheme="minorHAnsi" w:cstheme="minorHAnsi"/>
          <w:b/>
          <w:bCs/>
        </w:rPr>
        <w:t xml:space="preserve"> ο Όμιλος </w:t>
      </w:r>
      <w:r w:rsidR="0057733F">
        <w:rPr>
          <w:rFonts w:asciiTheme="minorHAnsi" w:eastAsia="Times New Roman" w:hAnsiTheme="minorHAnsi" w:cstheme="minorHAnsi"/>
          <w:b/>
          <w:bCs/>
        </w:rPr>
        <w:t>προχωρά με εντατικούς ρυθμούς</w:t>
      </w:r>
      <w:r w:rsidR="0052003D">
        <w:rPr>
          <w:rFonts w:asciiTheme="minorHAnsi" w:eastAsia="Times New Roman" w:hAnsiTheme="minorHAnsi" w:cstheme="minorHAnsi"/>
          <w:b/>
          <w:bCs/>
        </w:rPr>
        <w:t xml:space="preserve"> τ</w:t>
      </w:r>
      <w:r w:rsidR="00A80847" w:rsidRPr="006E5D38">
        <w:rPr>
          <w:rFonts w:asciiTheme="minorHAnsi" w:eastAsia="Times New Roman" w:hAnsiTheme="minorHAnsi" w:cstheme="minorHAnsi"/>
          <w:b/>
          <w:bCs/>
        </w:rPr>
        <w:t>η</w:t>
      </w:r>
      <w:r w:rsidR="0057733F">
        <w:rPr>
          <w:rFonts w:asciiTheme="minorHAnsi" w:eastAsia="Times New Roman" w:hAnsiTheme="minorHAnsi" w:cstheme="minorHAnsi"/>
          <w:b/>
          <w:bCs/>
        </w:rPr>
        <w:t>ν</w:t>
      </w:r>
      <w:r w:rsidR="00A80847" w:rsidRPr="006E5D38">
        <w:rPr>
          <w:rFonts w:asciiTheme="minorHAnsi" w:eastAsia="Times New Roman" w:hAnsiTheme="minorHAnsi" w:cstheme="minorHAnsi"/>
          <w:b/>
          <w:bCs/>
        </w:rPr>
        <w:t xml:space="preserve"> κατασκευή του νέου </w:t>
      </w:r>
      <w:r w:rsidR="0052003D">
        <w:rPr>
          <w:rFonts w:asciiTheme="minorHAnsi" w:eastAsia="Times New Roman" w:hAnsiTheme="minorHAnsi" w:cstheme="minorHAnsi"/>
          <w:b/>
          <w:bCs/>
        </w:rPr>
        <w:t>Διεθν</w:t>
      </w:r>
      <w:r w:rsidR="0057733F">
        <w:rPr>
          <w:rFonts w:asciiTheme="minorHAnsi" w:eastAsia="Times New Roman" w:hAnsiTheme="minorHAnsi" w:cstheme="minorHAnsi"/>
          <w:b/>
          <w:bCs/>
        </w:rPr>
        <w:t>ούς</w:t>
      </w:r>
      <w:r w:rsidR="0052003D">
        <w:rPr>
          <w:rFonts w:asciiTheme="minorHAnsi" w:eastAsia="Times New Roman" w:hAnsiTheme="minorHAnsi" w:cstheme="minorHAnsi"/>
          <w:b/>
          <w:bCs/>
        </w:rPr>
        <w:t xml:space="preserve"> Αερολιμένα Κρήτης </w:t>
      </w:r>
      <w:r w:rsidR="00A80847" w:rsidRPr="006E5D38">
        <w:rPr>
          <w:rFonts w:asciiTheme="minorHAnsi" w:eastAsia="Times New Roman" w:hAnsiTheme="minorHAnsi" w:cstheme="minorHAnsi"/>
          <w:b/>
          <w:bCs/>
        </w:rPr>
        <w:t xml:space="preserve">στο Καστέλι, </w:t>
      </w:r>
      <w:r w:rsidR="00343B7F">
        <w:rPr>
          <w:rFonts w:asciiTheme="minorHAnsi" w:eastAsia="Times New Roman" w:hAnsiTheme="minorHAnsi" w:cstheme="minorHAnsi"/>
          <w:b/>
          <w:bCs/>
        </w:rPr>
        <w:t xml:space="preserve">ενώ </w:t>
      </w:r>
      <w:r w:rsidR="00A80847" w:rsidRPr="006E5D38">
        <w:rPr>
          <w:rFonts w:asciiTheme="minorHAnsi" w:eastAsia="Times New Roman" w:hAnsiTheme="minorHAnsi" w:cstheme="minorHAnsi"/>
          <w:b/>
          <w:bCs/>
        </w:rPr>
        <w:t xml:space="preserve">πρόσφατα </w:t>
      </w:r>
      <w:r w:rsidR="00343B7F" w:rsidRPr="00343B7F">
        <w:rPr>
          <w:rFonts w:asciiTheme="minorHAnsi" w:eastAsia="Times New Roman" w:hAnsiTheme="minorHAnsi" w:cstheme="minorHAnsi"/>
          <w:b/>
          <w:bCs/>
        </w:rPr>
        <w:t xml:space="preserve">υπέγραψε τη σύμβαση </w:t>
      </w:r>
      <w:r w:rsidR="00890BF8">
        <w:rPr>
          <w:rFonts w:asciiTheme="minorHAnsi" w:eastAsia="Times New Roman" w:hAnsiTheme="minorHAnsi" w:cstheme="minorHAnsi"/>
          <w:b/>
          <w:bCs/>
        </w:rPr>
        <w:t xml:space="preserve">ως </w:t>
      </w:r>
      <w:r w:rsidR="00890BF8" w:rsidRPr="002D6A12">
        <w:rPr>
          <w:rFonts w:asciiTheme="minorHAnsi" w:eastAsia="Times New Roman" w:hAnsiTheme="minorHAnsi" w:cstheme="minorHAnsi"/>
          <w:b/>
          <w:bCs/>
        </w:rPr>
        <w:t xml:space="preserve">επικεφαλής της </w:t>
      </w:r>
      <w:r w:rsidR="007830FC" w:rsidRPr="002D6A12">
        <w:rPr>
          <w:rFonts w:asciiTheme="minorHAnsi" w:eastAsia="Times New Roman" w:hAnsiTheme="minorHAnsi" w:cstheme="minorHAnsi"/>
          <w:b/>
          <w:bCs/>
        </w:rPr>
        <w:t>κοινοπραξία</w:t>
      </w:r>
      <w:r w:rsidR="00890BF8" w:rsidRPr="002D6A12">
        <w:rPr>
          <w:rFonts w:asciiTheme="minorHAnsi" w:eastAsia="Times New Roman" w:hAnsiTheme="minorHAnsi" w:cstheme="minorHAnsi"/>
          <w:b/>
          <w:bCs/>
        </w:rPr>
        <w:t>ς</w:t>
      </w:r>
      <w:r w:rsidR="007830FC" w:rsidRPr="002D6A12">
        <w:rPr>
          <w:rFonts w:asciiTheme="minorHAnsi" w:eastAsia="Times New Roman" w:hAnsiTheme="minorHAnsi" w:cstheme="minorHAnsi"/>
          <w:b/>
          <w:bCs/>
        </w:rPr>
        <w:t xml:space="preserve"> </w:t>
      </w:r>
      <w:r w:rsidR="00343B7F" w:rsidRPr="002D6A12">
        <w:rPr>
          <w:rFonts w:asciiTheme="minorHAnsi" w:eastAsia="Times New Roman" w:hAnsiTheme="minorHAnsi" w:cstheme="minorHAnsi"/>
          <w:b/>
          <w:bCs/>
        </w:rPr>
        <w:t xml:space="preserve">για το έργο </w:t>
      </w:r>
      <w:r w:rsidR="0057733F" w:rsidRPr="002D6A12">
        <w:rPr>
          <w:rFonts w:asciiTheme="minorHAnsi" w:eastAsia="Times New Roman" w:hAnsiTheme="minorHAnsi" w:cstheme="minorHAnsi"/>
          <w:b/>
          <w:bCs/>
        </w:rPr>
        <w:t xml:space="preserve">ΣΔΙΤ </w:t>
      </w:r>
      <w:r w:rsidR="003102EF" w:rsidRPr="002D6A12">
        <w:rPr>
          <w:rFonts w:asciiTheme="minorHAnsi" w:eastAsia="Times New Roman" w:hAnsiTheme="minorHAnsi" w:cstheme="minorHAnsi"/>
          <w:b/>
          <w:bCs/>
        </w:rPr>
        <w:t xml:space="preserve">του τμήματος Χερσόνησος – Νεάπολη του </w:t>
      </w:r>
      <w:r w:rsidR="0057733F" w:rsidRPr="002D6A12">
        <w:rPr>
          <w:rFonts w:asciiTheme="minorHAnsi" w:eastAsia="Times New Roman" w:hAnsiTheme="minorHAnsi" w:cstheme="minorHAnsi"/>
          <w:b/>
          <w:bCs/>
        </w:rPr>
        <w:t>Βόρειου Οδικού Άξονα Κρήτης (</w:t>
      </w:r>
      <w:r w:rsidR="00343B7F" w:rsidRPr="002D6A12">
        <w:rPr>
          <w:rFonts w:asciiTheme="minorHAnsi" w:eastAsia="Times New Roman" w:hAnsiTheme="minorHAnsi" w:cstheme="minorHAnsi"/>
          <w:b/>
          <w:bCs/>
        </w:rPr>
        <w:t>ΒΟΑΚ</w:t>
      </w:r>
      <w:r w:rsidR="0057733F" w:rsidRPr="002D6A12">
        <w:rPr>
          <w:rFonts w:asciiTheme="minorHAnsi" w:eastAsia="Times New Roman" w:hAnsiTheme="minorHAnsi" w:cstheme="minorHAnsi"/>
          <w:b/>
          <w:bCs/>
        </w:rPr>
        <w:t>)</w:t>
      </w:r>
      <w:r w:rsidR="00E932B0" w:rsidRPr="002D6A12">
        <w:rPr>
          <w:rFonts w:asciiTheme="minorHAnsi" w:eastAsia="Times New Roman" w:hAnsiTheme="minorHAnsi" w:cstheme="minorHAnsi"/>
          <w:b/>
          <w:bCs/>
        </w:rPr>
        <w:t>.</w:t>
      </w:r>
      <w:r w:rsidR="00A80847" w:rsidRPr="002D6A12">
        <w:rPr>
          <w:rFonts w:asciiTheme="minorHAnsi" w:eastAsia="Times New Roman" w:hAnsiTheme="minorHAnsi" w:cstheme="minorHAnsi"/>
          <w:b/>
          <w:bCs/>
        </w:rPr>
        <w:t xml:space="preserve"> </w:t>
      </w:r>
      <w:r w:rsidR="00E932B0" w:rsidRPr="002D6A12">
        <w:rPr>
          <w:rFonts w:asciiTheme="minorHAnsi" w:eastAsia="Times New Roman" w:hAnsiTheme="minorHAnsi" w:cstheme="minorHAnsi"/>
          <w:b/>
          <w:bCs/>
        </w:rPr>
        <w:t>Τέλος</w:t>
      </w:r>
      <w:r w:rsidR="0057733F" w:rsidRPr="002D6A12">
        <w:rPr>
          <w:rFonts w:asciiTheme="minorHAnsi" w:eastAsia="Times New Roman" w:hAnsiTheme="minorHAnsi" w:cstheme="minorHAnsi"/>
          <w:b/>
          <w:bCs/>
        </w:rPr>
        <w:t>,</w:t>
      </w:r>
      <w:r w:rsidR="00E932B0" w:rsidRPr="002D6A12">
        <w:rPr>
          <w:rFonts w:asciiTheme="minorHAnsi" w:eastAsia="Times New Roman" w:hAnsiTheme="minorHAnsi" w:cstheme="minorHAnsi"/>
          <w:b/>
          <w:bCs/>
        </w:rPr>
        <w:t xml:space="preserve"> </w:t>
      </w:r>
      <w:r w:rsidR="0082473B" w:rsidRPr="002D6A12">
        <w:rPr>
          <w:rFonts w:asciiTheme="minorHAnsi" w:eastAsia="Times New Roman" w:hAnsiTheme="minorHAnsi" w:cstheme="minorHAnsi"/>
          <w:b/>
          <w:bCs/>
        </w:rPr>
        <w:t xml:space="preserve">το </w:t>
      </w:r>
      <w:r w:rsidR="00A80847" w:rsidRPr="002D6A12">
        <w:rPr>
          <w:rFonts w:asciiTheme="minorHAnsi" w:eastAsia="Times New Roman" w:hAnsiTheme="minorHAnsi" w:cstheme="minorHAnsi"/>
          <w:b/>
          <w:bCs/>
        </w:rPr>
        <w:t xml:space="preserve">έργο του IRC </w:t>
      </w:r>
      <w:r w:rsidR="00F1497A" w:rsidRPr="002D6A12">
        <w:rPr>
          <w:rFonts w:asciiTheme="minorHAnsi" w:eastAsia="Times New Roman" w:hAnsiTheme="minorHAnsi" w:cstheme="minorHAnsi"/>
          <w:b/>
          <w:bCs/>
        </w:rPr>
        <w:t>στο</w:t>
      </w:r>
      <w:r w:rsidR="00A80847" w:rsidRPr="002D6A12">
        <w:rPr>
          <w:rFonts w:asciiTheme="minorHAnsi" w:eastAsia="Times New Roman" w:hAnsiTheme="minorHAnsi" w:cstheme="minorHAnsi"/>
          <w:b/>
          <w:bCs/>
        </w:rPr>
        <w:t xml:space="preserve"> Ελληνικ</w:t>
      </w:r>
      <w:r w:rsidR="00F1497A" w:rsidRPr="002D6A12">
        <w:rPr>
          <w:rFonts w:asciiTheme="minorHAnsi" w:eastAsia="Times New Roman" w:hAnsiTheme="minorHAnsi" w:cstheme="minorHAnsi"/>
          <w:b/>
          <w:bCs/>
        </w:rPr>
        <w:t>ό</w:t>
      </w:r>
      <w:r w:rsidR="0082473B" w:rsidRPr="002D6A12">
        <w:rPr>
          <w:rFonts w:asciiTheme="minorHAnsi" w:eastAsia="Times New Roman" w:hAnsiTheme="minorHAnsi" w:cstheme="minorHAnsi"/>
          <w:b/>
          <w:bCs/>
        </w:rPr>
        <w:t xml:space="preserve"> βρίσκεται σε πλήρη ανάπτυξη με τις </w:t>
      </w:r>
      <w:r w:rsidR="00F105EB" w:rsidRPr="002D6A12">
        <w:rPr>
          <w:rFonts w:asciiTheme="minorHAnsi" w:eastAsia="Times New Roman" w:hAnsiTheme="minorHAnsi" w:cstheme="minorHAnsi"/>
          <w:b/>
          <w:bCs/>
        </w:rPr>
        <w:t xml:space="preserve">κύριες </w:t>
      </w:r>
      <w:r w:rsidR="0082473B" w:rsidRPr="002D6A12">
        <w:rPr>
          <w:rFonts w:asciiTheme="minorHAnsi" w:eastAsia="Times New Roman" w:hAnsiTheme="minorHAnsi" w:cstheme="minorHAnsi"/>
          <w:b/>
          <w:bCs/>
        </w:rPr>
        <w:t>κατασκευαστικές εργασίες να αναμένονται να ξεκινήσουν εντός του 20</w:t>
      </w:r>
      <w:r w:rsidR="007830FC" w:rsidRPr="002D6A12">
        <w:rPr>
          <w:rFonts w:asciiTheme="minorHAnsi" w:eastAsia="Times New Roman" w:hAnsiTheme="minorHAnsi" w:cstheme="minorHAnsi"/>
          <w:b/>
          <w:bCs/>
        </w:rPr>
        <w:t>2</w:t>
      </w:r>
      <w:r w:rsidR="0082473B" w:rsidRPr="002D6A12">
        <w:rPr>
          <w:rFonts w:asciiTheme="minorHAnsi" w:eastAsia="Times New Roman" w:hAnsiTheme="minorHAnsi" w:cstheme="minorHAnsi"/>
          <w:b/>
          <w:bCs/>
        </w:rPr>
        <w:t>3</w:t>
      </w:r>
      <w:r w:rsidR="00E932B0" w:rsidRPr="002D6A12">
        <w:rPr>
          <w:rFonts w:asciiTheme="minorHAnsi" w:eastAsia="Times New Roman" w:hAnsiTheme="minorHAnsi" w:cstheme="minorHAnsi"/>
          <w:b/>
          <w:bCs/>
        </w:rPr>
        <w:t xml:space="preserve">, ενώ </w:t>
      </w:r>
      <w:r w:rsidR="00DF54BC" w:rsidRPr="002D6A12">
        <w:rPr>
          <w:rFonts w:asciiTheme="minorHAnsi" w:eastAsia="Times New Roman" w:hAnsiTheme="minorHAnsi" w:cstheme="minorHAnsi"/>
          <w:b/>
          <w:bCs/>
        </w:rPr>
        <w:t>προχωρούν οι διαδικασίες για την υπογραφή</w:t>
      </w:r>
      <w:r w:rsidR="00DF54BC">
        <w:rPr>
          <w:rFonts w:asciiTheme="minorHAnsi" w:eastAsia="Times New Roman" w:hAnsiTheme="minorHAnsi" w:cstheme="minorHAnsi"/>
          <w:b/>
          <w:bCs/>
        </w:rPr>
        <w:t xml:space="preserve"> της σύμβασης παραχώρησης </w:t>
      </w:r>
      <w:r w:rsidR="00E932B0">
        <w:rPr>
          <w:rFonts w:asciiTheme="minorHAnsi" w:eastAsia="Times New Roman" w:hAnsiTheme="minorHAnsi" w:cstheme="minorHAnsi"/>
          <w:b/>
          <w:bCs/>
        </w:rPr>
        <w:t xml:space="preserve">της </w:t>
      </w:r>
      <w:r w:rsidR="00E932B0" w:rsidRPr="006E5D38">
        <w:rPr>
          <w:rFonts w:asciiTheme="minorHAnsi" w:eastAsia="Times New Roman" w:hAnsiTheme="minorHAnsi" w:cstheme="minorHAnsi"/>
          <w:b/>
          <w:bCs/>
        </w:rPr>
        <w:t>Εγνατίας Οδού</w:t>
      </w:r>
      <w:r w:rsidR="00DF54BC">
        <w:rPr>
          <w:rFonts w:asciiTheme="minorHAnsi" w:eastAsia="Times New Roman" w:hAnsiTheme="minorHAnsi" w:cstheme="minorHAnsi"/>
          <w:b/>
          <w:bCs/>
        </w:rPr>
        <w:t>, του μεγαλύτερου αυτοκινητοδρόμου της Ελλάδας</w:t>
      </w:r>
      <w:r w:rsidR="00F1497A" w:rsidRPr="006E5D38">
        <w:rPr>
          <w:rFonts w:asciiTheme="minorHAnsi" w:eastAsia="Times New Roman" w:hAnsiTheme="minorHAnsi" w:cstheme="minorHAnsi"/>
          <w:b/>
          <w:bCs/>
        </w:rPr>
        <w:t xml:space="preserve">. </w:t>
      </w:r>
      <w:r w:rsidR="006E2978" w:rsidRPr="006E5D38">
        <w:rPr>
          <w:rFonts w:asciiTheme="minorHAnsi" w:eastAsia="Times New Roman" w:hAnsiTheme="minorHAnsi" w:cstheme="minorHAnsi"/>
          <w:b/>
          <w:bCs/>
        </w:rPr>
        <w:t>Παράλληλα</w:t>
      </w:r>
      <w:r w:rsidR="00DF54BC">
        <w:rPr>
          <w:rFonts w:asciiTheme="minorHAnsi" w:eastAsia="Times New Roman" w:hAnsiTheme="minorHAnsi" w:cstheme="minorHAnsi"/>
          <w:b/>
          <w:bCs/>
        </w:rPr>
        <w:t>,</w:t>
      </w:r>
      <w:r w:rsidR="006E2978" w:rsidRPr="006E5D38">
        <w:rPr>
          <w:rFonts w:asciiTheme="minorHAnsi" w:eastAsia="Times New Roman" w:hAnsiTheme="minorHAnsi" w:cstheme="minorHAnsi"/>
          <w:b/>
          <w:bCs/>
        </w:rPr>
        <w:t xml:space="preserve"> </w:t>
      </w:r>
      <w:r w:rsidR="00DF54BC">
        <w:rPr>
          <w:rFonts w:asciiTheme="minorHAnsi" w:eastAsia="Times New Roman" w:hAnsiTheme="minorHAnsi" w:cstheme="minorHAnsi"/>
          <w:b/>
          <w:bCs/>
        </w:rPr>
        <w:t xml:space="preserve">ο Όμιλος </w:t>
      </w:r>
      <w:r w:rsidR="006E2978" w:rsidRPr="006E5D38">
        <w:rPr>
          <w:rFonts w:asciiTheme="minorHAnsi" w:eastAsia="Times New Roman" w:hAnsiTheme="minorHAnsi" w:cstheme="minorHAnsi"/>
          <w:b/>
          <w:bCs/>
        </w:rPr>
        <w:t>συμμετέχει σε πλήθος άλλων διαγωνισμών εμβληματικών έργων παραχώρησης</w:t>
      </w:r>
      <w:r w:rsidR="00BA3FA7">
        <w:rPr>
          <w:rFonts w:asciiTheme="minorHAnsi" w:eastAsia="Times New Roman" w:hAnsiTheme="minorHAnsi" w:cstheme="minorHAnsi"/>
          <w:b/>
          <w:bCs/>
        </w:rPr>
        <w:t>,</w:t>
      </w:r>
      <w:r w:rsidR="006E2978" w:rsidRPr="006E5D38">
        <w:rPr>
          <w:rFonts w:asciiTheme="minorHAnsi" w:eastAsia="Times New Roman" w:hAnsiTheme="minorHAnsi" w:cstheme="minorHAnsi"/>
          <w:b/>
          <w:bCs/>
        </w:rPr>
        <w:t xml:space="preserve"> όπως η Αττική Οδός, το </w:t>
      </w:r>
      <w:r w:rsidR="00E932B0">
        <w:rPr>
          <w:rFonts w:asciiTheme="minorHAnsi" w:eastAsia="Times New Roman" w:hAnsiTheme="minorHAnsi" w:cstheme="minorHAnsi"/>
          <w:b/>
          <w:bCs/>
        </w:rPr>
        <w:t xml:space="preserve">έργο παραχώρησης </w:t>
      </w:r>
      <w:r w:rsidR="00E932B0" w:rsidRPr="006E5D38">
        <w:rPr>
          <w:rFonts w:asciiTheme="minorHAnsi" w:eastAsia="Times New Roman" w:hAnsiTheme="minorHAnsi" w:cstheme="minorHAnsi"/>
          <w:b/>
          <w:bCs/>
        </w:rPr>
        <w:t xml:space="preserve">του ΒΟΑΚ </w:t>
      </w:r>
      <w:r w:rsidR="00E932B0">
        <w:rPr>
          <w:rFonts w:asciiTheme="minorHAnsi" w:eastAsia="Times New Roman" w:hAnsiTheme="minorHAnsi" w:cstheme="minorHAnsi"/>
          <w:b/>
          <w:bCs/>
        </w:rPr>
        <w:t xml:space="preserve">για το </w:t>
      </w:r>
      <w:r w:rsidR="006E2978" w:rsidRPr="006E5D38">
        <w:rPr>
          <w:rFonts w:asciiTheme="minorHAnsi" w:eastAsia="Times New Roman" w:hAnsiTheme="minorHAnsi" w:cstheme="minorHAnsi"/>
          <w:b/>
          <w:bCs/>
        </w:rPr>
        <w:t xml:space="preserve">τμήμα Χανιά-Ηράκλειο, </w:t>
      </w:r>
      <w:r w:rsidR="006E2978" w:rsidRPr="006E5D38">
        <w:rPr>
          <w:rFonts w:asciiTheme="minorHAnsi" w:hAnsiTheme="minorHAnsi" w:cstheme="minorHAnsi"/>
          <w:b/>
          <w:bCs/>
          <w:color w:val="000000"/>
        </w:rPr>
        <w:t>η Υποθαλάσσια Ζεύξη Σαλαμίνας - Περάματος, ο αερολιμένας Καλαμάτας, καθώς και διαφόρων Συμπράξεων Δημοσίου και Ιδιωτικού Τομέα (ΣΔΙΤ) έργων υποδομής και κτιριακών έργων ανά την Ελλάδα. Η ωρίμανση των</w:t>
      </w:r>
      <w:r w:rsidR="006E2978" w:rsidRPr="006E5D38">
        <w:rPr>
          <w:rFonts w:asciiTheme="minorHAnsi" w:eastAsia="Times New Roman" w:hAnsiTheme="minorHAnsi" w:cstheme="minorHAnsi"/>
          <w:b/>
          <w:bCs/>
        </w:rPr>
        <w:t xml:space="preserve"> ανωτέρω επενδύσεων αναμένεται να ενισχύσει </w:t>
      </w:r>
      <w:r w:rsidR="00E932B0">
        <w:rPr>
          <w:rFonts w:asciiTheme="minorHAnsi" w:eastAsia="Times New Roman" w:hAnsiTheme="minorHAnsi" w:cstheme="minorHAnsi"/>
          <w:b/>
          <w:bCs/>
        </w:rPr>
        <w:t>περαιτέρω</w:t>
      </w:r>
      <w:r w:rsidR="00E932B0" w:rsidRPr="006E5D38">
        <w:rPr>
          <w:rFonts w:asciiTheme="minorHAnsi" w:eastAsia="Times New Roman" w:hAnsiTheme="minorHAnsi" w:cstheme="minorHAnsi"/>
          <w:b/>
          <w:bCs/>
        </w:rPr>
        <w:t xml:space="preserve"> </w:t>
      </w:r>
      <w:r w:rsidR="006E2978" w:rsidRPr="006E5D38">
        <w:rPr>
          <w:rFonts w:asciiTheme="minorHAnsi" w:eastAsia="Times New Roman" w:hAnsiTheme="minorHAnsi" w:cstheme="minorHAnsi"/>
          <w:b/>
          <w:bCs/>
        </w:rPr>
        <w:t>την δυνατότητα του Ομίλου να παράγει σταθερά και επαναλαμβανόμενα έσοδα σε βάθος χρόνου.</w:t>
      </w:r>
    </w:p>
    <w:p w14:paraId="2845F02D" w14:textId="1022592B" w:rsidR="00395D93" w:rsidRPr="006E5D38" w:rsidRDefault="006152ED" w:rsidP="00AB5A93">
      <w:pPr>
        <w:spacing w:before="240" w:after="120"/>
        <w:jc w:val="both"/>
        <w:rPr>
          <w:rFonts w:asciiTheme="minorHAnsi" w:eastAsia="Times New Roman" w:hAnsiTheme="minorHAnsi" w:cstheme="minorHAnsi"/>
          <w:b/>
          <w:bCs/>
          <w:bdr w:val="nil"/>
        </w:rPr>
      </w:pPr>
      <w:r w:rsidRPr="006E5D38">
        <w:rPr>
          <w:rFonts w:asciiTheme="minorHAnsi" w:eastAsia="Times New Roman" w:hAnsiTheme="minorHAnsi" w:cstheme="minorHAnsi"/>
          <w:b/>
          <w:bCs/>
          <w:bdr w:val="nil"/>
        </w:rPr>
        <w:t>Λαμβάνοντας υπόψ</w:t>
      </w:r>
      <w:r w:rsidR="00DF54BC">
        <w:rPr>
          <w:rFonts w:asciiTheme="minorHAnsi" w:eastAsia="Times New Roman" w:hAnsiTheme="minorHAnsi" w:cstheme="minorHAnsi"/>
          <w:b/>
          <w:bCs/>
          <w:bdr w:val="nil"/>
        </w:rPr>
        <w:t>η</w:t>
      </w:r>
      <w:r w:rsidRPr="006E5D38">
        <w:rPr>
          <w:rFonts w:asciiTheme="minorHAnsi" w:eastAsia="Times New Roman" w:hAnsiTheme="minorHAnsi" w:cstheme="minorHAnsi"/>
          <w:b/>
          <w:bCs/>
          <w:bdr w:val="nil"/>
        </w:rPr>
        <w:t xml:space="preserve"> τα ανωτέρω, οι προοπτικές του Ομίλου ΓΕΚ ΤΕΡΝΑ για το έτος 2023</w:t>
      </w:r>
      <w:r w:rsidR="00DF54BC">
        <w:rPr>
          <w:rFonts w:asciiTheme="minorHAnsi" w:eastAsia="Times New Roman" w:hAnsiTheme="minorHAnsi" w:cstheme="minorHAnsi"/>
          <w:b/>
          <w:bCs/>
          <w:bdr w:val="nil"/>
        </w:rPr>
        <w:t>,</w:t>
      </w:r>
      <w:r w:rsidRPr="006E5D38">
        <w:rPr>
          <w:rFonts w:asciiTheme="minorHAnsi" w:eastAsia="Times New Roman" w:hAnsiTheme="minorHAnsi" w:cstheme="minorHAnsi"/>
          <w:b/>
          <w:bCs/>
          <w:bdr w:val="nil"/>
        </w:rPr>
        <w:t xml:space="preserve"> αλλά και για τα επόμενα χρόνια </w:t>
      </w:r>
      <w:r w:rsidR="00890BF8">
        <w:rPr>
          <w:rFonts w:asciiTheme="minorHAnsi" w:eastAsia="Times New Roman" w:hAnsiTheme="minorHAnsi" w:cstheme="minorHAnsi"/>
          <w:b/>
          <w:bCs/>
          <w:bdr w:val="nil"/>
        </w:rPr>
        <w:t>προ</w:t>
      </w:r>
      <w:r w:rsidRPr="006E5D38">
        <w:rPr>
          <w:rFonts w:asciiTheme="minorHAnsi" w:eastAsia="Times New Roman" w:hAnsiTheme="minorHAnsi" w:cstheme="minorHAnsi"/>
          <w:b/>
          <w:bCs/>
          <w:bdr w:val="nil"/>
        </w:rPr>
        <w:t>διαγράφονται θετικές, παρά τη δύσκολη περίοδο που διανύει η παγκόσμια οικονομία.</w:t>
      </w:r>
    </w:p>
    <w:p w14:paraId="46D03560" w14:textId="45F66CBD" w:rsidR="00150F29" w:rsidRPr="00F22A35" w:rsidRDefault="00F40E72" w:rsidP="00AB5A93">
      <w:pPr>
        <w:spacing w:before="240" w:after="120"/>
        <w:rPr>
          <w:rFonts w:asciiTheme="minorHAnsi" w:hAnsiTheme="minorHAnsi" w:cstheme="minorHAnsi"/>
          <w:b/>
          <w:bCs/>
        </w:rPr>
      </w:pPr>
      <w:r w:rsidRPr="00F22A35">
        <w:rPr>
          <w:rFonts w:asciiTheme="minorHAnsi" w:eastAsia="Times New Roman" w:hAnsiTheme="minorHAnsi" w:cstheme="minorHAnsi"/>
          <w:b/>
          <w:bCs/>
        </w:rPr>
        <w:t>Βασικά χρηματοοικονομικά μεγέθη</w:t>
      </w:r>
    </w:p>
    <w:tbl>
      <w:tblPr>
        <w:tblW w:w="9648" w:type="dxa"/>
        <w:tblLook w:val="04A0" w:firstRow="1" w:lastRow="0" w:firstColumn="1" w:lastColumn="0" w:noHBand="0" w:noVBand="1"/>
      </w:tblPr>
      <w:tblGrid>
        <w:gridCol w:w="5668"/>
        <w:gridCol w:w="1990"/>
        <w:gridCol w:w="1990"/>
      </w:tblGrid>
      <w:tr w:rsidR="00E93504" w:rsidRPr="00F22A35" w14:paraId="3D1F90D9" w14:textId="3B815A78" w:rsidTr="00AE31D2">
        <w:trPr>
          <w:trHeight w:val="346"/>
        </w:trPr>
        <w:tc>
          <w:tcPr>
            <w:tcW w:w="5668" w:type="dxa"/>
            <w:tcBorders>
              <w:top w:val="single" w:sz="4" w:space="0" w:color="00B0F0"/>
              <w:left w:val="nil"/>
              <w:bottom w:val="single" w:sz="4" w:space="0" w:color="00B0F0"/>
              <w:right w:val="nil"/>
            </w:tcBorders>
            <w:shd w:val="clear" w:color="auto" w:fill="auto"/>
            <w:noWrap/>
            <w:vAlign w:val="center"/>
            <w:hideMark/>
          </w:tcPr>
          <w:p w14:paraId="09CBF5D3" w14:textId="0839DF82" w:rsidR="00AE31D2" w:rsidRPr="00F22A35" w:rsidRDefault="00AE31D2" w:rsidP="00AB5A93">
            <w:pPr>
              <w:spacing w:after="0"/>
              <w:rPr>
                <w:rFonts w:asciiTheme="minorHAnsi" w:eastAsia="Times New Roman" w:hAnsiTheme="minorHAnsi" w:cstheme="minorHAnsi"/>
                <w:b/>
                <w:bCs/>
                <w:lang w:val="en-US"/>
              </w:rPr>
            </w:pPr>
            <w:r w:rsidRPr="00F22A35">
              <w:rPr>
                <w:rFonts w:asciiTheme="minorHAnsi" w:eastAsia="Times New Roman" w:hAnsiTheme="minorHAnsi" w:cstheme="minorHAnsi"/>
                <w:b/>
                <w:bCs/>
              </w:rPr>
              <w:t xml:space="preserve">Εκατ. </w:t>
            </w:r>
            <w:r w:rsidRPr="00F22A35">
              <w:rPr>
                <w:rFonts w:asciiTheme="minorHAnsi" w:eastAsia="Times New Roman" w:hAnsiTheme="minorHAnsi" w:cstheme="minorHAnsi"/>
                <w:b/>
                <w:bCs/>
                <w:lang w:val="en-US"/>
              </w:rPr>
              <w:t>€</w:t>
            </w:r>
          </w:p>
        </w:tc>
        <w:tc>
          <w:tcPr>
            <w:tcW w:w="1990" w:type="dxa"/>
            <w:tcBorders>
              <w:top w:val="single" w:sz="4" w:space="0" w:color="00B0F0"/>
              <w:left w:val="nil"/>
              <w:bottom w:val="single" w:sz="4" w:space="0" w:color="00B0F0"/>
              <w:right w:val="nil"/>
            </w:tcBorders>
            <w:shd w:val="clear" w:color="auto" w:fill="auto"/>
            <w:noWrap/>
            <w:vAlign w:val="center"/>
            <w:hideMark/>
          </w:tcPr>
          <w:p w14:paraId="1C762085" w14:textId="558C3D64" w:rsidR="00AE31D2" w:rsidRPr="00F22A35" w:rsidRDefault="00AE31D2" w:rsidP="00AB5A93">
            <w:pPr>
              <w:spacing w:after="0"/>
              <w:jc w:val="center"/>
              <w:rPr>
                <w:rFonts w:asciiTheme="minorHAnsi" w:eastAsia="Times New Roman" w:hAnsiTheme="minorHAnsi" w:cstheme="minorHAnsi"/>
                <w:b/>
                <w:bCs/>
                <w:lang w:val="en-US"/>
              </w:rPr>
            </w:pPr>
            <w:r w:rsidRPr="00F22A35">
              <w:rPr>
                <w:rFonts w:asciiTheme="minorHAnsi" w:eastAsia="Times New Roman" w:hAnsiTheme="minorHAnsi" w:cstheme="minorHAnsi"/>
                <w:b/>
                <w:bCs/>
                <w:lang w:val="en-US"/>
              </w:rPr>
              <w:t>2022</w:t>
            </w:r>
          </w:p>
        </w:tc>
        <w:tc>
          <w:tcPr>
            <w:tcW w:w="1990" w:type="dxa"/>
            <w:tcBorders>
              <w:top w:val="single" w:sz="4" w:space="0" w:color="00B0F0"/>
              <w:left w:val="nil"/>
              <w:bottom w:val="single" w:sz="4" w:space="0" w:color="00B0F0"/>
              <w:right w:val="nil"/>
            </w:tcBorders>
            <w:vAlign w:val="center"/>
          </w:tcPr>
          <w:p w14:paraId="566BED2C" w14:textId="652C5A31" w:rsidR="00AE31D2" w:rsidRPr="00F22A35" w:rsidRDefault="00AE31D2" w:rsidP="00AB5A93">
            <w:pPr>
              <w:spacing w:after="0"/>
              <w:jc w:val="center"/>
              <w:rPr>
                <w:rFonts w:asciiTheme="minorHAnsi" w:eastAsia="Times New Roman" w:hAnsiTheme="minorHAnsi" w:cstheme="minorHAnsi"/>
                <w:b/>
                <w:bCs/>
                <w:lang w:val="en-US"/>
              </w:rPr>
            </w:pPr>
            <w:r w:rsidRPr="00F22A35">
              <w:rPr>
                <w:rFonts w:asciiTheme="minorHAnsi" w:eastAsia="Times New Roman" w:hAnsiTheme="minorHAnsi" w:cstheme="minorHAnsi"/>
                <w:lang w:val="en-US"/>
              </w:rPr>
              <w:t>2021</w:t>
            </w:r>
          </w:p>
        </w:tc>
      </w:tr>
      <w:tr w:rsidR="00AB5A93" w:rsidRPr="00F22A35" w14:paraId="620EA426" w14:textId="6A5D3082" w:rsidTr="00551301">
        <w:trPr>
          <w:trHeight w:val="346"/>
        </w:trPr>
        <w:tc>
          <w:tcPr>
            <w:tcW w:w="5668" w:type="dxa"/>
            <w:tcBorders>
              <w:top w:val="single" w:sz="4" w:space="0" w:color="00B0F0"/>
              <w:left w:val="nil"/>
              <w:bottom w:val="nil"/>
              <w:right w:val="nil"/>
            </w:tcBorders>
            <w:shd w:val="clear" w:color="auto" w:fill="auto"/>
            <w:noWrap/>
            <w:vAlign w:val="center"/>
            <w:hideMark/>
          </w:tcPr>
          <w:p w14:paraId="7F04B02B" w14:textId="77150D87" w:rsidR="00AB5A93" w:rsidRPr="00F22A35" w:rsidRDefault="00AB5A93" w:rsidP="00AB5A93">
            <w:pPr>
              <w:spacing w:after="0"/>
              <w:rPr>
                <w:rFonts w:asciiTheme="minorHAnsi" w:eastAsia="Times New Roman" w:hAnsiTheme="minorHAnsi" w:cstheme="minorHAnsi"/>
              </w:rPr>
            </w:pPr>
            <w:r w:rsidRPr="00F22A35">
              <w:rPr>
                <w:rFonts w:asciiTheme="minorHAnsi" w:eastAsia="Times New Roman" w:hAnsiTheme="minorHAnsi" w:cstheme="minorHAnsi"/>
              </w:rPr>
              <w:t>Συνολικά έσοδα</w:t>
            </w:r>
          </w:p>
        </w:tc>
        <w:tc>
          <w:tcPr>
            <w:tcW w:w="1990" w:type="dxa"/>
            <w:tcBorders>
              <w:top w:val="single" w:sz="4" w:space="0" w:color="00B0F0"/>
              <w:left w:val="nil"/>
              <w:bottom w:val="nil"/>
              <w:right w:val="nil"/>
            </w:tcBorders>
            <w:shd w:val="clear" w:color="auto" w:fill="auto"/>
            <w:noWrap/>
            <w:vAlign w:val="bottom"/>
            <w:hideMark/>
          </w:tcPr>
          <w:p w14:paraId="514AF3E2" w14:textId="19138346" w:rsidR="00AB5A93" w:rsidRPr="00F22A35" w:rsidRDefault="00AB5A93" w:rsidP="00AB5A93">
            <w:pPr>
              <w:spacing w:after="0"/>
              <w:jc w:val="center"/>
              <w:rPr>
                <w:rFonts w:asciiTheme="minorHAnsi" w:eastAsia="Times New Roman" w:hAnsiTheme="minorHAnsi" w:cstheme="minorHAnsi"/>
                <w:b/>
                <w:bCs/>
                <w:highlight w:val="yellow"/>
              </w:rPr>
            </w:pPr>
            <w:r w:rsidRPr="00F22A35">
              <w:rPr>
                <w:rFonts w:cs="Calibri"/>
                <w:b/>
                <w:bCs/>
                <w:color w:val="000000"/>
              </w:rPr>
              <w:t>3</w:t>
            </w:r>
            <w:r w:rsidR="00DF54BC">
              <w:rPr>
                <w:rFonts w:cs="Calibri"/>
                <w:b/>
                <w:bCs/>
                <w:color w:val="000000"/>
              </w:rPr>
              <w:t>.</w:t>
            </w:r>
            <w:r w:rsidRPr="00F22A35">
              <w:rPr>
                <w:rFonts w:cs="Calibri"/>
                <w:b/>
                <w:bCs/>
                <w:color w:val="000000"/>
              </w:rPr>
              <w:t>938</w:t>
            </w:r>
            <w:r w:rsidR="00DF54BC">
              <w:rPr>
                <w:rFonts w:cs="Calibri"/>
                <w:b/>
                <w:bCs/>
                <w:color w:val="000000"/>
              </w:rPr>
              <w:t>,</w:t>
            </w:r>
            <w:r w:rsidRPr="00F22A35">
              <w:rPr>
                <w:rFonts w:cs="Calibri"/>
                <w:b/>
                <w:bCs/>
                <w:color w:val="000000"/>
              </w:rPr>
              <w:t>3</w:t>
            </w:r>
          </w:p>
        </w:tc>
        <w:tc>
          <w:tcPr>
            <w:tcW w:w="1990" w:type="dxa"/>
            <w:tcBorders>
              <w:top w:val="single" w:sz="4" w:space="0" w:color="00B0F0"/>
              <w:left w:val="nil"/>
              <w:bottom w:val="nil"/>
              <w:right w:val="nil"/>
            </w:tcBorders>
            <w:vAlign w:val="bottom"/>
          </w:tcPr>
          <w:p w14:paraId="402CF7E6" w14:textId="3B264589"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color w:val="000000"/>
              </w:rPr>
              <w:t>1</w:t>
            </w:r>
            <w:r w:rsidR="00DF54BC">
              <w:rPr>
                <w:rFonts w:cs="Calibri"/>
                <w:color w:val="000000"/>
              </w:rPr>
              <w:t>.</w:t>
            </w:r>
            <w:r w:rsidRPr="00F22A35">
              <w:rPr>
                <w:rFonts w:cs="Calibri"/>
                <w:color w:val="000000"/>
              </w:rPr>
              <w:t>144</w:t>
            </w:r>
            <w:r w:rsidR="00DF54BC">
              <w:rPr>
                <w:rFonts w:cs="Calibri"/>
                <w:color w:val="000000"/>
              </w:rPr>
              <w:t>,</w:t>
            </w:r>
            <w:r w:rsidRPr="00F22A35">
              <w:rPr>
                <w:rFonts w:cs="Calibri"/>
                <w:color w:val="000000"/>
              </w:rPr>
              <w:t>2</w:t>
            </w:r>
          </w:p>
        </w:tc>
      </w:tr>
      <w:tr w:rsidR="00AB5A93" w:rsidRPr="00F22A35" w14:paraId="27E1D22C" w14:textId="5AD40BF9" w:rsidTr="00551301">
        <w:trPr>
          <w:trHeight w:val="346"/>
        </w:trPr>
        <w:tc>
          <w:tcPr>
            <w:tcW w:w="5668" w:type="dxa"/>
            <w:tcBorders>
              <w:top w:val="nil"/>
              <w:left w:val="nil"/>
              <w:bottom w:val="nil"/>
              <w:right w:val="nil"/>
            </w:tcBorders>
            <w:shd w:val="clear" w:color="auto" w:fill="auto"/>
            <w:noWrap/>
            <w:vAlign w:val="center"/>
            <w:hideMark/>
          </w:tcPr>
          <w:p w14:paraId="66BC3EA9" w14:textId="51214BF9" w:rsidR="00AB5A93" w:rsidRPr="00CF684A" w:rsidRDefault="00AB5A93" w:rsidP="00AB5A93">
            <w:pPr>
              <w:spacing w:after="0"/>
              <w:rPr>
                <w:rFonts w:asciiTheme="minorHAnsi" w:eastAsia="Times New Roman" w:hAnsiTheme="minorHAnsi" w:cstheme="minorHAnsi"/>
                <w:vertAlign w:val="superscript"/>
                <w:lang w:val="en-GB"/>
              </w:rPr>
            </w:pPr>
            <w:r w:rsidRPr="00F22A35">
              <w:rPr>
                <w:rFonts w:asciiTheme="minorHAnsi" w:eastAsia="Times New Roman" w:hAnsiTheme="minorHAnsi" w:cstheme="minorHAnsi"/>
              </w:rPr>
              <w:t xml:space="preserve">Λειτουργική κερδοφορία (προσαρμοσμένο </w:t>
            </w:r>
            <w:r w:rsidRPr="00F22A35">
              <w:rPr>
                <w:rFonts w:asciiTheme="minorHAnsi" w:eastAsia="Times New Roman" w:hAnsiTheme="minorHAnsi" w:cstheme="minorHAnsi"/>
                <w:lang w:val="en-US"/>
              </w:rPr>
              <w:t>EBITDA</w:t>
            </w:r>
            <w:r w:rsidRPr="00F22A35">
              <w:rPr>
                <w:rFonts w:asciiTheme="minorHAnsi" w:eastAsia="Times New Roman" w:hAnsiTheme="minorHAnsi" w:cstheme="minorHAnsi"/>
              </w:rPr>
              <w:t>)</w:t>
            </w:r>
            <w:r w:rsidR="00CF684A">
              <w:rPr>
                <w:rFonts w:asciiTheme="minorHAnsi" w:eastAsia="Times New Roman" w:hAnsiTheme="minorHAnsi" w:cstheme="minorHAnsi"/>
                <w:vertAlign w:val="superscript"/>
              </w:rPr>
              <w:t>(1)</w:t>
            </w:r>
          </w:p>
        </w:tc>
        <w:tc>
          <w:tcPr>
            <w:tcW w:w="1990" w:type="dxa"/>
            <w:tcBorders>
              <w:top w:val="nil"/>
              <w:left w:val="nil"/>
              <w:bottom w:val="nil"/>
              <w:right w:val="nil"/>
            </w:tcBorders>
            <w:shd w:val="clear" w:color="auto" w:fill="auto"/>
            <w:noWrap/>
            <w:vAlign w:val="bottom"/>
            <w:hideMark/>
          </w:tcPr>
          <w:p w14:paraId="0DE0752A" w14:textId="46467ADA" w:rsidR="00AB5A93" w:rsidRPr="00F22A35" w:rsidRDefault="00AB5A93" w:rsidP="00AB5A93">
            <w:pPr>
              <w:spacing w:after="0"/>
              <w:jc w:val="center"/>
              <w:rPr>
                <w:rFonts w:asciiTheme="minorHAnsi" w:eastAsia="Times New Roman" w:hAnsiTheme="minorHAnsi" w:cstheme="minorHAnsi"/>
                <w:b/>
                <w:bCs/>
                <w:highlight w:val="yellow"/>
              </w:rPr>
            </w:pPr>
            <w:r w:rsidRPr="00F22A35">
              <w:rPr>
                <w:rFonts w:cs="Calibri"/>
                <w:b/>
                <w:bCs/>
                <w:color w:val="000000"/>
              </w:rPr>
              <w:t>661</w:t>
            </w:r>
            <w:r w:rsidR="00DF54BC">
              <w:rPr>
                <w:rFonts w:cs="Calibri"/>
                <w:b/>
                <w:bCs/>
                <w:color w:val="000000"/>
              </w:rPr>
              <w:t>,</w:t>
            </w:r>
            <w:r w:rsidRPr="00F22A35">
              <w:rPr>
                <w:rFonts w:cs="Calibri"/>
                <w:b/>
                <w:bCs/>
                <w:color w:val="000000"/>
              </w:rPr>
              <w:t>8</w:t>
            </w:r>
          </w:p>
        </w:tc>
        <w:tc>
          <w:tcPr>
            <w:tcW w:w="1990" w:type="dxa"/>
            <w:tcBorders>
              <w:top w:val="nil"/>
              <w:left w:val="nil"/>
              <w:bottom w:val="nil"/>
              <w:right w:val="nil"/>
            </w:tcBorders>
            <w:vAlign w:val="bottom"/>
          </w:tcPr>
          <w:p w14:paraId="75BFE99B" w14:textId="18E3CE1F"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color w:val="000000"/>
              </w:rPr>
              <w:t>323</w:t>
            </w:r>
            <w:r w:rsidR="00DF54BC">
              <w:rPr>
                <w:rFonts w:cs="Calibri"/>
                <w:color w:val="000000"/>
              </w:rPr>
              <w:t>,</w:t>
            </w:r>
            <w:r w:rsidRPr="00F22A35">
              <w:rPr>
                <w:rFonts w:cs="Calibri"/>
                <w:color w:val="000000"/>
              </w:rPr>
              <w:t>5</w:t>
            </w:r>
          </w:p>
        </w:tc>
      </w:tr>
      <w:tr w:rsidR="00AB5A93" w:rsidRPr="00F22A35" w14:paraId="63B0446E" w14:textId="0AA74CF7" w:rsidTr="00551301">
        <w:trPr>
          <w:trHeight w:val="346"/>
        </w:trPr>
        <w:tc>
          <w:tcPr>
            <w:tcW w:w="5668" w:type="dxa"/>
            <w:tcBorders>
              <w:top w:val="nil"/>
              <w:left w:val="nil"/>
              <w:bottom w:val="nil"/>
              <w:right w:val="nil"/>
            </w:tcBorders>
            <w:shd w:val="clear" w:color="auto" w:fill="auto"/>
            <w:noWrap/>
            <w:vAlign w:val="center"/>
            <w:hideMark/>
          </w:tcPr>
          <w:p w14:paraId="1D48A01A" w14:textId="162FF6B5" w:rsidR="00AB5A93" w:rsidRPr="00F22A35" w:rsidRDefault="00AB5A93" w:rsidP="00AB5A93">
            <w:pPr>
              <w:spacing w:after="0"/>
              <w:rPr>
                <w:rFonts w:asciiTheme="minorHAnsi" w:eastAsia="Times New Roman" w:hAnsiTheme="minorHAnsi" w:cstheme="minorHAnsi"/>
              </w:rPr>
            </w:pPr>
            <w:r w:rsidRPr="00F22A35">
              <w:rPr>
                <w:rFonts w:asciiTheme="minorHAnsi" w:eastAsia="Times New Roman" w:hAnsiTheme="minorHAnsi" w:cstheme="minorHAnsi"/>
              </w:rPr>
              <w:t>Καθαρά κέρδη αποδιδόμενα στους μετόχους</w:t>
            </w:r>
          </w:p>
        </w:tc>
        <w:tc>
          <w:tcPr>
            <w:tcW w:w="1990" w:type="dxa"/>
            <w:tcBorders>
              <w:top w:val="nil"/>
              <w:left w:val="nil"/>
              <w:bottom w:val="nil"/>
              <w:right w:val="nil"/>
            </w:tcBorders>
            <w:shd w:val="clear" w:color="auto" w:fill="auto"/>
            <w:noWrap/>
            <w:vAlign w:val="bottom"/>
            <w:hideMark/>
          </w:tcPr>
          <w:p w14:paraId="6642C0FF" w14:textId="76673554"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b/>
                <w:bCs/>
                <w:color w:val="000000"/>
              </w:rPr>
              <w:t>136</w:t>
            </w:r>
            <w:r w:rsidR="00DF54BC">
              <w:rPr>
                <w:rFonts w:cs="Calibri"/>
                <w:b/>
                <w:bCs/>
                <w:color w:val="000000"/>
              </w:rPr>
              <w:t>,</w:t>
            </w:r>
            <w:r w:rsidRPr="00F22A35">
              <w:rPr>
                <w:rFonts w:cs="Calibri"/>
                <w:b/>
                <w:bCs/>
                <w:color w:val="000000"/>
              </w:rPr>
              <w:t>5</w:t>
            </w:r>
          </w:p>
        </w:tc>
        <w:tc>
          <w:tcPr>
            <w:tcW w:w="1990" w:type="dxa"/>
            <w:tcBorders>
              <w:top w:val="nil"/>
              <w:left w:val="nil"/>
              <w:bottom w:val="nil"/>
              <w:right w:val="nil"/>
            </w:tcBorders>
            <w:vAlign w:val="bottom"/>
          </w:tcPr>
          <w:p w14:paraId="3B7F57CE" w14:textId="7075CEF3"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color w:val="000000"/>
              </w:rPr>
              <w:t>85</w:t>
            </w:r>
            <w:r w:rsidR="00DF54BC">
              <w:rPr>
                <w:rFonts w:cs="Calibri"/>
                <w:color w:val="000000"/>
              </w:rPr>
              <w:t>,</w:t>
            </w:r>
            <w:r w:rsidRPr="00F22A35">
              <w:rPr>
                <w:rFonts w:cs="Calibri"/>
                <w:color w:val="000000"/>
              </w:rPr>
              <w:t>1</w:t>
            </w:r>
          </w:p>
        </w:tc>
      </w:tr>
      <w:tr w:rsidR="00AB5A93" w:rsidRPr="00F22A35" w14:paraId="30141490" w14:textId="20CA61AA" w:rsidTr="00551301">
        <w:trPr>
          <w:trHeight w:val="346"/>
        </w:trPr>
        <w:tc>
          <w:tcPr>
            <w:tcW w:w="5668" w:type="dxa"/>
            <w:tcBorders>
              <w:top w:val="nil"/>
              <w:left w:val="nil"/>
              <w:bottom w:val="nil"/>
              <w:right w:val="nil"/>
            </w:tcBorders>
            <w:shd w:val="clear" w:color="auto" w:fill="auto"/>
            <w:noWrap/>
            <w:vAlign w:val="center"/>
            <w:hideMark/>
          </w:tcPr>
          <w:p w14:paraId="7C3E17F5" w14:textId="65A220D7" w:rsidR="00AB5A93" w:rsidRPr="00CF684A" w:rsidRDefault="00AB5A93" w:rsidP="00AB5A93">
            <w:pPr>
              <w:spacing w:after="0"/>
              <w:rPr>
                <w:rFonts w:asciiTheme="minorHAnsi" w:eastAsia="Times New Roman" w:hAnsiTheme="minorHAnsi" w:cstheme="minorHAnsi"/>
                <w:vertAlign w:val="superscript"/>
              </w:rPr>
            </w:pPr>
            <w:r w:rsidRPr="00F22A35">
              <w:rPr>
                <w:rFonts w:asciiTheme="minorHAnsi" w:eastAsia="Times New Roman" w:hAnsiTheme="minorHAnsi" w:cstheme="minorHAnsi"/>
              </w:rPr>
              <w:t>Κέρδη αποδιδόμενα στους μετόχους προσαρμοσμένα για μη λειτουργικά αποτελέσματα</w:t>
            </w:r>
            <w:r w:rsidR="00CF684A">
              <w:rPr>
                <w:rFonts w:asciiTheme="minorHAnsi" w:eastAsia="Times New Roman" w:hAnsiTheme="minorHAnsi" w:cstheme="minorHAnsi"/>
                <w:vertAlign w:val="superscript"/>
              </w:rPr>
              <w:t>(2)</w:t>
            </w:r>
          </w:p>
        </w:tc>
        <w:tc>
          <w:tcPr>
            <w:tcW w:w="1990" w:type="dxa"/>
            <w:tcBorders>
              <w:top w:val="nil"/>
              <w:left w:val="nil"/>
              <w:bottom w:val="nil"/>
              <w:right w:val="nil"/>
            </w:tcBorders>
            <w:shd w:val="clear" w:color="auto" w:fill="auto"/>
            <w:noWrap/>
            <w:vAlign w:val="bottom"/>
          </w:tcPr>
          <w:p w14:paraId="6AB5C53D" w14:textId="72912ECB"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b/>
                <w:bCs/>
                <w:color w:val="000000"/>
              </w:rPr>
              <w:t>174</w:t>
            </w:r>
            <w:r w:rsidR="00DF54BC">
              <w:rPr>
                <w:rFonts w:cs="Calibri"/>
                <w:b/>
                <w:bCs/>
                <w:color w:val="000000"/>
              </w:rPr>
              <w:t>,</w:t>
            </w:r>
            <w:r w:rsidRPr="00F22A35">
              <w:rPr>
                <w:rFonts w:cs="Calibri"/>
                <w:b/>
                <w:bCs/>
                <w:color w:val="000000"/>
              </w:rPr>
              <w:t>4</w:t>
            </w:r>
          </w:p>
        </w:tc>
        <w:tc>
          <w:tcPr>
            <w:tcW w:w="1990" w:type="dxa"/>
            <w:tcBorders>
              <w:top w:val="nil"/>
              <w:left w:val="nil"/>
              <w:bottom w:val="nil"/>
              <w:right w:val="nil"/>
            </w:tcBorders>
            <w:vAlign w:val="bottom"/>
          </w:tcPr>
          <w:p w14:paraId="472731BD" w14:textId="46BD1EF4"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color w:val="000000"/>
              </w:rPr>
              <w:t>33</w:t>
            </w:r>
            <w:r w:rsidR="00DF54BC">
              <w:rPr>
                <w:rFonts w:cs="Calibri"/>
                <w:color w:val="000000"/>
              </w:rPr>
              <w:t>,</w:t>
            </w:r>
            <w:r w:rsidRPr="00F22A35">
              <w:rPr>
                <w:rFonts w:cs="Calibri"/>
                <w:color w:val="000000"/>
              </w:rPr>
              <w:t>1</w:t>
            </w:r>
          </w:p>
        </w:tc>
      </w:tr>
      <w:tr w:rsidR="00E41F06" w:rsidRPr="00F22A35" w14:paraId="313ED855" w14:textId="77777777" w:rsidTr="00551301">
        <w:trPr>
          <w:trHeight w:val="346"/>
        </w:trPr>
        <w:tc>
          <w:tcPr>
            <w:tcW w:w="5668" w:type="dxa"/>
            <w:tcBorders>
              <w:top w:val="nil"/>
              <w:left w:val="nil"/>
              <w:bottom w:val="nil"/>
              <w:right w:val="nil"/>
            </w:tcBorders>
            <w:shd w:val="clear" w:color="auto" w:fill="auto"/>
            <w:noWrap/>
            <w:vAlign w:val="center"/>
          </w:tcPr>
          <w:p w14:paraId="2C593CFB" w14:textId="77777777" w:rsidR="00E41F06" w:rsidRPr="00F22A35" w:rsidRDefault="00E41F06" w:rsidP="00AB5A93">
            <w:pPr>
              <w:spacing w:after="0"/>
              <w:rPr>
                <w:rFonts w:asciiTheme="minorHAnsi" w:eastAsia="Times New Roman" w:hAnsiTheme="minorHAnsi" w:cstheme="minorHAnsi"/>
              </w:rPr>
            </w:pPr>
          </w:p>
        </w:tc>
        <w:tc>
          <w:tcPr>
            <w:tcW w:w="1990" w:type="dxa"/>
            <w:tcBorders>
              <w:top w:val="nil"/>
              <w:left w:val="nil"/>
              <w:bottom w:val="nil"/>
              <w:right w:val="nil"/>
            </w:tcBorders>
            <w:shd w:val="clear" w:color="auto" w:fill="auto"/>
            <w:noWrap/>
            <w:vAlign w:val="bottom"/>
          </w:tcPr>
          <w:p w14:paraId="7685433F" w14:textId="77777777" w:rsidR="00E41F06" w:rsidRPr="00F22A35" w:rsidRDefault="00E41F06" w:rsidP="00AB5A93">
            <w:pPr>
              <w:spacing w:after="0"/>
              <w:jc w:val="center"/>
              <w:rPr>
                <w:rFonts w:cs="Calibri"/>
                <w:b/>
                <w:bCs/>
                <w:color w:val="000000"/>
              </w:rPr>
            </w:pPr>
          </w:p>
        </w:tc>
        <w:tc>
          <w:tcPr>
            <w:tcW w:w="1990" w:type="dxa"/>
            <w:tcBorders>
              <w:top w:val="nil"/>
              <w:left w:val="nil"/>
              <w:bottom w:val="nil"/>
              <w:right w:val="nil"/>
            </w:tcBorders>
            <w:vAlign w:val="bottom"/>
          </w:tcPr>
          <w:p w14:paraId="7171AE76" w14:textId="77777777" w:rsidR="00E41F06" w:rsidRPr="00F22A35" w:rsidRDefault="00E41F06" w:rsidP="00AB5A93">
            <w:pPr>
              <w:spacing w:after="0"/>
              <w:jc w:val="center"/>
              <w:rPr>
                <w:rFonts w:cs="Calibri"/>
                <w:color w:val="000000"/>
              </w:rPr>
            </w:pPr>
          </w:p>
        </w:tc>
      </w:tr>
      <w:tr w:rsidR="00AB5A93" w:rsidRPr="00F22A35" w14:paraId="5367731A" w14:textId="77777777" w:rsidTr="00E41F06">
        <w:trPr>
          <w:trHeight w:val="346"/>
        </w:trPr>
        <w:tc>
          <w:tcPr>
            <w:tcW w:w="5668" w:type="dxa"/>
            <w:tcBorders>
              <w:top w:val="single" w:sz="4" w:space="0" w:color="00B0F0"/>
              <w:left w:val="nil"/>
              <w:bottom w:val="single" w:sz="4" w:space="0" w:color="00B0F0"/>
              <w:right w:val="nil"/>
            </w:tcBorders>
            <w:shd w:val="clear" w:color="auto" w:fill="auto"/>
            <w:noWrap/>
            <w:vAlign w:val="center"/>
          </w:tcPr>
          <w:p w14:paraId="45290891" w14:textId="142A812D" w:rsidR="00AB5A93" w:rsidRPr="00F22A35" w:rsidRDefault="00AB5A93" w:rsidP="00AB5A93">
            <w:pPr>
              <w:spacing w:after="0"/>
              <w:rPr>
                <w:rFonts w:asciiTheme="minorHAnsi" w:eastAsia="Times New Roman" w:hAnsiTheme="minorHAnsi" w:cstheme="minorHAnsi"/>
              </w:rPr>
            </w:pPr>
            <w:r w:rsidRPr="00F22A35">
              <w:rPr>
                <w:rFonts w:asciiTheme="minorHAnsi" w:eastAsia="Times New Roman" w:hAnsiTheme="minorHAnsi" w:cstheme="minorHAnsi"/>
                <w:b/>
                <w:bCs/>
              </w:rPr>
              <w:t xml:space="preserve">Εκατ. </w:t>
            </w:r>
            <w:r w:rsidRPr="00F22A35">
              <w:rPr>
                <w:rFonts w:asciiTheme="minorHAnsi" w:eastAsia="Times New Roman" w:hAnsiTheme="minorHAnsi" w:cstheme="minorHAnsi"/>
                <w:b/>
                <w:bCs/>
                <w:lang w:val="en-US"/>
              </w:rPr>
              <w:t>€</w:t>
            </w:r>
          </w:p>
        </w:tc>
        <w:tc>
          <w:tcPr>
            <w:tcW w:w="1990" w:type="dxa"/>
            <w:tcBorders>
              <w:top w:val="single" w:sz="4" w:space="0" w:color="00B0F0"/>
              <w:left w:val="nil"/>
              <w:bottom w:val="single" w:sz="4" w:space="0" w:color="00B0F0"/>
              <w:right w:val="nil"/>
            </w:tcBorders>
            <w:shd w:val="clear" w:color="auto" w:fill="auto"/>
            <w:noWrap/>
            <w:vAlign w:val="center"/>
          </w:tcPr>
          <w:p w14:paraId="523A6FC7" w14:textId="4D15C772" w:rsidR="00AB5A93" w:rsidRPr="00F22A35" w:rsidRDefault="00AB5A93" w:rsidP="00AB5A93">
            <w:pPr>
              <w:spacing w:after="0"/>
              <w:jc w:val="center"/>
              <w:rPr>
                <w:rFonts w:cs="Calibri"/>
                <w:b/>
                <w:bCs/>
                <w:color w:val="000000"/>
              </w:rPr>
            </w:pPr>
            <w:r w:rsidRPr="00F22A35">
              <w:rPr>
                <w:rFonts w:asciiTheme="minorHAnsi" w:eastAsia="Times New Roman" w:hAnsiTheme="minorHAnsi" w:cstheme="minorHAnsi"/>
                <w:b/>
                <w:bCs/>
                <w:lang w:val="en-US"/>
              </w:rPr>
              <w:t>2022</w:t>
            </w:r>
          </w:p>
        </w:tc>
        <w:tc>
          <w:tcPr>
            <w:tcW w:w="1990" w:type="dxa"/>
            <w:tcBorders>
              <w:top w:val="single" w:sz="4" w:space="0" w:color="00B0F0"/>
              <w:left w:val="nil"/>
              <w:bottom w:val="single" w:sz="4" w:space="0" w:color="00B0F0"/>
              <w:right w:val="nil"/>
            </w:tcBorders>
            <w:vAlign w:val="center"/>
          </w:tcPr>
          <w:p w14:paraId="26DEFB9D" w14:textId="785AEDF5" w:rsidR="00AB5A93" w:rsidRPr="00F22A35" w:rsidRDefault="00AB5A93" w:rsidP="00AB5A93">
            <w:pPr>
              <w:spacing w:after="0"/>
              <w:jc w:val="center"/>
              <w:rPr>
                <w:rFonts w:cs="Calibri"/>
                <w:color w:val="000000"/>
              </w:rPr>
            </w:pPr>
            <w:r w:rsidRPr="00F22A35">
              <w:rPr>
                <w:rFonts w:asciiTheme="minorHAnsi" w:eastAsia="Times New Roman" w:hAnsiTheme="minorHAnsi" w:cstheme="minorHAnsi"/>
                <w:lang w:val="en-US"/>
              </w:rPr>
              <w:t>2021</w:t>
            </w:r>
          </w:p>
        </w:tc>
      </w:tr>
      <w:tr w:rsidR="00AB5A93" w:rsidRPr="00F22A35" w14:paraId="0485681F" w14:textId="5D970180" w:rsidTr="00E41F06">
        <w:trPr>
          <w:trHeight w:val="346"/>
        </w:trPr>
        <w:tc>
          <w:tcPr>
            <w:tcW w:w="5668" w:type="dxa"/>
            <w:tcBorders>
              <w:top w:val="single" w:sz="4" w:space="0" w:color="00B0F0"/>
              <w:left w:val="nil"/>
              <w:bottom w:val="nil"/>
              <w:right w:val="nil"/>
            </w:tcBorders>
            <w:shd w:val="clear" w:color="auto" w:fill="auto"/>
            <w:noWrap/>
            <w:vAlign w:val="center"/>
            <w:hideMark/>
          </w:tcPr>
          <w:p w14:paraId="66702FCC" w14:textId="1BC9DC8C" w:rsidR="00AB5A93" w:rsidRPr="00CF684A" w:rsidRDefault="00AB5A93" w:rsidP="00AB5A93">
            <w:pPr>
              <w:spacing w:after="0"/>
              <w:rPr>
                <w:rFonts w:asciiTheme="minorHAnsi" w:eastAsia="Times New Roman" w:hAnsiTheme="minorHAnsi" w:cstheme="minorHAnsi"/>
                <w:vertAlign w:val="superscript"/>
                <w:lang w:val="en-GB"/>
              </w:rPr>
            </w:pPr>
            <w:r w:rsidRPr="00F22A35">
              <w:rPr>
                <w:rFonts w:asciiTheme="minorHAnsi" w:eastAsia="Times New Roman" w:hAnsiTheme="minorHAnsi" w:cstheme="minorHAnsi"/>
              </w:rPr>
              <w:t>Καθαρό Χρέος</w:t>
            </w:r>
            <w:r w:rsidR="00CF684A">
              <w:rPr>
                <w:rFonts w:asciiTheme="minorHAnsi" w:eastAsia="Times New Roman" w:hAnsiTheme="minorHAnsi" w:cstheme="minorHAnsi"/>
                <w:vertAlign w:val="superscript"/>
              </w:rPr>
              <w:t>(1)</w:t>
            </w:r>
          </w:p>
        </w:tc>
        <w:tc>
          <w:tcPr>
            <w:tcW w:w="1990" w:type="dxa"/>
            <w:tcBorders>
              <w:top w:val="single" w:sz="4" w:space="0" w:color="00B0F0"/>
              <w:left w:val="nil"/>
              <w:bottom w:val="nil"/>
              <w:right w:val="nil"/>
            </w:tcBorders>
            <w:shd w:val="clear" w:color="auto" w:fill="auto"/>
            <w:noWrap/>
            <w:vAlign w:val="bottom"/>
            <w:hideMark/>
          </w:tcPr>
          <w:p w14:paraId="429D4887" w14:textId="5AB3EFE9"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b/>
                <w:bCs/>
                <w:color w:val="000000"/>
              </w:rPr>
              <w:t>1</w:t>
            </w:r>
            <w:r w:rsidR="00DF54BC">
              <w:rPr>
                <w:rFonts w:cs="Calibri"/>
                <w:b/>
                <w:bCs/>
                <w:color w:val="000000"/>
              </w:rPr>
              <w:t>.</w:t>
            </w:r>
            <w:r w:rsidRPr="00F22A35">
              <w:rPr>
                <w:rFonts w:cs="Calibri"/>
                <w:b/>
                <w:bCs/>
                <w:color w:val="000000"/>
              </w:rPr>
              <w:t>501</w:t>
            </w:r>
            <w:r w:rsidR="00DF54BC">
              <w:rPr>
                <w:rFonts w:cs="Calibri"/>
                <w:b/>
                <w:bCs/>
                <w:color w:val="000000"/>
              </w:rPr>
              <w:t>,</w:t>
            </w:r>
            <w:r w:rsidRPr="00F22A35">
              <w:rPr>
                <w:rFonts w:cs="Calibri"/>
                <w:b/>
                <w:bCs/>
                <w:color w:val="000000"/>
              </w:rPr>
              <w:t>6</w:t>
            </w:r>
          </w:p>
        </w:tc>
        <w:tc>
          <w:tcPr>
            <w:tcW w:w="1990" w:type="dxa"/>
            <w:tcBorders>
              <w:top w:val="single" w:sz="4" w:space="0" w:color="00B0F0"/>
              <w:left w:val="nil"/>
              <w:bottom w:val="nil"/>
              <w:right w:val="nil"/>
            </w:tcBorders>
            <w:vAlign w:val="bottom"/>
          </w:tcPr>
          <w:p w14:paraId="41A73B9E" w14:textId="73707486" w:rsidR="00AB5A93" w:rsidRPr="00F22A35" w:rsidRDefault="00AB5A93" w:rsidP="00AB5A93">
            <w:pPr>
              <w:spacing w:after="0"/>
              <w:jc w:val="center"/>
              <w:rPr>
                <w:rFonts w:asciiTheme="minorHAnsi" w:eastAsia="Times New Roman" w:hAnsiTheme="minorHAnsi" w:cstheme="minorHAnsi"/>
                <w:b/>
                <w:bCs/>
                <w:highlight w:val="yellow"/>
                <w:lang w:val="en-US"/>
              </w:rPr>
            </w:pPr>
            <w:r w:rsidRPr="00F22A35">
              <w:rPr>
                <w:rFonts w:cs="Calibri"/>
                <w:color w:val="000000"/>
              </w:rPr>
              <w:t>1</w:t>
            </w:r>
            <w:r w:rsidR="00DF54BC">
              <w:rPr>
                <w:rFonts w:cs="Calibri"/>
                <w:color w:val="000000"/>
              </w:rPr>
              <w:t>.</w:t>
            </w:r>
            <w:r w:rsidRPr="00F22A35">
              <w:rPr>
                <w:rFonts w:cs="Calibri"/>
                <w:color w:val="000000"/>
              </w:rPr>
              <w:t>231</w:t>
            </w:r>
            <w:r w:rsidR="00DF54BC">
              <w:rPr>
                <w:rFonts w:cs="Calibri"/>
                <w:color w:val="000000"/>
              </w:rPr>
              <w:t>,</w:t>
            </w:r>
            <w:r w:rsidRPr="00F22A35">
              <w:rPr>
                <w:rFonts w:cs="Calibri"/>
                <w:color w:val="000000"/>
              </w:rPr>
              <w:t>7</w:t>
            </w:r>
          </w:p>
        </w:tc>
      </w:tr>
      <w:tr w:rsidR="00AB5A93" w:rsidRPr="00F22A35" w14:paraId="79BB9D90" w14:textId="77777777" w:rsidTr="00551301">
        <w:trPr>
          <w:trHeight w:val="346"/>
        </w:trPr>
        <w:tc>
          <w:tcPr>
            <w:tcW w:w="5668" w:type="dxa"/>
            <w:tcBorders>
              <w:top w:val="nil"/>
              <w:left w:val="nil"/>
              <w:bottom w:val="single" w:sz="4" w:space="0" w:color="00B0F0"/>
              <w:right w:val="nil"/>
            </w:tcBorders>
            <w:shd w:val="clear" w:color="auto" w:fill="auto"/>
            <w:noWrap/>
            <w:vAlign w:val="center"/>
          </w:tcPr>
          <w:p w14:paraId="64F02175" w14:textId="64D07DF1" w:rsidR="00AB5A93" w:rsidRPr="00CF684A" w:rsidRDefault="0000504B" w:rsidP="00AB5A93">
            <w:pPr>
              <w:spacing w:after="0"/>
              <w:rPr>
                <w:rFonts w:asciiTheme="minorHAnsi" w:eastAsia="Times New Roman" w:hAnsiTheme="minorHAnsi" w:cstheme="minorHAnsi"/>
                <w:vertAlign w:val="superscript"/>
              </w:rPr>
            </w:pPr>
            <w:bookmarkStart w:id="0" w:name="_Hlk120605461"/>
            <w:r w:rsidRPr="00F22A35">
              <w:rPr>
                <w:rFonts w:asciiTheme="minorHAnsi" w:eastAsia="Times New Roman" w:hAnsiTheme="minorHAnsi" w:cstheme="minorHAnsi"/>
              </w:rPr>
              <w:t>Καθαρό Χρέος</w:t>
            </w:r>
            <w:r w:rsidR="00AB5A93" w:rsidRPr="00F22A35">
              <w:rPr>
                <w:rFonts w:asciiTheme="minorHAnsi" w:eastAsia="Times New Roman" w:hAnsiTheme="minorHAnsi" w:cstheme="minorHAnsi"/>
              </w:rPr>
              <w:t xml:space="preserve">/ Προσαρμοσμένο </w:t>
            </w:r>
            <w:r w:rsidR="00AB5A93" w:rsidRPr="00F22A35">
              <w:rPr>
                <w:rFonts w:asciiTheme="minorHAnsi" w:eastAsia="Times New Roman" w:hAnsiTheme="minorHAnsi" w:cstheme="minorHAnsi"/>
                <w:lang w:val="en-US"/>
              </w:rPr>
              <w:t>EBITDA</w:t>
            </w:r>
            <w:bookmarkEnd w:id="0"/>
            <w:r w:rsidR="00CF684A">
              <w:rPr>
                <w:rFonts w:asciiTheme="minorHAnsi" w:eastAsia="Times New Roman" w:hAnsiTheme="minorHAnsi" w:cstheme="minorHAnsi"/>
              </w:rPr>
              <w:t xml:space="preserve"> </w:t>
            </w:r>
            <w:r w:rsidR="00CF684A">
              <w:rPr>
                <w:rFonts w:asciiTheme="minorHAnsi" w:eastAsia="Times New Roman" w:hAnsiTheme="minorHAnsi" w:cstheme="minorHAnsi"/>
                <w:vertAlign w:val="superscript"/>
              </w:rPr>
              <w:t>(1)</w:t>
            </w:r>
          </w:p>
        </w:tc>
        <w:tc>
          <w:tcPr>
            <w:tcW w:w="1990" w:type="dxa"/>
            <w:tcBorders>
              <w:top w:val="nil"/>
              <w:left w:val="nil"/>
              <w:bottom w:val="single" w:sz="4" w:space="0" w:color="00B0F0"/>
              <w:right w:val="nil"/>
            </w:tcBorders>
            <w:shd w:val="clear" w:color="auto" w:fill="auto"/>
            <w:noWrap/>
            <w:vAlign w:val="bottom"/>
          </w:tcPr>
          <w:p w14:paraId="6B407239" w14:textId="5EB5E3A2" w:rsidR="00AB5A93" w:rsidRPr="006C6B88" w:rsidRDefault="00AB5A93" w:rsidP="00AB5A93">
            <w:pPr>
              <w:spacing w:after="0"/>
              <w:jc w:val="center"/>
              <w:rPr>
                <w:rFonts w:cs="Calibri"/>
                <w:b/>
                <w:bCs/>
                <w:color w:val="000000"/>
                <w:lang w:val="en-GB"/>
              </w:rPr>
            </w:pPr>
            <w:r w:rsidRPr="00F22A35">
              <w:rPr>
                <w:rFonts w:cs="Calibri"/>
                <w:b/>
                <w:bCs/>
                <w:color w:val="000000"/>
              </w:rPr>
              <w:t>2.3</w:t>
            </w:r>
            <w:r w:rsidR="006C6B88">
              <w:rPr>
                <w:rFonts w:cs="Calibri"/>
                <w:b/>
                <w:bCs/>
                <w:color w:val="000000"/>
                <w:lang w:val="en-GB"/>
              </w:rPr>
              <w:t>x</w:t>
            </w:r>
          </w:p>
        </w:tc>
        <w:tc>
          <w:tcPr>
            <w:tcW w:w="1990" w:type="dxa"/>
            <w:tcBorders>
              <w:top w:val="nil"/>
              <w:left w:val="nil"/>
              <w:bottom w:val="single" w:sz="4" w:space="0" w:color="00B0F0"/>
              <w:right w:val="nil"/>
            </w:tcBorders>
            <w:vAlign w:val="bottom"/>
          </w:tcPr>
          <w:p w14:paraId="226AE40D" w14:textId="02EAA4E2" w:rsidR="00AB5A93" w:rsidRPr="006C6B88" w:rsidRDefault="00AB5A93" w:rsidP="00AB5A93">
            <w:pPr>
              <w:spacing w:after="0"/>
              <w:jc w:val="center"/>
              <w:rPr>
                <w:rFonts w:cs="Calibri"/>
                <w:color w:val="000000"/>
                <w:lang w:val="en-GB"/>
              </w:rPr>
            </w:pPr>
            <w:r w:rsidRPr="00F22A35">
              <w:rPr>
                <w:rFonts w:cs="Calibri"/>
                <w:color w:val="000000"/>
              </w:rPr>
              <w:t>3.8</w:t>
            </w:r>
            <w:r w:rsidR="006C6B88">
              <w:rPr>
                <w:rFonts w:cs="Calibri"/>
                <w:color w:val="000000"/>
                <w:lang w:val="en-GB"/>
              </w:rPr>
              <w:t>x</w:t>
            </w:r>
          </w:p>
        </w:tc>
      </w:tr>
    </w:tbl>
    <w:p w14:paraId="21293A85" w14:textId="60A0129D" w:rsidR="00B67D5B" w:rsidRPr="00F22A35" w:rsidRDefault="00B67D5B" w:rsidP="00AB5A93">
      <w:pPr>
        <w:spacing w:before="240" w:after="120"/>
        <w:jc w:val="both"/>
        <w:rPr>
          <w:rFonts w:asciiTheme="minorHAnsi" w:eastAsia="Times New Roman" w:hAnsiTheme="minorHAnsi" w:cstheme="minorHAnsi"/>
        </w:rPr>
      </w:pPr>
      <w:r w:rsidRPr="00F22A35">
        <w:rPr>
          <w:rFonts w:asciiTheme="minorHAnsi" w:eastAsia="Times New Roman" w:hAnsiTheme="minorHAnsi" w:cstheme="minorHAnsi"/>
        </w:rPr>
        <w:t>Αναλυτικά:</w:t>
      </w:r>
    </w:p>
    <w:p w14:paraId="234538FF" w14:textId="1C3A7449" w:rsidR="00AC33BA" w:rsidRPr="00F22A35" w:rsidRDefault="009F05A1" w:rsidP="00AB5A93">
      <w:pPr>
        <w:spacing w:before="240" w:after="120"/>
        <w:jc w:val="both"/>
        <w:rPr>
          <w:rFonts w:asciiTheme="minorHAnsi" w:eastAsia="Times New Roman" w:hAnsiTheme="minorHAnsi" w:cstheme="minorHAnsi"/>
        </w:rPr>
      </w:pPr>
      <w:r w:rsidRPr="00DE6331">
        <w:rPr>
          <w:rFonts w:asciiTheme="minorHAnsi" w:eastAsia="Times New Roman" w:hAnsiTheme="minorHAnsi" w:cstheme="minorHAnsi"/>
          <w:b/>
          <w:bCs/>
        </w:rPr>
        <w:t xml:space="preserve">Τα συνολικά έσοδα του </w:t>
      </w:r>
      <w:r w:rsidR="003C59FA" w:rsidRPr="00DE6331">
        <w:rPr>
          <w:rFonts w:asciiTheme="minorHAnsi" w:eastAsia="Times New Roman" w:hAnsiTheme="minorHAnsi" w:cstheme="minorHAnsi"/>
          <w:b/>
          <w:bCs/>
        </w:rPr>
        <w:t>Ομίλου</w:t>
      </w:r>
      <w:r w:rsidRPr="00DE6331">
        <w:rPr>
          <w:rFonts w:asciiTheme="minorHAnsi" w:eastAsia="Times New Roman" w:hAnsiTheme="minorHAnsi" w:cstheme="minorHAnsi"/>
          <w:b/>
          <w:bCs/>
        </w:rPr>
        <w:t xml:space="preserve"> </w:t>
      </w:r>
      <w:r w:rsidR="00DE6331">
        <w:rPr>
          <w:rFonts w:asciiTheme="minorHAnsi" w:eastAsia="Times New Roman" w:hAnsiTheme="minorHAnsi" w:cstheme="minorHAnsi"/>
          <w:b/>
          <w:bCs/>
        </w:rPr>
        <w:t xml:space="preserve">κατά </w:t>
      </w:r>
      <w:r w:rsidR="00336072" w:rsidRPr="00DE6331">
        <w:rPr>
          <w:rFonts w:asciiTheme="minorHAnsi" w:eastAsia="Times New Roman" w:hAnsiTheme="minorHAnsi" w:cstheme="minorHAnsi"/>
          <w:b/>
          <w:bCs/>
        </w:rPr>
        <w:t xml:space="preserve">το 2022 </w:t>
      </w:r>
      <w:r w:rsidRPr="00DE6331">
        <w:rPr>
          <w:rFonts w:asciiTheme="minorHAnsi" w:eastAsia="Times New Roman" w:hAnsiTheme="minorHAnsi" w:cstheme="minorHAnsi"/>
          <w:b/>
          <w:bCs/>
        </w:rPr>
        <w:t xml:space="preserve">διαμορφώθηκαν σε </w:t>
      </w:r>
      <w:r w:rsidR="00AC33BA" w:rsidRPr="00DE6331">
        <w:rPr>
          <w:rFonts w:asciiTheme="minorHAnsi" w:eastAsia="Times New Roman" w:hAnsiTheme="minorHAnsi" w:cstheme="minorHAnsi"/>
          <w:b/>
          <w:bCs/>
        </w:rPr>
        <w:t xml:space="preserve">€ </w:t>
      </w:r>
      <w:bookmarkStart w:id="1" w:name="BIP_SEL021"/>
      <w:r w:rsidR="00DE6331" w:rsidRPr="00DE6331">
        <w:rPr>
          <w:rFonts w:cs="Calibri"/>
          <w:b/>
          <w:bCs/>
        </w:rPr>
        <w:t>3.938,3</w:t>
      </w:r>
      <w:bookmarkEnd w:id="1"/>
      <w:r w:rsidR="00DE6331" w:rsidRPr="00DE6331">
        <w:rPr>
          <w:rFonts w:cs="Calibri"/>
          <w:b/>
          <w:bCs/>
        </w:rPr>
        <w:t xml:space="preserve"> εκ</w:t>
      </w:r>
      <w:r w:rsidR="00DF54BC">
        <w:rPr>
          <w:rFonts w:cs="Calibri"/>
          <w:b/>
          <w:bCs/>
        </w:rPr>
        <w:t>ατ</w:t>
      </w:r>
      <w:r w:rsidR="00DE6331" w:rsidRPr="00DE6331">
        <w:rPr>
          <w:rFonts w:cs="Calibri"/>
          <w:b/>
          <w:bCs/>
        </w:rPr>
        <w:t xml:space="preserve">. έναντι </w:t>
      </w:r>
      <w:bookmarkStart w:id="2" w:name="BIP_SEL020"/>
      <w:r w:rsidR="00DE6331" w:rsidRPr="00DE6331">
        <w:rPr>
          <w:rFonts w:asciiTheme="minorHAnsi" w:eastAsia="Times New Roman" w:hAnsiTheme="minorHAnsi" w:cstheme="minorHAnsi"/>
          <w:b/>
          <w:bCs/>
        </w:rPr>
        <w:t>€</w:t>
      </w:r>
      <w:r w:rsidR="00DE6331">
        <w:rPr>
          <w:rFonts w:asciiTheme="minorHAnsi" w:eastAsia="Times New Roman" w:hAnsiTheme="minorHAnsi" w:cstheme="minorHAnsi"/>
          <w:b/>
          <w:bCs/>
        </w:rPr>
        <w:t xml:space="preserve"> </w:t>
      </w:r>
      <w:r w:rsidR="00DE6331" w:rsidRPr="00DE6331">
        <w:rPr>
          <w:rFonts w:cs="Calibri"/>
          <w:b/>
          <w:bCs/>
        </w:rPr>
        <w:t>1.144,2</w:t>
      </w:r>
      <w:bookmarkEnd w:id="2"/>
      <w:r w:rsidR="00DE6331" w:rsidRPr="00DE6331">
        <w:rPr>
          <w:rFonts w:cs="Calibri"/>
          <w:b/>
          <w:bCs/>
        </w:rPr>
        <w:t xml:space="preserve"> εκατ. την αντίστοιχη περίοδο του </w:t>
      </w:r>
      <w:bookmarkStart w:id="3" w:name="BIP_SEL013"/>
      <w:r w:rsidR="00DE6331" w:rsidRPr="00DE6331">
        <w:rPr>
          <w:rFonts w:cs="Calibri"/>
          <w:b/>
          <w:bCs/>
        </w:rPr>
        <w:t>2021</w:t>
      </w:r>
      <w:bookmarkEnd w:id="3"/>
      <w:r w:rsidR="00890BF8">
        <w:rPr>
          <w:rFonts w:cs="Calibri"/>
          <w:b/>
          <w:bCs/>
        </w:rPr>
        <w:t xml:space="preserve"> </w:t>
      </w:r>
      <w:r w:rsidR="00890BF8" w:rsidRPr="00890BF8">
        <w:rPr>
          <w:rFonts w:asciiTheme="minorHAnsi" w:hAnsiTheme="minorHAnsi" w:cstheme="minorHAnsi"/>
          <w:b/>
          <w:bCs/>
        </w:rPr>
        <w:t xml:space="preserve">αντικατοπτρίζοντας μεταξύ άλλων και την </w:t>
      </w:r>
      <w:r w:rsidR="00BB00C1">
        <w:rPr>
          <w:rFonts w:asciiTheme="minorHAnsi" w:hAnsiTheme="minorHAnsi" w:cstheme="minorHAnsi"/>
          <w:b/>
          <w:bCs/>
        </w:rPr>
        <w:t xml:space="preserve">πλήρη </w:t>
      </w:r>
      <w:r w:rsidR="00890BF8" w:rsidRPr="00890BF8">
        <w:rPr>
          <w:rFonts w:asciiTheme="minorHAnsi" w:hAnsiTheme="minorHAnsi" w:cstheme="minorHAnsi"/>
          <w:b/>
          <w:bCs/>
        </w:rPr>
        <w:t>ενοποίηση των εταιριών ΗΡΩΝ ΙΙ ΒΟΙΩΤΙΑΣ και ΗΡΩΝ ΕΝΕΡΓΕΙΑΚΗ (από 14.02.2022)</w:t>
      </w:r>
      <w:r w:rsidR="00AC33BA" w:rsidRPr="00F22A35">
        <w:rPr>
          <w:rFonts w:asciiTheme="minorHAnsi" w:eastAsia="Times New Roman" w:hAnsiTheme="minorHAnsi" w:cstheme="minorHAnsi"/>
        </w:rPr>
        <w:t>.</w:t>
      </w:r>
      <w:r w:rsidR="00FF2D01" w:rsidRPr="00F22A35">
        <w:rPr>
          <w:rFonts w:asciiTheme="minorHAnsi" w:eastAsia="Times New Roman" w:hAnsiTheme="minorHAnsi" w:cstheme="minorHAnsi"/>
        </w:rPr>
        <w:t xml:space="preserve"> Συγκριμένα</w:t>
      </w:r>
      <w:r w:rsidRPr="00F22A35">
        <w:rPr>
          <w:rFonts w:asciiTheme="minorHAnsi" w:eastAsia="Times New Roman" w:hAnsiTheme="minorHAnsi" w:cstheme="minorHAnsi"/>
        </w:rPr>
        <w:t xml:space="preserve">: </w:t>
      </w:r>
    </w:p>
    <w:p w14:paraId="39B554DD" w14:textId="63AC1755" w:rsidR="009B257D" w:rsidRPr="00F22A35" w:rsidRDefault="009F05A1"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Τα έσοδα του κατασκευαστικού τομέα</w:t>
      </w:r>
      <w:r w:rsidR="00FA55B5" w:rsidRPr="00F22A35">
        <w:rPr>
          <w:rFonts w:asciiTheme="minorHAnsi" w:hAnsiTheme="minorHAnsi" w:cstheme="minorHAnsi"/>
          <w:sz w:val="22"/>
          <w:szCs w:val="22"/>
        </w:rPr>
        <w:t xml:space="preserve"> αυξήθηκαν στα</w:t>
      </w:r>
      <w:r w:rsidR="00AC33BA" w:rsidRPr="00F22A35">
        <w:rPr>
          <w:rFonts w:asciiTheme="minorHAnsi" w:hAnsiTheme="minorHAnsi" w:cstheme="minorHAnsi"/>
          <w:sz w:val="22"/>
          <w:szCs w:val="22"/>
        </w:rPr>
        <w:t xml:space="preserve"> € </w:t>
      </w:r>
      <w:r w:rsidR="00DE6331">
        <w:rPr>
          <w:rFonts w:asciiTheme="minorHAnsi" w:hAnsiTheme="minorHAnsi" w:cstheme="minorHAnsi"/>
          <w:sz w:val="22"/>
          <w:szCs w:val="22"/>
        </w:rPr>
        <w:t>1.02</w:t>
      </w:r>
      <w:r w:rsidR="00345DE8" w:rsidRPr="003F5E7B">
        <w:rPr>
          <w:rFonts w:asciiTheme="minorHAnsi" w:hAnsiTheme="minorHAnsi" w:cstheme="minorHAnsi"/>
          <w:sz w:val="22"/>
          <w:szCs w:val="22"/>
        </w:rPr>
        <w:t>4</w:t>
      </w:r>
      <w:r w:rsidR="00DE6331">
        <w:rPr>
          <w:rFonts w:asciiTheme="minorHAnsi" w:hAnsiTheme="minorHAnsi" w:cstheme="minorHAnsi"/>
          <w:sz w:val="22"/>
          <w:szCs w:val="22"/>
        </w:rPr>
        <w:t>,2</w:t>
      </w:r>
      <w:r w:rsidR="00FA55B5" w:rsidRPr="00F22A35">
        <w:rPr>
          <w:rFonts w:asciiTheme="minorHAnsi" w:hAnsiTheme="minorHAnsi" w:cstheme="minorHAnsi"/>
          <w:sz w:val="22"/>
          <w:szCs w:val="22"/>
        </w:rPr>
        <w:t xml:space="preserve"> εκ.</w:t>
      </w:r>
      <w:r w:rsidR="00DE6331">
        <w:rPr>
          <w:rFonts w:asciiTheme="minorHAnsi" w:hAnsiTheme="minorHAnsi" w:cstheme="minorHAnsi"/>
          <w:sz w:val="22"/>
          <w:szCs w:val="22"/>
        </w:rPr>
        <w:t xml:space="preserve"> </w:t>
      </w:r>
      <w:r w:rsidR="00F47137" w:rsidRPr="00F22A35">
        <w:rPr>
          <w:rFonts w:asciiTheme="minorHAnsi" w:hAnsiTheme="minorHAnsi" w:cstheme="minorHAnsi"/>
          <w:sz w:val="22"/>
          <w:szCs w:val="22"/>
        </w:rPr>
        <w:t xml:space="preserve">έναντι € </w:t>
      </w:r>
      <w:r w:rsidR="00DE6331">
        <w:rPr>
          <w:rFonts w:asciiTheme="minorHAnsi" w:hAnsiTheme="minorHAnsi" w:cstheme="minorHAnsi"/>
          <w:sz w:val="22"/>
          <w:szCs w:val="22"/>
        </w:rPr>
        <w:t>600,6</w:t>
      </w:r>
      <w:r w:rsidR="00F47137" w:rsidRPr="00F22A35">
        <w:rPr>
          <w:rFonts w:asciiTheme="minorHAnsi" w:hAnsiTheme="minorHAnsi" w:cstheme="minorHAnsi"/>
          <w:sz w:val="22"/>
          <w:szCs w:val="22"/>
        </w:rPr>
        <w:t xml:space="preserve"> εκ</w:t>
      </w:r>
      <w:r w:rsidR="00B70D6D" w:rsidRPr="00F22A35">
        <w:rPr>
          <w:rFonts w:asciiTheme="minorHAnsi" w:hAnsiTheme="minorHAnsi" w:cstheme="minorHAnsi"/>
          <w:sz w:val="22"/>
          <w:szCs w:val="22"/>
        </w:rPr>
        <w:t>.</w:t>
      </w:r>
      <w:r w:rsidR="00DE6331">
        <w:rPr>
          <w:rFonts w:asciiTheme="minorHAnsi" w:hAnsiTheme="minorHAnsi" w:cstheme="minorHAnsi"/>
          <w:sz w:val="22"/>
          <w:szCs w:val="22"/>
        </w:rPr>
        <w:t xml:space="preserve"> </w:t>
      </w:r>
      <w:r w:rsidR="00F47137" w:rsidRPr="00F22A35">
        <w:rPr>
          <w:rFonts w:asciiTheme="minorHAnsi" w:hAnsiTheme="minorHAnsi" w:cstheme="minorHAnsi"/>
          <w:sz w:val="22"/>
          <w:szCs w:val="22"/>
        </w:rPr>
        <w:t>την περίοδο του 2021</w:t>
      </w:r>
      <w:r w:rsidR="00893206" w:rsidRPr="00F22A35">
        <w:rPr>
          <w:rFonts w:asciiTheme="minorHAnsi" w:hAnsiTheme="minorHAnsi" w:cstheme="minorHAnsi"/>
          <w:sz w:val="22"/>
          <w:szCs w:val="22"/>
        </w:rPr>
        <w:t>,</w:t>
      </w:r>
      <w:r w:rsidR="004F3C92" w:rsidRPr="00F22A35">
        <w:rPr>
          <w:rFonts w:asciiTheme="minorHAnsi" w:hAnsiTheme="minorHAnsi" w:cstheme="minorHAnsi"/>
          <w:sz w:val="22"/>
          <w:szCs w:val="22"/>
        </w:rPr>
        <w:t xml:space="preserve"> λόγ</w:t>
      </w:r>
      <w:r w:rsidR="00893206" w:rsidRPr="00F22A35">
        <w:rPr>
          <w:rFonts w:asciiTheme="minorHAnsi" w:hAnsiTheme="minorHAnsi" w:cstheme="minorHAnsi"/>
          <w:sz w:val="22"/>
          <w:szCs w:val="22"/>
        </w:rPr>
        <w:t>ω</w:t>
      </w:r>
      <w:r w:rsidR="004F3C92" w:rsidRPr="00F22A35">
        <w:rPr>
          <w:rFonts w:asciiTheme="minorHAnsi" w:hAnsiTheme="minorHAnsi" w:cstheme="minorHAnsi"/>
          <w:sz w:val="22"/>
          <w:szCs w:val="22"/>
        </w:rPr>
        <w:t xml:space="preserve"> της αύξησης της κατασκευαστικής δραστηριότητας</w:t>
      </w:r>
      <w:r w:rsidR="00C92232" w:rsidRPr="00F22A35">
        <w:rPr>
          <w:rFonts w:asciiTheme="minorHAnsi" w:hAnsiTheme="minorHAnsi" w:cstheme="minorHAnsi"/>
          <w:sz w:val="22"/>
          <w:szCs w:val="22"/>
        </w:rPr>
        <w:t>.</w:t>
      </w:r>
    </w:p>
    <w:p w14:paraId="7E4AD62E" w14:textId="6DC4A080" w:rsidR="00B67D5B" w:rsidRPr="00F22A35" w:rsidRDefault="00FA55B5"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Ο τομέας των παραχωρήσεων είχε έσοδα </w:t>
      </w:r>
      <w:r w:rsidR="009B257D" w:rsidRPr="00F22A35">
        <w:rPr>
          <w:rFonts w:asciiTheme="minorHAnsi" w:hAnsiTheme="minorHAnsi" w:cstheme="minorHAnsi"/>
          <w:sz w:val="22"/>
          <w:szCs w:val="22"/>
        </w:rPr>
        <w:t xml:space="preserve">€ </w:t>
      </w:r>
      <w:r w:rsidR="00DE6331">
        <w:rPr>
          <w:rFonts w:asciiTheme="minorHAnsi" w:hAnsiTheme="minorHAnsi" w:cstheme="minorHAnsi"/>
          <w:sz w:val="22"/>
          <w:szCs w:val="22"/>
        </w:rPr>
        <w:t>202,0</w:t>
      </w:r>
      <w:r w:rsidRPr="00F22A35">
        <w:rPr>
          <w:rFonts w:asciiTheme="minorHAnsi" w:hAnsiTheme="minorHAnsi" w:cstheme="minorHAnsi"/>
          <w:sz w:val="22"/>
          <w:szCs w:val="22"/>
        </w:rPr>
        <w:t xml:space="preserve"> εκ.</w:t>
      </w:r>
      <w:r w:rsidR="00DE6331">
        <w:rPr>
          <w:rFonts w:asciiTheme="minorHAnsi" w:hAnsiTheme="minorHAnsi" w:cstheme="minorHAnsi"/>
          <w:sz w:val="22"/>
          <w:szCs w:val="22"/>
        </w:rPr>
        <w:t xml:space="preserve"> </w:t>
      </w:r>
      <w:r w:rsidRPr="00F22A35">
        <w:rPr>
          <w:rFonts w:asciiTheme="minorHAnsi" w:hAnsiTheme="minorHAnsi" w:cstheme="minorHAnsi"/>
          <w:sz w:val="22"/>
          <w:szCs w:val="22"/>
        </w:rPr>
        <w:t>έναντι</w:t>
      </w:r>
      <w:r w:rsidR="007740D4" w:rsidRPr="00F22A35">
        <w:rPr>
          <w:rFonts w:asciiTheme="minorHAnsi" w:hAnsiTheme="minorHAnsi" w:cstheme="minorHAnsi"/>
          <w:sz w:val="22"/>
          <w:szCs w:val="22"/>
        </w:rPr>
        <w:t xml:space="preserve"> €</w:t>
      </w:r>
      <w:r w:rsidRPr="00F22A35">
        <w:rPr>
          <w:rFonts w:asciiTheme="minorHAnsi" w:hAnsiTheme="minorHAnsi" w:cstheme="minorHAnsi"/>
          <w:sz w:val="22"/>
          <w:szCs w:val="22"/>
        </w:rPr>
        <w:t xml:space="preserve"> </w:t>
      </w:r>
      <w:r w:rsidR="00DE6331">
        <w:rPr>
          <w:rFonts w:asciiTheme="minorHAnsi" w:hAnsiTheme="minorHAnsi" w:cstheme="minorHAnsi"/>
          <w:sz w:val="22"/>
          <w:szCs w:val="22"/>
        </w:rPr>
        <w:t>173</w:t>
      </w:r>
      <w:r w:rsidR="00336072" w:rsidRPr="00F22A35">
        <w:rPr>
          <w:rFonts w:asciiTheme="minorHAnsi" w:hAnsiTheme="minorHAnsi" w:cstheme="minorHAnsi"/>
          <w:sz w:val="22"/>
          <w:szCs w:val="22"/>
        </w:rPr>
        <w:t>,</w:t>
      </w:r>
      <w:r w:rsidR="00DE6331">
        <w:rPr>
          <w:rFonts w:asciiTheme="minorHAnsi" w:hAnsiTheme="minorHAnsi" w:cstheme="minorHAnsi"/>
          <w:sz w:val="22"/>
          <w:szCs w:val="22"/>
        </w:rPr>
        <w:t>0</w:t>
      </w:r>
      <w:r w:rsidR="007740D4" w:rsidRPr="00F22A35">
        <w:rPr>
          <w:rFonts w:asciiTheme="minorHAnsi" w:hAnsiTheme="minorHAnsi" w:cstheme="minorHAnsi"/>
          <w:sz w:val="22"/>
          <w:szCs w:val="22"/>
        </w:rPr>
        <w:t xml:space="preserve"> </w:t>
      </w:r>
      <w:r w:rsidRPr="00F22A35">
        <w:rPr>
          <w:rFonts w:asciiTheme="minorHAnsi" w:hAnsiTheme="minorHAnsi" w:cstheme="minorHAnsi"/>
          <w:sz w:val="22"/>
          <w:szCs w:val="22"/>
        </w:rPr>
        <w:t>εκ. την αντίστοιχη περίοδο του 2021</w:t>
      </w:r>
      <w:r w:rsidR="00CC2D87" w:rsidRPr="00F22A35">
        <w:rPr>
          <w:rFonts w:asciiTheme="minorHAnsi" w:hAnsiTheme="minorHAnsi" w:cstheme="minorHAnsi"/>
          <w:sz w:val="22"/>
          <w:szCs w:val="22"/>
        </w:rPr>
        <w:t>,</w:t>
      </w:r>
      <w:r w:rsidRPr="00F22A35">
        <w:rPr>
          <w:rFonts w:asciiTheme="minorHAnsi" w:hAnsiTheme="minorHAnsi" w:cstheme="minorHAnsi"/>
          <w:sz w:val="22"/>
          <w:szCs w:val="22"/>
        </w:rPr>
        <w:t xml:space="preserve"> </w:t>
      </w:r>
      <w:r w:rsidR="004F3C92" w:rsidRPr="00F22A35">
        <w:rPr>
          <w:rFonts w:asciiTheme="minorHAnsi" w:hAnsiTheme="minorHAnsi" w:cstheme="minorHAnsi"/>
          <w:sz w:val="22"/>
          <w:szCs w:val="22"/>
        </w:rPr>
        <w:t>κυρίως λόγ</w:t>
      </w:r>
      <w:r w:rsidR="00893206" w:rsidRPr="00F22A35">
        <w:rPr>
          <w:rFonts w:asciiTheme="minorHAnsi" w:hAnsiTheme="minorHAnsi" w:cstheme="minorHAnsi"/>
          <w:sz w:val="22"/>
          <w:szCs w:val="22"/>
        </w:rPr>
        <w:t>ω</w:t>
      </w:r>
      <w:r w:rsidRPr="00F22A35">
        <w:rPr>
          <w:rFonts w:asciiTheme="minorHAnsi" w:hAnsiTheme="minorHAnsi" w:cstheme="minorHAnsi"/>
          <w:sz w:val="22"/>
          <w:szCs w:val="22"/>
        </w:rPr>
        <w:t xml:space="preserve"> της </w:t>
      </w:r>
      <w:r w:rsidR="009D7ACE" w:rsidRPr="00F22A35">
        <w:rPr>
          <w:rFonts w:asciiTheme="minorHAnsi" w:hAnsiTheme="minorHAnsi" w:cstheme="minorHAnsi"/>
          <w:sz w:val="22"/>
          <w:szCs w:val="22"/>
        </w:rPr>
        <w:t xml:space="preserve">σταδιακής αποκατάστασης της </w:t>
      </w:r>
      <w:r w:rsidRPr="00F22A35">
        <w:rPr>
          <w:rFonts w:asciiTheme="minorHAnsi" w:hAnsiTheme="minorHAnsi" w:cstheme="minorHAnsi"/>
          <w:sz w:val="22"/>
          <w:szCs w:val="22"/>
        </w:rPr>
        <w:t xml:space="preserve">κίνησης στους αυτοκινητοδρόμους μετά την άρση των περιορισμών </w:t>
      </w:r>
      <w:r w:rsidR="00B70D6D" w:rsidRPr="00F22A35">
        <w:rPr>
          <w:rFonts w:asciiTheme="minorHAnsi" w:hAnsiTheme="minorHAnsi" w:cstheme="minorHAnsi"/>
          <w:sz w:val="22"/>
          <w:szCs w:val="22"/>
        </w:rPr>
        <w:t xml:space="preserve">στην κυκλοφορία που είχαν επιβληθεί </w:t>
      </w:r>
      <w:r w:rsidRPr="00F22A35">
        <w:rPr>
          <w:rFonts w:asciiTheme="minorHAnsi" w:hAnsiTheme="minorHAnsi" w:cstheme="minorHAnsi"/>
          <w:sz w:val="22"/>
          <w:szCs w:val="22"/>
        </w:rPr>
        <w:t>λόγ</w:t>
      </w:r>
      <w:r w:rsidR="00B70D6D" w:rsidRPr="00F22A35">
        <w:rPr>
          <w:rFonts w:asciiTheme="minorHAnsi" w:hAnsiTheme="minorHAnsi" w:cstheme="minorHAnsi"/>
          <w:sz w:val="22"/>
          <w:szCs w:val="22"/>
        </w:rPr>
        <w:t>ω</w:t>
      </w:r>
      <w:r w:rsidRPr="00F22A35">
        <w:rPr>
          <w:rFonts w:asciiTheme="minorHAnsi" w:hAnsiTheme="minorHAnsi" w:cstheme="minorHAnsi"/>
          <w:sz w:val="22"/>
          <w:szCs w:val="22"/>
        </w:rPr>
        <w:t xml:space="preserve"> της πανδημίας</w:t>
      </w:r>
      <w:r w:rsidR="00B70D6D" w:rsidRPr="00F22A35">
        <w:rPr>
          <w:rFonts w:asciiTheme="minorHAnsi" w:hAnsiTheme="minorHAnsi" w:cstheme="minorHAnsi"/>
          <w:sz w:val="22"/>
          <w:szCs w:val="22"/>
        </w:rPr>
        <w:t>.</w:t>
      </w:r>
    </w:p>
    <w:p w14:paraId="20E76C37" w14:textId="0BDBE279" w:rsidR="00D0125C" w:rsidRPr="00F22A35" w:rsidRDefault="005628DF" w:rsidP="00AB5A93">
      <w:pPr>
        <w:pStyle w:val="ListParagraph"/>
        <w:numPr>
          <w:ilvl w:val="0"/>
          <w:numId w:val="17"/>
        </w:numPr>
        <w:spacing w:line="276" w:lineRule="auto"/>
        <w:ind w:left="426" w:hanging="284"/>
        <w:rPr>
          <w:sz w:val="22"/>
          <w:szCs w:val="22"/>
        </w:rPr>
      </w:pPr>
      <w:r w:rsidRPr="00F22A35">
        <w:rPr>
          <w:rFonts w:asciiTheme="minorHAnsi" w:hAnsiTheme="minorHAnsi" w:cstheme="minorHAnsi"/>
          <w:sz w:val="22"/>
          <w:szCs w:val="22"/>
        </w:rPr>
        <w:lastRenderedPageBreak/>
        <w:t xml:space="preserve">Στον </w:t>
      </w:r>
      <w:r w:rsidR="006373AB" w:rsidRPr="00F22A35">
        <w:rPr>
          <w:rFonts w:asciiTheme="minorHAnsi" w:hAnsiTheme="minorHAnsi" w:cstheme="minorHAnsi"/>
          <w:sz w:val="22"/>
          <w:szCs w:val="22"/>
        </w:rPr>
        <w:t xml:space="preserve">τομέα παραγωγής και εμπορίας ενέργειας (ηλεκτρισμού και φυσικού αερίου) στην Ελλάδα και το </w:t>
      </w:r>
      <w:r w:rsidR="00CC2D87" w:rsidRPr="00F22A35">
        <w:rPr>
          <w:rFonts w:asciiTheme="minorHAnsi" w:hAnsiTheme="minorHAnsi" w:cstheme="minorHAnsi"/>
          <w:sz w:val="22"/>
          <w:szCs w:val="22"/>
        </w:rPr>
        <w:t>ε</w:t>
      </w:r>
      <w:r w:rsidR="006373AB" w:rsidRPr="00F22A35">
        <w:rPr>
          <w:rFonts w:asciiTheme="minorHAnsi" w:hAnsiTheme="minorHAnsi" w:cstheme="minorHAnsi"/>
          <w:sz w:val="22"/>
          <w:szCs w:val="22"/>
        </w:rPr>
        <w:t>ξωτερικό</w:t>
      </w:r>
      <w:r w:rsidR="00CC2D87" w:rsidRPr="00F22A35">
        <w:rPr>
          <w:rFonts w:asciiTheme="minorHAnsi" w:hAnsiTheme="minorHAnsi" w:cstheme="minorHAnsi"/>
          <w:sz w:val="22"/>
          <w:szCs w:val="22"/>
        </w:rPr>
        <w:t>,</w:t>
      </w:r>
      <w:r w:rsidR="006373AB" w:rsidRPr="00F22A35">
        <w:rPr>
          <w:rFonts w:asciiTheme="minorHAnsi" w:hAnsiTheme="minorHAnsi" w:cstheme="minorHAnsi"/>
          <w:sz w:val="22"/>
          <w:szCs w:val="22"/>
        </w:rPr>
        <w:t xml:space="preserve"> </w:t>
      </w:r>
      <w:r w:rsidRPr="00F22A35">
        <w:rPr>
          <w:rFonts w:asciiTheme="minorHAnsi" w:hAnsiTheme="minorHAnsi" w:cstheme="minorHAnsi"/>
          <w:sz w:val="22"/>
          <w:szCs w:val="22"/>
        </w:rPr>
        <w:t xml:space="preserve">τα έσοδα από πωλήσεις ανήλθαν σε € </w:t>
      </w:r>
      <w:r w:rsidR="00336072" w:rsidRPr="00F22A35">
        <w:rPr>
          <w:rFonts w:asciiTheme="minorHAnsi" w:hAnsiTheme="minorHAnsi" w:cstheme="minorHAnsi"/>
          <w:sz w:val="22"/>
          <w:szCs w:val="22"/>
        </w:rPr>
        <w:t>2.</w:t>
      </w:r>
      <w:r w:rsidR="00DE6331">
        <w:rPr>
          <w:rFonts w:asciiTheme="minorHAnsi" w:hAnsiTheme="minorHAnsi" w:cstheme="minorHAnsi"/>
          <w:sz w:val="22"/>
          <w:szCs w:val="22"/>
        </w:rPr>
        <w:t>897,3</w:t>
      </w:r>
      <w:r w:rsidRPr="00F22A35">
        <w:rPr>
          <w:rFonts w:asciiTheme="minorHAnsi" w:hAnsiTheme="minorHAnsi" w:cstheme="minorHAnsi"/>
          <w:sz w:val="22"/>
          <w:szCs w:val="22"/>
        </w:rPr>
        <w:t xml:space="preserve"> εκ.</w:t>
      </w:r>
      <w:r w:rsidR="00DE6331">
        <w:rPr>
          <w:rFonts w:asciiTheme="minorHAnsi" w:hAnsiTheme="minorHAnsi" w:cstheme="minorHAnsi"/>
          <w:sz w:val="22"/>
          <w:szCs w:val="22"/>
        </w:rPr>
        <w:t xml:space="preserve"> </w:t>
      </w:r>
      <w:r w:rsidRPr="00F22A35">
        <w:rPr>
          <w:rFonts w:asciiTheme="minorHAnsi" w:hAnsiTheme="minorHAnsi" w:cstheme="minorHAnsi"/>
          <w:sz w:val="22"/>
          <w:szCs w:val="22"/>
        </w:rPr>
        <w:t xml:space="preserve">έναντι </w:t>
      </w:r>
      <w:r w:rsidR="00960C1C" w:rsidRPr="00F22A35">
        <w:rPr>
          <w:rFonts w:asciiTheme="minorHAnsi" w:hAnsiTheme="minorHAnsi" w:cstheme="minorHAnsi"/>
          <w:sz w:val="22"/>
          <w:szCs w:val="22"/>
        </w:rPr>
        <w:t xml:space="preserve">€ </w:t>
      </w:r>
      <w:r w:rsidR="00DE6331">
        <w:rPr>
          <w:rFonts w:asciiTheme="minorHAnsi" w:hAnsiTheme="minorHAnsi" w:cstheme="minorHAnsi"/>
          <w:sz w:val="22"/>
          <w:szCs w:val="22"/>
        </w:rPr>
        <w:t>477</w:t>
      </w:r>
      <w:r w:rsidR="00CF684A">
        <w:rPr>
          <w:rFonts w:asciiTheme="minorHAnsi" w:hAnsiTheme="minorHAnsi" w:cstheme="minorHAnsi"/>
          <w:sz w:val="22"/>
          <w:szCs w:val="22"/>
        </w:rPr>
        <w:t>,</w:t>
      </w:r>
      <w:r w:rsidR="00DE6331">
        <w:rPr>
          <w:rFonts w:asciiTheme="minorHAnsi" w:hAnsiTheme="minorHAnsi" w:cstheme="minorHAnsi"/>
          <w:sz w:val="22"/>
          <w:szCs w:val="22"/>
        </w:rPr>
        <w:t>0</w:t>
      </w:r>
      <w:r w:rsidRPr="00F22A35">
        <w:rPr>
          <w:rFonts w:asciiTheme="minorHAnsi" w:hAnsiTheme="minorHAnsi" w:cstheme="minorHAnsi"/>
          <w:sz w:val="22"/>
          <w:szCs w:val="22"/>
        </w:rPr>
        <w:t xml:space="preserve"> εκ</w:t>
      </w:r>
      <w:r w:rsidR="00B70D6D" w:rsidRPr="00F22A35">
        <w:rPr>
          <w:rFonts w:asciiTheme="minorHAnsi" w:hAnsiTheme="minorHAnsi" w:cstheme="minorHAnsi"/>
          <w:sz w:val="22"/>
          <w:szCs w:val="22"/>
        </w:rPr>
        <w:t>.</w:t>
      </w:r>
      <w:r w:rsidR="00DE6331">
        <w:rPr>
          <w:rFonts w:asciiTheme="minorHAnsi" w:hAnsiTheme="minorHAnsi" w:cstheme="minorHAnsi"/>
          <w:sz w:val="22"/>
          <w:szCs w:val="22"/>
        </w:rPr>
        <w:t xml:space="preserve"> </w:t>
      </w:r>
      <w:r w:rsidRPr="00F22A35">
        <w:rPr>
          <w:rFonts w:asciiTheme="minorHAnsi" w:hAnsiTheme="minorHAnsi" w:cstheme="minorHAnsi"/>
          <w:sz w:val="22"/>
          <w:szCs w:val="22"/>
        </w:rPr>
        <w:t>την</w:t>
      </w:r>
      <w:r w:rsidR="00DC17A0" w:rsidRPr="00F22A35">
        <w:rPr>
          <w:rFonts w:asciiTheme="minorHAnsi" w:hAnsiTheme="minorHAnsi" w:cstheme="minorHAnsi"/>
          <w:sz w:val="22"/>
          <w:szCs w:val="22"/>
        </w:rPr>
        <w:t xml:space="preserve"> αντίστοιχη περυσινή</w:t>
      </w:r>
      <w:r w:rsidRPr="00F22A35">
        <w:rPr>
          <w:rFonts w:asciiTheme="minorHAnsi" w:hAnsiTheme="minorHAnsi" w:cstheme="minorHAnsi"/>
          <w:sz w:val="22"/>
          <w:szCs w:val="22"/>
        </w:rPr>
        <w:t xml:space="preserve"> περίοδο</w:t>
      </w:r>
      <w:r w:rsidR="00B70D6D" w:rsidRPr="00F22A35">
        <w:rPr>
          <w:rFonts w:asciiTheme="minorHAnsi" w:hAnsiTheme="minorHAnsi" w:cstheme="minorHAnsi"/>
          <w:sz w:val="22"/>
          <w:szCs w:val="22"/>
        </w:rPr>
        <w:t>,</w:t>
      </w:r>
      <w:r w:rsidRPr="00F22A35">
        <w:rPr>
          <w:rFonts w:asciiTheme="minorHAnsi" w:hAnsiTheme="minorHAnsi" w:cstheme="minorHAnsi"/>
          <w:sz w:val="22"/>
          <w:szCs w:val="22"/>
        </w:rPr>
        <w:t xml:space="preserve"> </w:t>
      </w:r>
      <w:r w:rsidR="009D7ACE" w:rsidRPr="00F22A35">
        <w:rPr>
          <w:rFonts w:asciiTheme="minorHAnsi" w:hAnsiTheme="minorHAnsi" w:cstheme="minorHAnsi"/>
          <w:sz w:val="22"/>
          <w:szCs w:val="22"/>
        </w:rPr>
        <w:t>ως αποτέλεσμα</w:t>
      </w:r>
      <w:r w:rsidRPr="00F22A35">
        <w:rPr>
          <w:rFonts w:asciiTheme="minorHAnsi" w:hAnsiTheme="minorHAnsi" w:cstheme="minorHAnsi"/>
          <w:sz w:val="22"/>
          <w:szCs w:val="22"/>
        </w:rPr>
        <w:t xml:space="preserve"> της αύξησης της παραγωγής</w:t>
      </w:r>
      <w:r w:rsidR="00960C1C" w:rsidRPr="00F22A35">
        <w:rPr>
          <w:rFonts w:asciiTheme="minorHAnsi" w:hAnsiTheme="minorHAnsi" w:cstheme="minorHAnsi"/>
          <w:sz w:val="22"/>
          <w:szCs w:val="22"/>
        </w:rPr>
        <w:t xml:space="preserve"> ΑΠΕ</w:t>
      </w:r>
      <w:r w:rsidR="00B70D6D" w:rsidRPr="00F22A35">
        <w:rPr>
          <w:rFonts w:asciiTheme="minorHAnsi" w:hAnsiTheme="minorHAnsi" w:cstheme="minorHAnsi"/>
          <w:sz w:val="22"/>
          <w:szCs w:val="22"/>
        </w:rPr>
        <w:t>, αλλά</w:t>
      </w:r>
      <w:r w:rsidR="00960C1C" w:rsidRPr="00F22A35">
        <w:rPr>
          <w:rFonts w:asciiTheme="minorHAnsi" w:hAnsiTheme="minorHAnsi" w:cstheme="minorHAnsi"/>
          <w:sz w:val="22"/>
          <w:szCs w:val="22"/>
        </w:rPr>
        <w:t xml:space="preserve"> και </w:t>
      </w:r>
      <w:r w:rsidR="006F02D7" w:rsidRPr="00F22A35">
        <w:rPr>
          <w:rFonts w:asciiTheme="minorHAnsi" w:hAnsiTheme="minorHAnsi" w:cstheme="minorHAnsi"/>
          <w:sz w:val="22"/>
          <w:szCs w:val="22"/>
        </w:rPr>
        <w:t>λόγ</w:t>
      </w:r>
      <w:r w:rsidR="00B70D6D" w:rsidRPr="00F22A35">
        <w:rPr>
          <w:rFonts w:asciiTheme="minorHAnsi" w:hAnsiTheme="minorHAnsi" w:cstheme="minorHAnsi"/>
          <w:sz w:val="22"/>
          <w:szCs w:val="22"/>
        </w:rPr>
        <w:t>ω</w:t>
      </w:r>
      <w:r w:rsidR="006F02D7" w:rsidRPr="00F22A35">
        <w:rPr>
          <w:rFonts w:asciiTheme="minorHAnsi" w:hAnsiTheme="minorHAnsi" w:cstheme="minorHAnsi"/>
          <w:sz w:val="22"/>
          <w:szCs w:val="22"/>
        </w:rPr>
        <w:t xml:space="preserve"> της πλήρους ενοποίησης των εταιρειών </w:t>
      </w:r>
      <w:r w:rsidR="00551301" w:rsidRPr="00F22A35">
        <w:rPr>
          <w:rFonts w:asciiTheme="minorHAnsi" w:hAnsiTheme="minorHAnsi" w:cstheme="minorHAnsi"/>
          <w:sz w:val="22"/>
          <w:szCs w:val="22"/>
        </w:rPr>
        <w:t xml:space="preserve">ΗΡΩΝ ΙΙ ΒΟΙΩΤΙΑΣ </w:t>
      </w:r>
      <w:r w:rsidR="006F02D7" w:rsidRPr="00F22A35">
        <w:rPr>
          <w:rFonts w:asciiTheme="minorHAnsi" w:hAnsiTheme="minorHAnsi" w:cstheme="minorHAnsi"/>
          <w:sz w:val="22"/>
          <w:szCs w:val="22"/>
        </w:rPr>
        <w:t xml:space="preserve">και </w:t>
      </w:r>
      <w:r w:rsidR="00551301" w:rsidRPr="00F22A35">
        <w:rPr>
          <w:rFonts w:asciiTheme="minorHAnsi" w:hAnsiTheme="minorHAnsi" w:cstheme="minorHAnsi"/>
          <w:sz w:val="22"/>
          <w:szCs w:val="22"/>
        </w:rPr>
        <w:t>ΗΡΩΝ ΕΝΕΡΓΕΙΑΚΗ (από 14.02.2022)</w:t>
      </w:r>
      <w:r w:rsidR="00B70D6D" w:rsidRPr="00F22A35">
        <w:rPr>
          <w:rFonts w:asciiTheme="minorHAnsi" w:hAnsiTheme="minorHAnsi" w:cstheme="minorHAnsi"/>
          <w:sz w:val="22"/>
          <w:szCs w:val="22"/>
        </w:rPr>
        <w:t>.</w:t>
      </w:r>
    </w:p>
    <w:p w14:paraId="23CA79D0" w14:textId="77777777" w:rsidR="009028B7" w:rsidRPr="00F22A35" w:rsidRDefault="009028B7" w:rsidP="00AB5A93">
      <w:pPr>
        <w:pStyle w:val="ListParagraph"/>
        <w:spacing w:line="276" w:lineRule="auto"/>
        <w:ind w:left="426"/>
        <w:rPr>
          <w:rFonts w:asciiTheme="minorHAnsi" w:hAnsiTheme="minorHAnsi" w:cstheme="minorHAnsi"/>
          <w:b/>
          <w:bCs/>
          <w:sz w:val="22"/>
          <w:szCs w:val="22"/>
        </w:rPr>
      </w:pPr>
    </w:p>
    <w:p w14:paraId="3B835088" w14:textId="42AAB4CD" w:rsidR="008A2C73" w:rsidRPr="00F22A35" w:rsidRDefault="00893206" w:rsidP="00AB5A93">
      <w:pPr>
        <w:jc w:val="both"/>
        <w:rPr>
          <w:rFonts w:asciiTheme="minorHAnsi" w:eastAsia="Times New Roman" w:hAnsiTheme="minorHAnsi" w:cstheme="minorHAnsi"/>
        </w:rPr>
      </w:pPr>
      <w:r w:rsidRPr="00890BF8">
        <w:rPr>
          <w:rFonts w:asciiTheme="minorHAnsi" w:hAnsiTheme="minorHAnsi" w:cstheme="minorHAnsi"/>
          <w:b/>
          <w:bCs/>
        </w:rPr>
        <w:t xml:space="preserve">Η </w:t>
      </w:r>
      <w:r w:rsidR="004F3C92" w:rsidRPr="00890BF8">
        <w:rPr>
          <w:rFonts w:asciiTheme="minorHAnsi" w:hAnsiTheme="minorHAnsi" w:cstheme="minorHAnsi"/>
          <w:b/>
          <w:bCs/>
        </w:rPr>
        <w:t>λειτουργική κερδοφορία (</w:t>
      </w:r>
      <w:r w:rsidR="005B4D66" w:rsidRPr="00890BF8">
        <w:rPr>
          <w:rFonts w:asciiTheme="minorHAnsi" w:hAnsiTheme="minorHAnsi" w:cstheme="minorHAnsi"/>
          <w:b/>
          <w:bCs/>
        </w:rPr>
        <w:t xml:space="preserve">προσαρμοσμένο </w:t>
      </w:r>
      <w:r w:rsidR="003575B8" w:rsidRPr="00890BF8">
        <w:rPr>
          <w:rFonts w:asciiTheme="minorHAnsi" w:hAnsiTheme="minorHAnsi" w:cstheme="minorHAnsi"/>
          <w:b/>
          <w:bCs/>
          <w:lang w:val="en-US"/>
        </w:rPr>
        <w:t>EBITDA</w:t>
      </w:r>
      <w:r w:rsidR="004F3C92" w:rsidRPr="00890BF8">
        <w:rPr>
          <w:rFonts w:asciiTheme="minorHAnsi" w:hAnsiTheme="minorHAnsi" w:cstheme="minorHAnsi"/>
          <w:b/>
          <w:bCs/>
        </w:rPr>
        <w:t>)</w:t>
      </w:r>
      <w:r w:rsidR="00551301" w:rsidRPr="00890BF8">
        <w:rPr>
          <w:rFonts w:asciiTheme="minorHAnsi" w:hAnsiTheme="minorHAnsi" w:cstheme="minorHAnsi"/>
          <w:b/>
          <w:bCs/>
          <w:vertAlign w:val="superscript"/>
        </w:rPr>
        <w:t>1</w:t>
      </w:r>
      <w:r w:rsidR="00162F0B" w:rsidRPr="00890BF8">
        <w:rPr>
          <w:rFonts w:asciiTheme="minorHAnsi" w:hAnsiTheme="minorHAnsi" w:cstheme="minorHAnsi"/>
          <w:b/>
          <w:bCs/>
        </w:rPr>
        <w:t xml:space="preserve"> του </w:t>
      </w:r>
      <w:r w:rsidR="003C59FA" w:rsidRPr="00890BF8">
        <w:rPr>
          <w:rFonts w:asciiTheme="minorHAnsi" w:hAnsiTheme="minorHAnsi" w:cstheme="minorHAnsi"/>
          <w:b/>
          <w:bCs/>
        </w:rPr>
        <w:t>Ομίλου</w:t>
      </w:r>
      <w:r w:rsidR="00162F0B" w:rsidRPr="00890BF8">
        <w:rPr>
          <w:rFonts w:asciiTheme="minorHAnsi" w:hAnsiTheme="minorHAnsi" w:cstheme="minorHAnsi"/>
          <w:b/>
          <w:bCs/>
        </w:rPr>
        <w:t xml:space="preserve"> ανήλθε σε</w:t>
      </w:r>
      <w:r w:rsidR="003575B8" w:rsidRPr="00890BF8">
        <w:rPr>
          <w:rFonts w:asciiTheme="minorHAnsi" w:hAnsiTheme="minorHAnsi" w:cstheme="minorHAnsi"/>
          <w:b/>
          <w:bCs/>
        </w:rPr>
        <w:t xml:space="preserve"> € </w:t>
      </w:r>
      <w:r w:rsidR="00DE6331" w:rsidRPr="00890BF8">
        <w:rPr>
          <w:rFonts w:asciiTheme="minorHAnsi" w:hAnsiTheme="minorHAnsi" w:cstheme="minorHAnsi"/>
          <w:b/>
          <w:bCs/>
        </w:rPr>
        <w:t>661</w:t>
      </w:r>
      <w:r w:rsidR="00E40323" w:rsidRPr="00890BF8">
        <w:rPr>
          <w:rFonts w:asciiTheme="minorHAnsi" w:hAnsiTheme="minorHAnsi" w:cstheme="minorHAnsi"/>
          <w:b/>
          <w:bCs/>
        </w:rPr>
        <w:t>,8</w:t>
      </w:r>
      <w:r w:rsidR="00162F0B" w:rsidRPr="00890BF8">
        <w:rPr>
          <w:rFonts w:asciiTheme="minorHAnsi" w:hAnsiTheme="minorHAnsi" w:cstheme="minorHAnsi"/>
          <w:b/>
          <w:bCs/>
        </w:rPr>
        <w:t xml:space="preserve"> εκ. </w:t>
      </w:r>
      <w:r w:rsidR="004F3C92" w:rsidRPr="00890BF8">
        <w:rPr>
          <w:rFonts w:asciiTheme="minorHAnsi" w:hAnsiTheme="minorHAnsi" w:cstheme="minorHAnsi"/>
          <w:b/>
          <w:bCs/>
        </w:rPr>
        <w:t xml:space="preserve">έναντι € </w:t>
      </w:r>
      <w:r w:rsidR="00336072" w:rsidRPr="00890BF8">
        <w:rPr>
          <w:rFonts w:asciiTheme="minorHAnsi" w:hAnsiTheme="minorHAnsi" w:cstheme="minorHAnsi"/>
          <w:b/>
          <w:bCs/>
        </w:rPr>
        <w:t>2</w:t>
      </w:r>
      <w:r w:rsidR="008A69B6" w:rsidRPr="00890BF8">
        <w:rPr>
          <w:rFonts w:asciiTheme="minorHAnsi" w:hAnsiTheme="minorHAnsi" w:cstheme="minorHAnsi"/>
          <w:b/>
          <w:bCs/>
        </w:rPr>
        <w:t>12</w:t>
      </w:r>
      <w:r w:rsidR="00E40323" w:rsidRPr="00890BF8">
        <w:rPr>
          <w:rFonts w:asciiTheme="minorHAnsi" w:hAnsiTheme="minorHAnsi" w:cstheme="minorHAnsi"/>
          <w:b/>
          <w:bCs/>
        </w:rPr>
        <w:t>,</w:t>
      </w:r>
      <w:r w:rsidR="008A69B6" w:rsidRPr="00890BF8">
        <w:rPr>
          <w:rFonts w:asciiTheme="minorHAnsi" w:hAnsiTheme="minorHAnsi" w:cstheme="minorHAnsi"/>
          <w:b/>
          <w:bCs/>
        </w:rPr>
        <w:t>7</w:t>
      </w:r>
      <w:r w:rsidR="004F3C92" w:rsidRPr="00890BF8">
        <w:rPr>
          <w:rFonts w:asciiTheme="minorHAnsi" w:hAnsiTheme="minorHAnsi" w:cstheme="minorHAnsi"/>
          <w:b/>
          <w:bCs/>
        </w:rPr>
        <w:t xml:space="preserve"> εκ.</w:t>
      </w:r>
      <w:r w:rsidR="00162F0B" w:rsidRPr="00890BF8">
        <w:rPr>
          <w:rFonts w:asciiTheme="minorHAnsi" w:hAnsiTheme="minorHAnsi" w:cstheme="minorHAnsi"/>
          <w:b/>
          <w:bCs/>
        </w:rPr>
        <w:t xml:space="preserve"> το 202</w:t>
      </w:r>
      <w:r w:rsidR="00336072" w:rsidRPr="00890BF8">
        <w:rPr>
          <w:rFonts w:asciiTheme="minorHAnsi" w:hAnsiTheme="minorHAnsi" w:cstheme="minorHAnsi"/>
          <w:b/>
          <w:bCs/>
        </w:rPr>
        <w:t>1</w:t>
      </w:r>
      <w:r w:rsidR="00890BF8">
        <w:rPr>
          <w:rFonts w:asciiTheme="minorHAnsi" w:hAnsiTheme="minorHAnsi" w:cstheme="minorHAnsi"/>
          <w:b/>
          <w:bCs/>
        </w:rPr>
        <w:t xml:space="preserve"> σαν αποτέλεσμα της αύξησης των εσόδων</w:t>
      </w:r>
      <w:r w:rsidR="003575B8" w:rsidRPr="00890BF8">
        <w:rPr>
          <w:rFonts w:asciiTheme="minorHAnsi" w:eastAsia="Times New Roman" w:hAnsiTheme="minorHAnsi" w:cstheme="minorHAnsi"/>
        </w:rPr>
        <w:t>.</w:t>
      </w:r>
      <w:r w:rsidR="00FE22E5" w:rsidRPr="00890BF8">
        <w:rPr>
          <w:rFonts w:asciiTheme="minorHAnsi" w:eastAsia="Times New Roman" w:hAnsiTheme="minorHAnsi" w:cstheme="minorHAnsi"/>
        </w:rPr>
        <w:t xml:space="preserve"> </w:t>
      </w:r>
      <w:r w:rsidR="00105849" w:rsidRPr="00890BF8">
        <w:rPr>
          <w:rFonts w:asciiTheme="minorHAnsi" w:eastAsia="Times New Roman" w:hAnsiTheme="minorHAnsi" w:cstheme="minorHAnsi"/>
        </w:rPr>
        <w:t>Συγκεκριμένα</w:t>
      </w:r>
      <w:r w:rsidR="00FE22E5" w:rsidRPr="00890BF8">
        <w:rPr>
          <w:rFonts w:asciiTheme="minorHAnsi" w:eastAsia="Times New Roman" w:hAnsiTheme="minorHAnsi" w:cstheme="minorHAnsi"/>
        </w:rPr>
        <w:t>:</w:t>
      </w:r>
    </w:p>
    <w:p w14:paraId="26F67AA9" w14:textId="661AEC0D" w:rsidR="00FE22E5" w:rsidRPr="00F22A35" w:rsidRDefault="00105849"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Στον τομέα </w:t>
      </w:r>
      <w:r w:rsidR="001A64E7" w:rsidRPr="00F22A35">
        <w:rPr>
          <w:rFonts w:asciiTheme="minorHAnsi" w:hAnsiTheme="minorHAnsi" w:cstheme="minorHAnsi"/>
          <w:sz w:val="22"/>
          <w:szCs w:val="22"/>
        </w:rPr>
        <w:t xml:space="preserve">της </w:t>
      </w:r>
      <w:r w:rsidRPr="00F22A35">
        <w:rPr>
          <w:rFonts w:asciiTheme="minorHAnsi" w:hAnsiTheme="minorHAnsi" w:cstheme="minorHAnsi"/>
          <w:sz w:val="22"/>
          <w:szCs w:val="22"/>
        </w:rPr>
        <w:t>κατασκευής</w:t>
      </w:r>
      <w:r w:rsidR="00DF54BC">
        <w:rPr>
          <w:rFonts w:asciiTheme="minorHAnsi" w:hAnsiTheme="minorHAnsi" w:cstheme="minorHAnsi"/>
          <w:sz w:val="22"/>
          <w:szCs w:val="22"/>
        </w:rPr>
        <w:t>,</w:t>
      </w:r>
      <w:r w:rsidRPr="00F22A35">
        <w:rPr>
          <w:rFonts w:asciiTheme="minorHAnsi" w:hAnsiTheme="minorHAnsi" w:cstheme="minorHAnsi"/>
          <w:sz w:val="22"/>
          <w:szCs w:val="22"/>
        </w:rPr>
        <w:t xml:space="preserve"> το </w:t>
      </w:r>
      <w:r w:rsidR="00B70D6D" w:rsidRPr="00F22A35">
        <w:rPr>
          <w:rFonts w:asciiTheme="minorHAnsi" w:hAnsiTheme="minorHAnsi" w:cstheme="minorHAnsi"/>
          <w:sz w:val="22"/>
          <w:szCs w:val="22"/>
        </w:rPr>
        <w:t>προσαρμοσμένο E</w:t>
      </w:r>
      <w:r w:rsidR="00FE22E5" w:rsidRPr="00F22A35">
        <w:rPr>
          <w:rFonts w:asciiTheme="minorHAnsi" w:hAnsiTheme="minorHAnsi" w:cstheme="minorHAnsi"/>
          <w:sz w:val="22"/>
          <w:szCs w:val="22"/>
        </w:rPr>
        <w:t xml:space="preserve">BITDA </w:t>
      </w:r>
      <w:r w:rsidRPr="00F22A35">
        <w:rPr>
          <w:rFonts w:asciiTheme="minorHAnsi" w:hAnsiTheme="minorHAnsi" w:cstheme="minorHAnsi"/>
          <w:sz w:val="22"/>
          <w:szCs w:val="22"/>
        </w:rPr>
        <w:t xml:space="preserve">ανήλθε σε </w:t>
      </w:r>
      <w:r w:rsidR="00FE22E5" w:rsidRPr="00F22A35">
        <w:rPr>
          <w:rFonts w:asciiTheme="minorHAnsi" w:hAnsiTheme="minorHAnsi" w:cstheme="minorHAnsi"/>
          <w:sz w:val="22"/>
          <w:szCs w:val="22"/>
        </w:rPr>
        <w:t xml:space="preserve">€ </w:t>
      </w:r>
      <w:r w:rsidR="00DE6331">
        <w:rPr>
          <w:rFonts w:asciiTheme="minorHAnsi" w:hAnsiTheme="minorHAnsi" w:cstheme="minorHAnsi"/>
          <w:sz w:val="22"/>
          <w:szCs w:val="22"/>
        </w:rPr>
        <w:t>80</w:t>
      </w:r>
      <w:r w:rsidR="007740D4" w:rsidRPr="00F22A35">
        <w:rPr>
          <w:rFonts w:asciiTheme="minorHAnsi" w:hAnsiTheme="minorHAnsi" w:cstheme="minorHAnsi"/>
          <w:sz w:val="22"/>
          <w:szCs w:val="22"/>
        </w:rPr>
        <w:t>,</w:t>
      </w:r>
      <w:r w:rsidR="00DE6331">
        <w:rPr>
          <w:rFonts w:asciiTheme="minorHAnsi" w:hAnsiTheme="minorHAnsi" w:cstheme="minorHAnsi"/>
          <w:sz w:val="22"/>
          <w:szCs w:val="22"/>
        </w:rPr>
        <w:t>6</w:t>
      </w:r>
      <w:r w:rsidR="00374E75" w:rsidRPr="00F22A35">
        <w:rPr>
          <w:rFonts w:asciiTheme="minorHAnsi" w:hAnsiTheme="minorHAnsi" w:cstheme="minorHAnsi"/>
          <w:sz w:val="22"/>
          <w:szCs w:val="22"/>
        </w:rPr>
        <w:t xml:space="preserve"> </w:t>
      </w:r>
      <w:r w:rsidRPr="00F22A35">
        <w:rPr>
          <w:rFonts w:asciiTheme="minorHAnsi" w:hAnsiTheme="minorHAnsi" w:cstheme="minorHAnsi"/>
          <w:sz w:val="22"/>
          <w:szCs w:val="22"/>
        </w:rPr>
        <w:t xml:space="preserve">εκ. έναντι </w:t>
      </w:r>
      <w:r w:rsidR="00DE6331">
        <w:rPr>
          <w:rFonts w:asciiTheme="minorHAnsi" w:hAnsiTheme="minorHAnsi" w:cstheme="minorHAnsi"/>
          <w:sz w:val="22"/>
          <w:szCs w:val="22"/>
        </w:rPr>
        <w:t>52</w:t>
      </w:r>
      <w:r w:rsidR="00E40323" w:rsidRPr="00F22A35">
        <w:rPr>
          <w:rFonts w:asciiTheme="minorHAnsi" w:hAnsiTheme="minorHAnsi" w:cstheme="minorHAnsi"/>
          <w:sz w:val="22"/>
          <w:szCs w:val="22"/>
        </w:rPr>
        <w:t>,</w:t>
      </w:r>
      <w:r w:rsidR="00DE6331">
        <w:rPr>
          <w:rFonts w:asciiTheme="minorHAnsi" w:hAnsiTheme="minorHAnsi" w:cstheme="minorHAnsi"/>
          <w:sz w:val="22"/>
          <w:szCs w:val="22"/>
        </w:rPr>
        <w:t>8</w:t>
      </w:r>
      <w:r w:rsidRPr="00F22A35">
        <w:rPr>
          <w:rFonts w:asciiTheme="minorHAnsi" w:hAnsiTheme="minorHAnsi" w:cstheme="minorHAnsi"/>
          <w:sz w:val="22"/>
          <w:szCs w:val="22"/>
        </w:rPr>
        <w:t xml:space="preserve"> εκ</w:t>
      </w:r>
      <w:r w:rsidR="00B70D6D" w:rsidRPr="00F22A35">
        <w:rPr>
          <w:rFonts w:asciiTheme="minorHAnsi" w:hAnsiTheme="minorHAnsi" w:cstheme="minorHAnsi"/>
          <w:sz w:val="22"/>
          <w:szCs w:val="22"/>
        </w:rPr>
        <w:t>.</w:t>
      </w:r>
      <w:r w:rsidRPr="00F22A35">
        <w:rPr>
          <w:rFonts w:asciiTheme="minorHAnsi" w:hAnsiTheme="minorHAnsi" w:cstheme="minorHAnsi"/>
          <w:sz w:val="22"/>
          <w:szCs w:val="22"/>
        </w:rPr>
        <w:t xml:space="preserve"> την αντίστοιχη περίοδο του 2021</w:t>
      </w:r>
      <w:r w:rsidR="00DF54BC">
        <w:rPr>
          <w:rFonts w:asciiTheme="minorHAnsi" w:hAnsiTheme="minorHAnsi" w:cstheme="minorHAnsi"/>
          <w:sz w:val="22"/>
          <w:szCs w:val="22"/>
        </w:rPr>
        <w:t>.</w:t>
      </w:r>
    </w:p>
    <w:p w14:paraId="21D585EA" w14:textId="4355D680" w:rsidR="005628DF" w:rsidRPr="00F22A35" w:rsidRDefault="004F3C92"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Στον τομέα </w:t>
      </w:r>
      <w:r w:rsidR="001A64E7" w:rsidRPr="00F22A35">
        <w:rPr>
          <w:rFonts w:asciiTheme="minorHAnsi" w:hAnsiTheme="minorHAnsi" w:cstheme="minorHAnsi"/>
          <w:sz w:val="22"/>
          <w:szCs w:val="22"/>
        </w:rPr>
        <w:t xml:space="preserve">των </w:t>
      </w:r>
      <w:r w:rsidRPr="00F22A35">
        <w:rPr>
          <w:rFonts w:asciiTheme="minorHAnsi" w:hAnsiTheme="minorHAnsi" w:cstheme="minorHAnsi"/>
          <w:sz w:val="22"/>
          <w:szCs w:val="22"/>
        </w:rPr>
        <w:t>παραχωρήσεων</w:t>
      </w:r>
      <w:r w:rsidR="00DF54BC">
        <w:rPr>
          <w:rFonts w:asciiTheme="minorHAnsi" w:hAnsiTheme="minorHAnsi" w:cstheme="minorHAnsi"/>
          <w:sz w:val="22"/>
          <w:szCs w:val="22"/>
        </w:rPr>
        <w:t>,</w:t>
      </w:r>
      <w:r w:rsidRPr="00F22A35">
        <w:rPr>
          <w:rFonts w:asciiTheme="minorHAnsi" w:hAnsiTheme="minorHAnsi" w:cstheme="minorHAnsi"/>
          <w:sz w:val="22"/>
          <w:szCs w:val="22"/>
        </w:rPr>
        <w:t xml:space="preserve"> τ</w:t>
      </w:r>
      <w:r w:rsidR="005628DF" w:rsidRPr="00F22A35">
        <w:rPr>
          <w:rFonts w:asciiTheme="minorHAnsi" w:hAnsiTheme="minorHAnsi" w:cstheme="minorHAnsi"/>
          <w:sz w:val="22"/>
          <w:szCs w:val="22"/>
        </w:rPr>
        <w:t xml:space="preserve">ο </w:t>
      </w:r>
      <w:r w:rsidR="00B70D6D" w:rsidRPr="00F22A35">
        <w:rPr>
          <w:rFonts w:asciiTheme="minorHAnsi" w:hAnsiTheme="minorHAnsi" w:cstheme="minorHAnsi"/>
          <w:sz w:val="22"/>
          <w:szCs w:val="22"/>
        </w:rPr>
        <w:t xml:space="preserve">προσαρμοσμένο </w:t>
      </w:r>
      <w:r w:rsidR="005628DF" w:rsidRPr="00F22A35">
        <w:rPr>
          <w:rFonts w:asciiTheme="minorHAnsi" w:hAnsiTheme="minorHAnsi" w:cstheme="minorHAnsi"/>
          <w:sz w:val="22"/>
          <w:szCs w:val="22"/>
        </w:rPr>
        <w:t xml:space="preserve">EBITDA </w:t>
      </w:r>
      <w:r w:rsidRPr="00F22A35">
        <w:rPr>
          <w:rFonts w:asciiTheme="minorHAnsi" w:hAnsiTheme="minorHAnsi" w:cstheme="minorHAnsi"/>
          <w:sz w:val="22"/>
          <w:szCs w:val="22"/>
        </w:rPr>
        <w:t>ανήλθε</w:t>
      </w:r>
      <w:r w:rsidR="005628DF" w:rsidRPr="00F22A35">
        <w:rPr>
          <w:rFonts w:asciiTheme="minorHAnsi" w:hAnsiTheme="minorHAnsi" w:cstheme="minorHAnsi"/>
          <w:sz w:val="22"/>
          <w:szCs w:val="22"/>
        </w:rPr>
        <w:t xml:space="preserve"> στα € </w:t>
      </w:r>
      <w:r w:rsidR="00DE6331">
        <w:rPr>
          <w:rFonts w:asciiTheme="minorHAnsi" w:hAnsiTheme="minorHAnsi" w:cstheme="minorHAnsi"/>
          <w:sz w:val="22"/>
          <w:szCs w:val="22"/>
        </w:rPr>
        <w:t>111</w:t>
      </w:r>
      <w:r w:rsidR="00374E75" w:rsidRPr="00F22A35">
        <w:rPr>
          <w:rFonts w:asciiTheme="minorHAnsi" w:hAnsiTheme="minorHAnsi" w:cstheme="minorHAnsi"/>
          <w:sz w:val="22"/>
          <w:szCs w:val="22"/>
        </w:rPr>
        <w:t>,</w:t>
      </w:r>
      <w:r w:rsidR="00DE6331">
        <w:rPr>
          <w:rFonts w:asciiTheme="minorHAnsi" w:hAnsiTheme="minorHAnsi" w:cstheme="minorHAnsi"/>
          <w:sz w:val="22"/>
          <w:szCs w:val="22"/>
        </w:rPr>
        <w:t>7</w:t>
      </w:r>
      <w:r w:rsidR="005628DF" w:rsidRPr="00F22A35">
        <w:rPr>
          <w:rFonts w:asciiTheme="minorHAnsi" w:hAnsiTheme="minorHAnsi" w:cstheme="minorHAnsi"/>
          <w:sz w:val="22"/>
          <w:szCs w:val="22"/>
        </w:rPr>
        <w:t xml:space="preserve"> εκ.</w:t>
      </w:r>
      <w:r w:rsidR="00587B6E" w:rsidRPr="00F22A35">
        <w:rPr>
          <w:rFonts w:asciiTheme="minorHAnsi" w:hAnsiTheme="minorHAnsi" w:cstheme="minorHAnsi"/>
          <w:sz w:val="22"/>
          <w:szCs w:val="22"/>
        </w:rPr>
        <w:t xml:space="preserve"> </w:t>
      </w:r>
      <w:r w:rsidRPr="00F22A35">
        <w:rPr>
          <w:rFonts w:asciiTheme="minorHAnsi" w:hAnsiTheme="minorHAnsi" w:cstheme="minorHAnsi"/>
          <w:sz w:val="22"/>
          <w:szCs w:val="22"/>
        </w:rPr>
        <w:t>έναντι</w:t>
      </w:r>
      <w:r w:rsidR="00587B6E" w:rsidRPr="00F22A35">
        <w:rPr>
          <w:rFonts w:asciiTheme="minorHAnsi" w:hAnsiTheme="minorHAnsi" w:cstheme="minorHAnsi"/>
          <w:sz w:val="22"/>
          <w:szCs w:val="22"/>
        </w:rPr>
        <w:t xml:space="preserve"> € </w:t>
      </w:r>
      <w:r w:rsidR="00DE6331">
        <w:rPr>
          <w:rFonts w:asciiTheme="minorHAnsi" w:hAnsiTheme="minorHAnsi" w:cstheme="minorHAnsi"/>
          <w:sz w:val="22"/>
          <w:szCs w:val="22"/>
        </w:rPr>
        <w:t>101</w:t>
      </w:r>
      <w:r w:rsidR="00E40323" w:rsidRPr="00F22A35">
        <w:rPr>
          <w:rFonts w:asciiTheme="minorHAnsi" w:hAnsiTheme="minorHAnsi" w:cstheme="minorHAnsi"/>
          <w:sz w:val="22"/>
          <w:szCs w:val="22"/>
        </w:rPr>
        <w:t>,</w:t>
      </w:r>
      <w:r w:rsidR="00DE6331">
        <w:rPr>
          <w:rFonts w:asciiTheme="minorHAnsi" w:hAnsiTheme="minorHAnsi" w:cstheme="minorHAnsi"/>
          <w:sz w:val="22"/>
          <w:szCs w:val="22"/>
        </w:rPr>
        <w:t>8</w:t>
      </w:r>
      <w:r w:rsidR="00587B6E" w:rsidRPr="00F22A35">
        <w:rPr>
          <w:rFonts w:asciiTheme="minorHAnsi" w:hAnsiTheme="minorHAnsi" w:cstheme="minorHAnsi"/>
          <w:sz w:val="22"/>
          <w:szCs w:val="22"/>
        </w:rPr>
        <w:t xml:space="preserve"> εκ.</w:t>
      </w:r>
      <w:r w:rsidRPr="00F22A35">
        <w:rPr>
          <w:rFonts w:asciiTheme="minorHAnsi" w:hAnsiTheme="minorHAnsi" w:cstheme="minorHAnsi"/>
          <w:sz w:val="22"/>
          <w:szCs w:val="22"/>
        </w:rPr>
        <w:t xml:space="preserve"> τη</w:t>
      </w:r>
      <w:r w:rsidR="00890BF8">
        <w:rPr>
          <w:rFonts w:asciiTheme="minorHAnsi" w:hAnsiTheme="minorHAnsi" w:cstheme="minorHAnsi"/>
          <w:sz w:val="22"/>
          <w:szCs w:val="22"/>
        </w:rPr>
        <w:t>ν</w:t>
      </w:r>
      <w:r w:rsidRPr="00F22A35">
        <w:rPr>
          <w:rFonts w:asciiTheme="minorHAnsi" w:hAnsiTheme="minorHAnsi" w:cstheme="minorHAnsi"/>
          <w:sz w:val="22"/>
          <w:szCs w:val="22"/>
        </w:rPr>
        <w:t xml:space="preserve"> αντίστοιχη περ</w:t>
      </w:r>
      <w:r w:rsidR="00890BF8">
        <w:rPr>
          <w:rFonts w:asciiTheme="minorHAnsi" w:hAnsiTheme="minorHAnsi" w:cstheme="minorHAnsi"/>
          <w:sz w:val="22"/>
          <w:szCs w:val="22"/>
        </w:rPr>
        <w:t>ίο</w:t>
      </w:r>
      <w:r w:rsidRPr="00F22A35">
        <w:rPr>
          <w:rFonts w:asciiTheme="minorHAnsi" w:hAnsiTheme="minorHAnsi" w:cstheme="minorHAnsi"/>
          <w:sz w:val="22"/>
          <w:szCs w:val="22"/>
        </w:rPr>
        <w:t>δο του 2021</w:t>
      </w:r>
      <w:r w:rsidR="00DF54BC">
        <w:rPr>
          <w:rFonts w:asciiTheme="minorHAnsi" w:hAnsiTheme="minorHAnsi" w:cstheme="minorHAnsi"/>
          <w:sz w:val="22"/>
          <w:szCs w:val="22"/>
        </w:rPr>
        <w:t>.</w:t>
      </w:r>
      <w:r w:rsidR="005628DF" w:rsidRPr="00F22A35">
        <w:rPr>
          <w:rFonts w:asciiTheme="minorHAnsi" w:hAnsiTheme="minorHAnsi" w:cstheme="minorHAnsi"/>
          <w:sz w:val="22"/>
          <w:szCs w:val="22"/>
        </w:rPr>
        <w:t xml:space="preserve"> </w:t>
      </w:r>
    </w:p>
    <w:p w14:paraId="67DA94AA" w14:textId="73E8C18B" w:rsidR="00960C1C" w:rsidRPr="00F22A35" w:rsidRDefault="006373AB" w:rsidP="00AB5A93">
      <w:pPr>
        <w:pStyle w:val="ListParagraph"/>
        <w:numPr>
          <w:ilvl w:val="0"/>
          <w:numId w:val="17"/>
        </w:numPr>
        <w:spacing w:line="276" w:lineRule="auto"/>
        <w:ind w:left="426" w:hanging="284"/>
        <w:rPr>
          <w:rFonts w:asciiTheme="minorHAnsi" w:hAnsiTheme="minorHAnsi" w:cstheme="minorHAnsi"/>
          <w:sz w:val="22"/>
          <w:szCs w:val="22"/>
        </w:rPr>
      </w:pPr>
      <w:r w:rsidRPr="00F22A35">
        <w:rPr>
          <w:rFonts w:asciiTheme="minorHAnsi" w:hAnsiTheme="minorHAnsi" w:cstheme="minorHAnsi"/>
          <w:sz w:val="22"/>
          <w:szCs w:val="22"/>
        </w:rPr>
        <w:t xml:space="preserve">Στον τομέα </w:t>
      </w:r>
      <w:r w:rsidR="001A64E7" w:rsidRPr="00F22A35">
        <w:rPr>
          <w:rFonts w:asciiTheme="minorHAnsi" w:hAnsiTheme="minorHAnsi" w:cstheme="minorHAnsi"/>
          <w:sz w:val="22"/>
          <w:szCs w:val="22"/>
        </w:rPr>
        <w:t xml:space="preserve">της </w:t>
      </w:r>
      <w:r w:rsidRPr="00F22A35">
        <w:rPr>
          <w:rFonts w:asciiTheme="minorHAnsi" w:hAnsiTheme="minorHAnsi" w:cstheme="minorHAnsi"/>
          <w:sz w:val="22"/>
          <w:szCs w:val="22"/>
        </w:rPr>
        <w:t xml:space="preserve">παραγωγής και εμπορίας ενέργειας (ηλεκτρισμού και φυσικού αερίου) στην Ελλάδα και το </w:t>
      </w:r>
      <w:r w:rsidR="00CC2D87" w:rsidRPr="00F22A35">
        <w:rPr>
          <w:rFonts w:asciiTheme="minorHAnsi" w:hAnsiTheme="minorHAnsi" w:cstheme="minorHAnsi"/>
          <w:sz w:val="22"/>
          <w:szCs w:val="22"/>
        </w:rPr>
        <w:t>ε</w:t>
      </w:r>
      <w:r w:rsidRPr="00F22A35">
        <w:rPr>
          <w:rFonts w:asciiTheme="minorHAnsi" w:hAnsiTheme="minorHAnsi" w:cstheme="minorHAnsi"/>
          <w:sz w:val="22"/>
          <w:szCs w:val="22"/>
        </w:rPr>
        <w:t>ξωτερικό</w:t>
      </w:r>
      <w:r w:rsidR="00105849" w:rsidRPr="00F22A35">
        <w:rPr>
          <w:rFonts w:asciiTheme="minorHAnsi" w:hAnsiTheme="minorHAnsi" w:cstheme="minorHAnsi"/>
          <w:sz w:val="22"/>
          <w:szCs w:val="22"/>
        </w:rPr>
        <w:t xml:space="preserve">, το </w:t>
      </w:r>
      <w:r w:rsidR="005628DF" w:rsidRPr="00F22A35">
        <w:rPr>
          <w:rFonts w:asciiTheme="minorHAnsi" w:hAnsiTheme="minorHAnsi" w:cstheme="minorHAnsi"/>
          <w:sz w:val="22"/>
          <w:szCs w:val="22"/>
        </w:rPr>
        <w:t xml:space="preserve">συνολικό </w:t>
      </w:r>
      <w:r w:rsidR="00B70D6D" w:rsidRPr="00F22A35">
        <w:rPr>
          <w:rFonts w:asciiTheme="minorHAnsi" w:hAnsiTheme="minorHAnsi" w:cstheme="minorHAnsi"/>
          <w:sz w:val="22"/>
          <w:szCs w:val="22"/>
        </w:rPr>
        <w:t xml:space="preserve">προσαρμοσμένο </w:t>
      </w:r>
      <w:r w:rsidR="00FE22E5" w:rsidRPr="00F22A35">
        <w:rPr>
          <w:rFonts w:asciiTheme="minorHAnsi" w:hAnsiTheme="minorHAnsi" w:cstheme="minorHAnsi"/>
          <w:sz w:val="22"/>
          <w:szCs w:val="22"/>
        </w:rPr>
        <w:t xml:space="preserve">EBITDA </w:t>
      </w:r>
      <w:r w:rsidR="00B70D6D" w:rsidRPr="00F22A35">
        <w:rPr>
          <w:rFonts w:asciiTheme="minorHAnsi" w:hAnsiTheme="minorHAnsi" w:cstheme="minorHAnsi"/>
          <w:sz w:val="22"/>
          <w:szCs w:val="22"/>
        </w:rPr>
        <w:t xml:space="preserve">διαμορφώθηκε </w:t>
      </w:r>
      <w:r w:rsidR="00105849" w:rsidRPr="00F22A35">
        <w:rPr>
          <w:rFonts w:asciiTheme="minorHAnsi" w:hAnsiTheme="minorHAnsi" w:cstheme="minorHAnsi"/>
          <w:sz w:val="22"/>
          <w:szCs w:val="22"/>
        </w:rPr>
        <w:t xml:space="preserve">στα </w:t>
      </w:r>
      <w:r w:rsidR="00FE22E5" w:rsidRPr="00F22A35">
        <w:rPr>
          <w:rFonts w:asciiTheme="minorHAnsi" w:hAnsiTheme="minorHAnsi" w:cstheme="minorHAnsi"/>
          <w:sz w:val="22"/>
          <w:szCs w:val="22"/>
        </w:rPr>
        <w:t xml:space="preserve">€ </w:t>
      </w:r>
      <w:r w:rsidR="00DE6331">
        <w:rPr>
          <w:rFonts w:asciiTheme="minorHAnsi" w:hAnsiTheme="minorHAnsi" w:cstheme="minorHAnsi"/>
          <w:sz w:val="22"/>
          <w:szCs w:val="22"/>
        </w:rPr>
        <w:t>496,6</w:t>
      </w:r>
      <w:r w:rsidR="00105849" w:rsidRPr="00F22A35">
        <w:rPr>
          <w:rFonts w:asciiTheme="minorHAnsi" w:hAnsiTheme="minorHAnsi" w:cstheme="minorHAnsi"/>
          <w:sz w:val="22"/>
          <w:szCs w:val="22"/>
        </w:rPr>
        <w:t xml:space="preserve"> εκ.</w:t>
      </w:r>
      <w:r w:rsidR="007740D4" w:rsidRPr="00F22A35">
        <w:rPr>
          <w:rFonts w:asciiTheme="minorHAnsi" w:hAnsiTheme="minorHAnsi" w:cstheme="minorHAnsi"/>
          <w:sz w:val="22"/>
          <w:szCs w:val="22"/>
        </w:rPr>
        <w:t xml:space="preserve"> έναντι € </w:t>
      </w:r>
      <w:r w:rsidR="00DE6331">
        <w:rPr>
          <w:rFonts w:asciiTheme="minorHAnsi" w:hAnsiTheme="minorHAnsi" w:cstheme="minorHAnsi"/>
          <w:sz w:val="22"/>
          <w:szCs w:val="22"/>
        </w:rPr>
        <w:t>194,7</w:t>
      </w:r>
      <w:r w:rsidR="007740D4" w:rsidRPr="00F22A35">
        <w:rPr>
          <w:rFonts w:asciiTheme="minorHAnsi" w:hAnsiTheme="minorHAnsi" w:cstheme="minorHAnsi"/>
          <w:sz w:val="22"/>
          <w:szCs w:val="22"/>
        </w:rPr>
        <w:t xml:space="preserve"> εκ</w:t>
      </w:r>
      <w:r w:rsidR="00C92232" w:rsidRPr="00F22A35">
        <w:rPr>
          <w:rFonts w:asciiTheme="minorHAnsi" w:hAnsiTheme="minorHAnsi" w:cstheme="minorHAnsi"/>
          <w:sz w:val="22"/>
          <w:szCs w:val="22"/>
        </w:rPr>
        <w:t>.</w:t>
      </w:r>
      <w:r w:rsidR="007740D4" w:rsidRPr="00F22A35">
        <w:rPr>
          <w:rFonts w:asciiTheme="minorHAnsi" w:hAnsiTheme="minorHAnsi" w:cstheme="minorHAnsi"/>
          <w:sz w:val="22"/>
          <w:szCs w:val="22"/>
        </w:rPr>
        <w:t xml:space="preserve"> </w:t>
      </w:r>
      <w:r w:rsidR="00DF54BC" w:rsidRPr="00F22A35">
        <w:rPr>
          <w:rFonts w:asciiTheme="minorHAnsi" w:hAnsiTheme="minorHAnsi" w:cstheme="minorHAnsi"/>
          <w:sz w:val="22"/>
          <w:szCs w:val="22"/>
        </w:rPr>
        <w:t>τη</w:t>
      </w:r>
      <w:r w:rsidR="00890BF8">
        <w:rPr>
          <w:rFonts w:asciiTheme="minorHAnsi" w:hAnsiTheme="minorHAnsi" w:cstheme="minorHAnsi"/>
          <w:sz w:val="22"/>
          <w:szCs w:val="22"/>
        </w:rPr>
        <w:t>ν</w:t>
      </w:r>
      <w:r w:rsidR="00DF54BC" w:rsidRPr="00F22A35">
        <w:rPr>
          <w:rFonts w:asciiTheme="minorHAnsi" w:hAnsiTheme="minorHAnsi" w:cstheme="minorHAnsi"/>
          <w:sz w:val="22"/>
          <w:szCs w:val="22"/>
        </w:rPr>
        <w:t xml:space="preserve"> αντίστοιχη περ</w:t>
      </w:r>
      <w:r w:rsidR="00890BF8">
        <w:rPr>
          <w:rFonts w:asciiTheme="minorHAnsi" w:hAnsiTheme="minorHAnsi" w:cstheme="minorHAnsi"/>
          <w:sz w:val="22"/>
          <w:szCs w:val="22"/>
        </w:rPr>
        <w:t>ίο</w:t>
      </w:r>
      <w:r w:rsidR="00DF54BC" w:rsidRPr="00F22A35">
        <w:rPr>
          <w:rFonts w:asciiTheme="minorHAnsi" w:hAnsiTheme="minorHAnsi" w:cstheme="minorHAnsi"/>
          <w:sz w:val="22"/>
          <w:szCs w:val="22"/>
        </w:rPr>
        <w:t>δο του 2021</w:t>
      </w:r>
      <w:r w:rsidR="00DF54BC">
        <w:rPr>
          <w:rFonts w:asciiTheme="minorHAnsi" w:hAnsiTheme="minorHAnsi" w:cstheme="minorHAnsi"/>
          <w:sz w:val="22"/>
          <w:szCs w:val="22"/>
        </w:rPr>
        <w:t>.</w:t>
      </w:r>
    </w:p>
    <w:p w14:paraId="04265F55" w14:textId="77777777" w:rsidR="005E4E27" w:rsidRPr="00F22A35" w:rsidRDefault="005E4E27" w:rsidP="00AB5A93">
      <w:pPr>
        <w:pStyle w:val="ListParagraph"/>
        <w:spacing w:line="276" w:lineRule="auto"/>
        <w:ind w:left="426"/>
        <w:rPr>
          <w:rFonts w:asciiTheme="minorHAnsi" w:hAnsiTheme="minorHAnsi" w:cstheme="minorHAnsi"/>
          <w:sz w:val="22"/>
          <w:szCs w:val="22"/>
        </w:rPr>
      </w:pPr>
    </w:p>
    <w:p w14:paraId="0FD535F6" w14:textId="2A128E71" w:rsidR="00A9204B" w:rsidRPr="00F22A35" w:rsidRDefault="00A9204B" w:rsidP="00AB5A93">
      <w:pPr>
        <w:jc w:val="both"/>
        <w:rPr>
          <w:rFonts w:asciiTheme="minorHAnsi" w:eastAsia="Times New Roman" w:hAnsiTheme="minorHAnsi" w:cstheme="minorHAnsi"/>
        </w:rPr>
      </w:pPr>
      <w:r w:rsidRPr="00F22A35">
        <w:rPr>
          <w:rFonts w:asciiTheme="minorHAnsi" w:eastAsia="Times New Roman" w:hAnsiTheme="minorHAnsi" w:cstheme="minorHAnsi"/>
          <w:b/>
          <w:bCs/>
        </w:rPr>
        <w:t>Τα Λ</w:t>
      </w:r>
      <w:r w:rsidRPr="00F22A35">
        <w:rPr>
          <w:rFonts w:asciiTheme="minorHAnsi" w:eastAsia="Times New Roman" w:hAnsiTheme="minorHAnsi" w:cstheme="minorHAnsi"/>
          <w:b/>
        </w:rPr>
        <w:t>ειτουργικά Αποτελέσματα προ τόκων και φόρων (</w:t>
      </w:r>
      <w:r w:rsidRPr="00F22A35">
        <w:rPr>
          <w:rFonts w:asciiTheme="minorHAnsi" w:eastAsia="Times New Roman" w:hAnsiTheme="minorHAnsi" w:cstheme="minorHAnsi"/>
          <w:b/>
          <w:lang w:val="en-US"/>
        </w:rPr>
        <w:t>EBIT</w:t>
      </w:r>
      <w:r w:rsidRPr="00F22A35">
        <w:rPr>
          <w:rFonts w:asciiTheme="minorHAnsi" w:eastAsia="Times New Roman" w:hAnsiTheme="minorHAnsi" w:cstheme="minorHAnsi"/>
          <w:b/>
        </w:rPr>
        <w:t>)</w:t>
      </w:r>
      <w:r w:rsidR="007B2F72" w:rsidRPr="00F22A35">
        <w:rPr>
          <w:rFonts w:asciiTheme="minorHAnsi" w:eastAsia="Times New Roman" w:hAnsiTheme="minorHAnsi" w:cstheme="minorHAnsi"/>
          <w:b/>
          <w:vertAlign w:val="superscript"/>
        </w:rPr>
        <w:t>1</w:t>
      </w:r>
      <w:r w:rsidRPr="00F22A35">
        <w:rPr>
          <w:rFonts w:asciiTheme="minorHAnsi" w:eastAsia="Times New Roman" w:hAnsiTheme="minorHAnsi" w:cstheme="minorHAnsi"/>
        </w:rPr>
        <w:t xml:space="preserve"> από συνεχιζόμενες δραστηριότητες διαμορφώθηκαν σε € </w:t>
      </w:r>
      <w:r w:rsidR="00065030">
        <w:rPr>
          <w:rFonts w:asciiTheme="minorHAnsi" w:eastAsia="Times New Roman" w:hAnsiTheme="minorHAnsi" w:cstheme="minorHAnsi"/>
        </w:rPr>
        <w:t>415</w:t>
      </w:r>
      <w:r w:rsidR="009067B1" w:rsidRPr="00F22A35">
        <w:rPr>
          <w:rFonts w:asciiTheme="minorHAnsi" w:eastAsia="Times New Roman" w:hAnsiTheme="minorHAnsi" w:cstheme="minorHAnsi"/>
        </w:rPr>
        <w:t>,8</w:t>
      </w:r>
      <w:r w:rsidRPr="00F22A35">
        <w:rPr>
          <w:rFonts w:asciiTheme="minorHAnsi" w:eastAsia="Times New Roman" w:hAnsiTheme="minorHAnsi" w:cstheme="minorHAnsi"/>
        </w:rPr>
        <w:t xml:space="preserve"> εκ. έναντι € </w:t>
      </w:r>
      <w:r w:rsidR="00065030">
        <w:rPr>
          <w:rFonts w:asciiTheme="minorHAnsi" w:eastAsia="Times New Roman" w:hAnsiTheme="minorHAnsi" w:cstheme="minorHAnsi"/>
        </w:rPr>
        <w:t>192</w:t>
      </w:r>
      <w:r w:rsidR="00407243" w:rsidRPr="00F22A35">
        <w:rPr>
          <w:rFonts w:asciiTheme="minorHAnsi" w:eastAsia="Times New Roman" w:hAnsiTheme="minorHAnsi" w:cstheme="minorHAnsi"/>
        </w:rPr>
        <w:t>,</w:t>
      </w:r>
      <w:r w:rsidR="00065030">
        <w:rPr>
          <w:rFonts w:asciiTheme="minorHAnsi" w:eastAsia="Times New Roman" w:hAnsiTheme="minorHAnsi" w:cstheme="minorHAnsi"/>
        </w:rPr>
        <w:t>5</w:t>
      </w:r>
      <w:r w:rsidRPr="00F22A35">
        <w:rPr>
          <w:rFonts w:asciiTheme="minorHAnsi" w:eastAsia="Times New Roman" w:hAnsiTheme="minorHAnsi" w:cstheme="minorHAnsi"/>
        </w:rPr>
        <w:t xml:space="preserve"> εκ. την αντίστοιχη</w:t>
      </w:r>
      <w:r w:rsidR="00407243" w:rsidRPr="00F22A35">
        <w:rPr>
          <w:rFonts w:asciiTheme="minorHAnsi" w:eastAsia="Times New Roman" w:hAnsiTheme="minorHAnsi" w:cstheme="minorHAnsi"/>
        </w:rPr>
        <w:t xml:space="preserve"> </w:t>
      </w:r>
      <w:r w:rsidRPr="00F22A35">
        <w:rPr>
          <w:rFonts w:asciiTheme="minorHAnsi" w:eastAsia="Times New Roman" w:hAnsiTheme="minorHAnsi" w:cstheme="minorHAnsi"/>
        </w:rPr>
        <w:t>περίοδο του 2021</w:t>
      </w:r>
      <w:r w:rsidR="00893206" w:rsidRPr="00F22A35">
        <w:rPr>
          <w:rFonts w:asciiTheme="minorHAnsi" w:eastAsia="Times New Roman" w:hAnsiTheme="minorHAnsi" w:cstheme="minorHAnsi"/>
        </w:rPr>
        <w:t>.</w:t>
      </w:r>
    </w:p>
    <w:p w14:paraId="47190424" w14:textId="24EF5527" w:rsidR="00A9204B" w:rsidRPr="00F22A35" w:rsidRDefault="00A9204B" w:rsidP="00AB5A93">
      <w:pPr>
        <w:jc w:val="both"/>
        <w:rPr>
          <w:rFonts w:asciiTheme="minorHAnsi" w:eastAsia="Times New Roman" w:hAnsiTheme="minorHAnsi" w:cstheme="minorHAnsi"/>
        </w:rPr>
      </w:pPr>
      <w:r w:rsidRPr="00F22A35">
        <w:rPr>
          <w:rFonts w:asciiTheme="minorHAnsi" w:eastAsia="Times New Roman" w:hAnsiTheme="minorHAnsi" w:cstheme="minorHAnsi"/>
          <w:b/>
          <w:bCs/>
        </w:rPr>
        <w:t>Τα Κέρδη προ φόρων από συνεχιζόμενες δραστηριότητες</w:t>
      </w:r>
      <w:r w:rsidRPr="00F22A35">
        <w:rPr>
          <w:rFonts w:asciiTheme="minorHAnsi" w:eastAsia="Times New Roman" w:hAnsiTheme="minorHAnsi" w:cstheme="minorHAnsi"/>
        </w:rPr>
        <w:t xml:space="preserve"> διαμορφώθηκαν σε € </w:t>
      </w:r>
      <w:r w:rsidR="00065030">
        <w:rPr>
          <w:rFonts w:asciiTheme="minorHAnsi" w:eastAsia="Times New Roman" w:hAnsiTheme="minorHAnsi" w:cstheme="minorHAnsi"/>
        </w:rPr>
        <w:t>243</w:t>
      </w:r>
      <w:r w:rsidR="00407243" w:rsidRPr="00F22A35">
        <w:rPr>
          <w:rFonts w:asciiTheme="minorHAnsi" w:eastAsia="Times New Roman" w:hAnsiTheme="minorHAnsi" w:cstheme="minorHAnsi"/>
        </w:rPr>
        <w:t>,</w:t>
      </w:r>
      <w:r w:rsidR="00065030">
        <w:rPr>
          <w:rFonts w:asciiTheme="minorHAnsi" w:eastAsia="Times New Roman" w:hAnsiTheme="minorHAnsi" w:cstheme="minorHAnsi"/>
        </w:rPr>
        <w:t>3</w:t>
      </w:r>
      <w:r w:rsidR="00551301" w:rsidRPr="00F22A35">
        <w:rPr>
          <w:rFonts w:asciiTheme="minorHAnsi" w:eastAsia="Times New Roman" w:hAnsiTheme="minorHAnsi" w:cstheme="minorHAnsi"/>
        </w:rPr>
        <w:t xml:space="preserve"> </w:t>
      </w:r>
      <w:r w:rsidRPr="00F22A35">
        <w:rPr>
          <w:rFonts w:asciiTheme="minorHAnsi" w:eastAsia="Times New Roman" w:hAnsiTheme="minorHAnsi" w:cstheme="minorHAnsi"/>
        </w:rPr>
        <w:t xml:space="preserve">εκ. έναντι € </w:t>
      </w:r>
      <w:r w:rsidR="00065030">
        <w:rPr>
          <w:rFonts w:asciiTheme="minorHAnsi" w:eastAsia="Times New Roman" w:hAnsiTheme="minorHAnsi" w:cstheme="minorHAnsi"/>
        </w:rPr>
        <w:t>145,6</w:t>
      </w:r>
      <w:r w:rsidR="00551301" w:rsidRPr="00F22A35">
        <w:rPr>
          <w:rFonts w:asciiTheme="minorHAnsi" w:eastAsia="Times New Roman" w:hAnsiTheme="minorHAnsi" w:cstheme="minorHAnsi"/>
        </w:rPr>
        <w:t xml:space="preserve"> </w:t>
      </w:r>
      <w:r w:rsidRPr="00F22A35">
        <w:rPr>
          <w:rFonts w:asciiTheme="minorHAnsi" w:eastAsia="Times New Roman" w:hAnsiTheme="minorHAnsi" w:cstheme="minorHAnsi"/>
        </w:rPr>
        <w:t xml:space="preserve">εκ. την αντίστοιχη περίοδο του 2021. </w:t>
      </w:r>
    </w:p>
    <w:p w14:paraId="4A573C30" w14:textId="4F43B93D" w:rsidR="00E41F10" w:rsidRPr="00F22A35" w:rsidRDefault="00E41F10" w:rsidP="00AB5A93">
      <w:pPr>
        <w:jc w:val="both"/>
        <w:rPr>
          <w:rFonts w:asciiTheme="minorHAnsi" w:eastAsia="Times New Roman" w:hAnsiTheme="minorHAnsi" w:cstheme="minorHAnsi"/>
          <w:bCs/>
        </w:rPr>
      </w:pPr>
      <w:r w:rsidRPr="00F22A35">
        <w:rPr>
          <w:rFonts w:asciiTheme="minorHAnsi" w:eastAsia="Times New Roman" w:hAnsiTheme="minorHAnsi" w:cstheme="minorHAnsi"/>
          <w:b/>
          <w:bCs/>
        </w:rPr>
        <w:t xml:space="preserve">Τα Κέρδη μετά από φόρους από συνεχιζόμενες δραστηριότητες που κατανέμονται στους ιδιοκτήτες της Μητρικής </w:t>
      </w:r>
      <w:r w:rsidRPr="00F22A35">
        <w:rPr>
          <w:rFonts w:asciiTheme="minorHAnsi" w:eastAsia="Times New Roman" w:hAnsiTheme="minorHAnsi" w:cstheme="minorHAnsi"/>
          <w:bCs/>
        </w:rPr>
        <w:t xml:space="preserve">διαμορφώθηκαν σε </w:t>
      </w:r>
      <w:r w:rsidR="00170FD7" w:rsidRPr="00F22A35">
        <w:rPr>
          <w:rFonts w:asciiTheme="minorHAnsi" w:eastAsia="Times New Roman" w:hAnsiTheme="minorHAnsi" w:cstheme="minorHAnsi"/>
          <w:bCs/>
        </w:rPr>
        <w:t xml:space="preserve">€ </w:t>
      </w:r>
      <w:r w:rsidR="00065030">
        <w:rPr>
          <w:rFonts w:asciiTheme="minorHAnsi" w:eastAsia="Times New Roman" w:hAnsiTheme="minorHAnsi" w:cstheme="minorHAnsi"/>
          <w:bCs/>
        </w:rPr>
        <w:t>13</w:t>
      </w:r>
      <w:r w:rsidR="00AA5D5B">
        <w:rPr>
          <w:rFonts w:asciiTheme="minorHAnsi" w:eastAsia="Times New Roman" w:hAnsiTheme="minorHAnsi" w:cstheme="minorHAnsi"/>
          <w:bCs/>
        </w:rPr>
        <w:t>6</w:t>
      </w:r>
      <w:r w:rsidR="00065030">
        <w:rPr>
          <w:rFonts w:asciiTheme="minorHAnsi" w:eastAsia="Times New Roman" w:hAnsiTheme="minorHAnsi" w:cstheme="minorHAnsi"/>
          <w:bCs/>
        </w:rPr>
        <w:t>,5</w:t>
      </w:r>
      <w:r w:rsidR="00170FD7" w:rsidRPr="00F22A35">
        <w:rPr>
          <w:rFonts w:asciiTheme="minorHAnsi" w:eastAsia="Times New Roman" w:hAnsiTheme="minorHAnsi" w:cstheme="minorHAnsi"/>
          <w:bCs/>
        </w:rPr>
        <w:t xml:space="preserve"> </w:t>
      </w:r>
      <w:r w:rsidRPr="00F22A35">
        <w:rPr>
          <w:rFonts w:asciiTheme="minorHAnsi" w:eastAsia="Times New Roman" w:hAnsiTheme="minorHAnsi" w:cstheme="minorHAnsi"/>
          <w:bCs/>
        </w:rPr>
        <w:t xml:space="preserve">εκ. για το 2022 έναντι </w:t>
      </w:r>
      <w:r w:rsidR="00170FD7" w:rsidRPr="00F22A35">
        <w:rPr>
          <w:rFonts w:asciiTheme="minorHAnsi" w:eastAsia="Times New Roman" w:hAnsiTheme="minorHAnsi" w:cstheme="minorHAnsi"/>
          <w:bCs/>
        </w:rPr>
        <w:t>€</w:t>
      </w:r>
      <w:r w:rsidRPr="00F22A35">
        <w:rPr>
          <w:rFonts w:asciiTheme="minorHAnsi" w:eastAsia="Times New Roman" w:hAnsiTheme="minorHAnsi" w:cstheme="minorHAnsi"/>
          <w:bCs/>
        </w:rPr>
        <w:t xml:space="preserve"> </w:t>
      </w:r>
      <w:r w:rsidR="00065030">
        <w:rPr>
          <w:rFonts w:asciiTheme="minorHAnsi" w:eastAsia="Times New Roman" w:hAnsiTheme="minorHAnsi" w:cstheme="minorHAnsi"/>
          <w:bCs/>
        </w:rPr>
        <w:t>85,1</w:t>
      </w:r>
      <w:r w:rsidRPr="00F22A35">
        <w:rPr>
          <w:rFonts w:asciiTheme="minorHAnsi" w:eastAsia="Times New Roman" w:hAnsiTheme="minorHAnsi" w:cstheme="minorHAnsi"/>
          <w:bCs/>
        </w:rPr>
        <w:t xml:space="preserve"> εκ. για την αντίστοιχη περίοδο του 2021. </w:t>
      </w:r>
    </w:p>
    <w:p w14:paraId="6486B921" w14:textId="5291186A" w:rsidR="009D7ACE" w:rsidRPr="00F22A35" w:rsidRDefault="009D7ACE" w:rsidP="00AB5A93">
      <w:pPr>
        <w:jc w:val="both"/>
        <w:rPr>
          <w:rFonts w:asciiTheme="minorHAnsi" w:eastAsia="Times New Roman" w:hAnsiTheme="minorHAnsi" w:cstheme="minorHAnsi"/>
          <w:bCs/>
        </w:rPr>
      </w:pPr>
      <w:r w:rsidRPr="00F22A35">
        <w:rPr>
          <w:rFonts w:asciiTheme="minorHAnsi" w:eastAsia="Times New Roman" w:hAnsiTheme="minorHAnsi" w:cstheme="minorHAnsi"/>
        </w:rPr>
        <w:t xml:space="preserve">Στα αποτελέσματα μετά τους φόρους και τα δικαιώματα μειοψηφίας </w:t>
      </w:r>
      <w:r w:rsidR="00065030">
        <w:rPr>
          <w:rFonts w:asciiTheme="minorHAnsi" w:eastAsia="Times New Roman" w:hAnsiTheme="minorHAnsi" w:cstheme="minorHAnsi"/>
        </w:rPr>
        <w:t>του</w:t>
      </w:r>
      <w:r w:rsidRPr="00F22A35">
        <w:rPr>
          <w:rFonts w:asciiTheme="minorHAnsi" w:eastAsia="Times New Roman" w:hAnsiTheme="minorHAnsi" w:cstheme="minorHAnsi"/>
        </w:rPr>
        <w:t xml:space="preserve"> 2022 έχουν συμπεριληφθεί </w:t>
      </w:r>
      <w:r w:rsidR="00AA5D5B">
        <w:rPr>
          <w:rFonts w:asciiTheme="minorHAnsi" w:eastAsia="Times New Roman" w:hAnsiTheme="minorHAnsi" w:cstheme="minorHAnsi"/>
        </w:rPr>
        <w:t xml:space="preserve">μη </w:t>
      </w:r>
      <w:r w:rsidRPr="00F22A35">
        <w:rPr>
          <w:rFonts w:asciiTheme="minorHAnsi" w:eastAsia="Times New Roman" w:hAnsiTheme="minorHAnsi" w:cstheme="minorHAnsi"/>
        </w:rPr>
        <w:t>λειτουργικά αποτελέσματα</w:t>
      </w:r>
      <w:r w:rsidRPr="00F22A35">
        <w:rPr>
          <w:rStyle w:val="FootnoteReference"/>
          <w:rFonts w:asciiTheme="minorHAnsi" w:eastAsia="Times New Roman" w:hAnsiTheme="minorHAnsi" w:cstheme="minorHAnsi"/>
        </w:rPr>
        <w:footnoteReference w:id="4"/>
      </w:r>
      <w:r w:rsidRPr="00F22A35">
        <w:rPr>
          <w:rFonts w:asciiTheme="minorHAnsi" w:eastAsia="Times New Roman" w:hAnsiTheme="minorHAnsi" w:cstheme="minorHAnsi"/>
        </w:rPr>
        <w:t xml:space="preserve"> συνολικού ποσού (ζημιά) €</w:t>
      </w:r>
      <w:r w:rsidR="00DF54BC">
        <w:rPr>
          <w:rFonts w:asciiTheme="minorHAnsi" w:eastAsia="Times New Roman" w:hAnsiTheme="minorHAnsi" w:cstheme="minorHAnsi"/>
        </w:rPr>
        <w:t xml:space="preserve"> </w:t>
      </w:r>
      <w:r w:rsidR="00453F50">
        <w:rPr>
          <w:rFonts w:asciiTheme="minorHAnsi" w:eastAsia="Times New Roman" w:hAnsiTheme="minorHAnsi" w:cstheme="minorHAnsi"/>
        </w:rPr>
        <w:t>37,9</w:t>
      </w:r>
      <w:r w:rsidRPr="00F22A35">
        <w:rPr>
          <w:rFonts w:asciiTheme="minorHAnsi" w:eastAsia="Times New Roman" w:hAnsiTheme="minorHAnsi" w:cstheme="minorHAnsi"/>
        </w:rPr>
        <w:t xml:space="preserve"> εκ. έναντι </w:t>
      </w:r>
      <w:r w:rsidR="00065030">
        <w:rPr>
          <w:rFonts w:asciiTheme="minorHAnsi" w:eastAsia="Times New Roman" w:hAnsiTheme="minorHAnsi" w:cstheme="minorHAnsi"/>
        </w:rPr>
        <w:t>κέρδους</w:t>
      </w:r>
      <w:r w:rsidRPr="00F22A35">
        <w:rPr>
          <w:rFonts w:asciiTheme="minorHAnsi" w:eastAsia="Times New Roman" w:hAnsiTheme="minorHAnsi" w:cstheme="minorHAnsi"/>
        </w:rPr>
        <w:t xml:space="preserve"> € </w:t>
      </w:r>
      <w:r w:rsidR="00453F50">
        <w:rPr>
          <w:rFonts w:asciiTheme="minorHAnsi" w:eastAsia="Times New Roman" w:hAnsiTheme="minorHAnsi" w:cstheme="minorHAnsi"/>
        </w:rPr>
        <w:t>51,5</w:t>
      </w:r>
      <w:r w:rsidRPr="00F22A35">
        <w:rPr>
          <w:rFonts w:asciiTheme="minorHAnsi" w:eastAsia="Times New Roman" w:hAnsiTheme="minorHAnsi" w:cstheme="minorHAnsi"/>
        </w:rPr>
        <w:t xml:space="preserve"> εκ. την αντίστοιχη περίοδο του 2021. </w:t>
      </w:r>
    </w:p>
    <w:p w14:paraId="71672480" w14:textId="0CA27351" w:rsidR="00E41F10" w:rsidRPr="00065030" w:rsidRDefault="00E41F10" w:rsidP="00AB5A93">
      <w:pPr>
        <w:jc w:val="both"/>
        <w:rPr>
          <w:rFonts w:asciiTheme="minorHAnsi" w:eastAsia="Times New Roman" w:hAnsiTheme="minorHAnsi" w:cstheme="minorHAnsi"/>
          <w:b/>
          <w:bCs/>
        </w:rPr>
      </w:pPr>
      <w:r w:rsidRPr="00065030">
        <w:rPr>
          <w:rFonts w:asciiTheme="minorHAnsi" w:eastAsia="Times New Roman" w:hAnsiTheme="minorHAnsi" w:cstheme="minorHAnsi"/>
          <w:b/>
          <w:bCs/>
        </w:rPr>
        <w:t xml:space="preserve">Τα αντίστοιχα Κέρδη μετά από φόρους από συνεχιζόμενες δραστηριότητες χωρίς την επίδραση </w:t>
      </w:r>
      <w:r w:rsidR="009D7ACE" w:rsidRPr="00065030">
        <w:rPr>
          <w:rFonts w:asciiTheme="minorHAnsi" w:eastAsia="Times New Roman" w:hAnsiTheme="minorHAnsi" w:cstheme="minorHAnsi"/>
          <w:b/>
          <w:bCs/>
        </w:rPr>
        <w:t xml:space="preserve">των ανωτέρω </w:t>
      </w:r>
      <w:r w:rsidRPr="00065030">
        <w:rPr>
          <w:rFonts w:asciiTheme="minorHAnsi" w:eastAsia="Times New Roman" w:hAnsiTheme="minorHAnsi" w:cstheme="minorHAnsi"/>
          <w:b/>
          <w:bCs/>
        </w:rPr>
        <w:t>μη λειτουργικών αποτελεσμάτων</w:t>
      </w:r>
      <w:r w:rsidR="00B151C8">
        <w:rPr>
          <w:rFonts w:asciiTheme="minorHAnsi" w:eastAsia="Times New Roman" w:hAnsiTheme="minorHAnsi" w:cstheme="minorHAnsi"/>
          <w:b/>
          <w:bCs/>
          <w:vertAlign w:val="superscript"/>
        </w:rPr>
        <w:t>3</w:t>
      </w:r>
      <w:r w:rsidR="009067B1" w:rsidRPr="00065030">
        <w:rPr>
          <w:rFonts w:asciiTheme="minorHAnsi" w:eastAsia="Times New Roman" w:hAnsiTheme="minorHAnsi" w:cstheme="minorHAnsi"/>
          <w:b/>
          <w:bCs/>
        </w:rPr>
        <w:t xml:space="preserve"> που αναλογούν στους μετόχους της μητρικής</w:t>
      </w:r>
      <w:r w:rsidRPr="00065030">
        <w:rPr>
          <w:rFonts w:asciiTheme="minorHAnsi" w:eastAsia="Times New Roman" w:hAnsiTheme="minorHAnsi" w:cstheme="minorHAnsi"/>
          <w:b/>
          <w:bCs/>
        </w:rPr>
        <w:t xml:space="preserve">, διαμορφώθηκαν </w:t>
      </w:r>
      <w:r w:rsidR="00737647" w:rsidRPr="00065030">
        <w:rPr>
          <w:rFonts w:asciiTheme="minorHAnsi" w:eastAsia="Times New Roman" w:hAnsiTheme="minorHAnsi" w:cstheme="minorHAnsi"/>
          <w:b/>
          <w:bCs/>
        </w:rPr>
        <w:t xml:space="preserve">σε </w:t>
      </w:r>
      <w:r w:rsidRPr="00065030">
        <w:rPr>
          <w:rFonts w:asciiTheme="minorHAnsi" w:eastAsia="Times New Roman" w:hAnsiTheme="minorHAnsi" w:cstheme="minorHAnsi"/>
          <w:b/>
          <w:bCs/>
        </w:rPr>
        <w:t xml:space="preserve">€ </w:t>
      </w:r>
      <w:r w:rsidR="00065030" w:rsidRPr="00065030">
        <w:rPr>
          <w:rFonts w:asciiTheme="minorHAnsi" w:eastAsia="Times New Roman" w:hAnsiTheme="minorHAnsi" w:cstheme="minorHAnsi"/>
          <w:b/>
          <w:bCs/>
        </w:rPr>
        <w:t>174</w:t>
      </w:r>
      <w:r w:rsidR="009067B1" w:rsidRPr="00065030">
        <w:rPr>
          <w:rFonts w:asciiTheme="minorHAnsi" w:eastAsia="Times New Roman" w:hAnsiTheme="minorHAnsi" w:cstheme="minorHAnsi"/>
          <w:b/>
          <w:bCs/>
        </w:rPr>
        <w:t>,</w:t>
      </w:r>
      <w:r w:rsidR="00065030" w:rsidRPr="00065030">
        <w:rPr>
          <w:rFonts w:asciiTheme="minorHAnsi" w:eastAsia="Times New Roman" w:hAnsiTheme="minorHAnsi" w:cstheme="minorHAnsi"/>
          <w:b/>
          <w:bCs/>
        </w:rPr>
        <w:t>4</w:t>
      </w:r>
      <w:r w:rsidRPr="00065030">
        <w:rPr>
          <w:rFonts w:asciiTheme="minorHAnsi" w:eastAsia="Times New Roman" w:hAnsiTheme="minorHAnsi" w:cstheme="minorHAnsi"/>
          <w:b/>
          <w:bCs/>
        </w:rPr>
        <w:t xml:space="preserve"> εκ., έναντι € </w:t>
      </w:r>
      <w:r w:rsidR="00065030" w:rsidRPr="00065030">
        <w:rPr>
          <w:rFonts w:asciiTheme="minorHAnsi" w:eastAsia="Times New Roman" w:hAnsiTheme="minorHAnsi" w:cstheme="minorHAnsi"/>
          <w:b/>
          <w:bCs/>
        </w:rPr>
        <w:t>33,1</w:t>
      </w:r>
      <w:r w:rsidRPr="00065030">
        <w:rPr>
          <w:rFonts w:asciiTheme="minorHAnsi" w:eastAsia="Times New Roman" w:hAnsiTheme="minorHAnsi" w:cstheme="minorHAnsi"/>
          <w:b/>
          <w:bCs/>
        </w:rPr>
        <w:t xml:space="preserve"> εκ. </w:t>
      </w:r>
      <w:r w:rsidR="00065030" w:rsidRPr="00065030">
        <w:rPr>
          <w:rFonts w:asciiTheme="minorHAnsi" w:eastAsia="Times New Roman" w:hAnsiTheme="minorHAnsi" w:cstheme="minorHAnsi"/>
          <w:b/>
          <w:bCs/>
        </w:rPr>
        <w:t>για το</w:t>
      </w:r>
      <w:r w:rsidRPr="00065030">
        <w:rPr>
          <w:rFonts w:asciiTheme="minorHAnsi" w:eastAsia="Times New Roman" w:hAnsiTheme="minorHAnsi" w:cstheme="minorHAnsi"/>
          <w:b/>
          <w:bCs/>
        </w:rPr>
        <w:t xml:space="preserve"> 2021.</w:t>
      </w:r>
    </w:p>
    <w:p w14:paraId="64D056B5" w14:textId="77B0443E" w:rsidR="00065030" w:rsidRDefault="00E932B0" w:rsidP="00AB5A93">
      <w:pPr>
        <w:jc w:val="both"/>
        <w:rPr>
          <w:rFonts w:asciiTheme="minorHAnsi" w:eastAsia="Times New Roman" w:hAnsiTheme="minorHAnsi" w:cstheme="minorHAnsi"/>
          <w:b/>
          <w:bCs/>
        </w:rPr>
      </w:pPr>
      <w:r w:rsidRPr="00E932B0">
        <w:rPr>
          <w:rFonts w:asciiTheme="minorHAnsi" w:eastAsia="Times New Roman" w:hAnsiTheme="minorHAnsi" w:cstheme="minorHAnsi"/>
          <w:b/>
          <w:bCs/>
        </w:rPr>
        <w:t xml:space="preserve">Οι συνολικές επενδύσεις του Ομίλου </w:t>
      </w:r>
      <w:r w:rsidR="00065030" w:rsidRPr="00065030">
        <w:rPr>
          <w:rFonts w:asciiTheme="minorHAnsi" w:eastAsia="Times New Roman" w:hAnsiTheme="minorHAnsi" w:cstheme="minorHAnsi"/>
          <w:b/>
          <w:bCs/>
        </w:rPr>
        <w:t xml:space="preserve">για το 2022 </w:t>
      </w:r>
      <w:r w:rsidRPr="00E932B0">
        <w:rPr>
          <w:rFonts w:asciiTheme="minorHAnsi" w:eastAsia="Times New Roman" w:hAnsiTheme="minorHAnsi" w:cstheme="minorHAnsi"/>
          <w:b/>
          <w:bCs/>
        </w:rPr>
        <w:t xml:space="preserve">ανήλθαν </w:t>
      </w:r>
      <w:r w:rsidR="00065030" w:rsidRPr="00065030">
        <w:rPr>
          <w:rFonts w:asciiTheme="minorHAnsi" w:eastAsia="Times New Roman" w:hAnsiTheme="minorHAnsi" w:cstheme="minorHAnsi"/>
          <w:b/>
          <w:bCs/>
        </w:rPr>
        <w:t>σε 338,4  εκατ. ευρώ, έναντι 245,6 εκατ. ευρώ την αντίστοιχη περίοδο του 2021</w:t>
      </w:r>
      <w:r w:rsidRPr="00CF684A">
        <w:rPr>
          <w:rFonts w:asciiTheme="minorHAnsi" w:eastAsia="Times New Roman" w:hAnsiTheme="minorHAnsi" w:cstheme="minorHAnsi"/>
        </w:rPr>
        <w:t>,</w:t>
      </w:r>
      <w:r w:rsidR="00065030" w:rsidRPr="00CF684A">
        <w:rPr>
          <w:rFonts w:asciiTheme="minorHAnsi" w:eastAsia="Times New Roman" w:hAnsiTheme="minorHAnsi" w:cstheme="minorHAnsi"/>
        </w:rPr>
        <w:t xml:space="preserve"> </w:t>
      </w:r>
      <w:r w:rsidRPr="00CF684A">
        <w:rPr>
          <w:rFonts w:asciiTheme="minorHAnsi" w:eastAsia="Times New Roman" w:hAnsiTheme="minorHAnsi" w:cstheme="minorHAnsi"/>
        </w:rPr>
        <w:t>κατευθυνόμενες κυρίως στον τομέα</w:t>
      </w:r>
      <w:r w:rsidRPr="00E932B0">
        <w:rPr>
          <w:rFonts w:asciiTheme="minorHAnsi" w:eastAsia="Times New Roman" w:hAnsiTheme="minorHAnsi" w:cstheme="minorHAnsi"/>
          <w:b/>
          <w:bCs/>
        </w:rPr>
        <w:t xml:space="preserve"> </w:t>
      </w:r>
      <w:r w:rsidR="005F5DBB">
        <w:rPr>
          <w:rFonts w:asciiTheme="minorHAnsi" w:eastAsia="Times New Roman" w:hAnsiTheme="minorHAnsi" w:cstheme="minorHAnsi"/>
        </w:rPr>
        <w:t>της</w:t>
      </w:r>
      <w:r w:rsidR="00065030" w:rsidRPr="00065030">
        <w:rPr>
          <w:rFonts w:asciiTheme="minorHAnsi" w:eastAsia="Times New Roman" w:hAnsiTheme="minorHAnsi" w:cstheme="minorHAnsi"/>
        </w:rPr>
        <w:t xml:space="preserve"> </w:t>
      </w:r>
      <w:r w:rsidR="00B71374">
        <w:rPr>
          <w:rFonts w:asciiTheme="minorHAnsi" w:eastAsia="Times New Roman" w:hAnsiTheme="minorHAnsi" w:cstheme="minorHAnsi"/>
        </w:rPr>
        <w:t>ε</w:t>
      </w:r>
      <w:r w:rsidR="00AA5D5B">
        <w:rPr>
          <w:rFonts w:asciiTheme="minorHAnsi" w:eastAsia="Times New Roman" w:hAnsiTheme="minorHAnsi" w:cstheme="minorHAnsi"/>
        </w:rPr>
        <w:t>νέργειας</w:t>
      </w:r>
      <w:r w:rsidR="00065030" w:rsidRPr="00065030">
        <w:rPr>
          <w:rFonts w:asciiTheme="minorHAnsi" w:eastAsia="Times New Roman" w:hAnsiTheme="minorHAnsi" w:cstheme="minorHAnsi"/>
        </w:rPr>
        <w:t xml:space="preserve">, καθώς και </w:t>
      </w:r>
      <w:r w:rsidR="00B71374">
        <w:rPr>
          <w:rFonts w:asciiTheme="minorHAnsi" w:eastAsia="Times New Roman" w:hAnsiTheme="minorHAnsi" w:cstheme="minorHAnsi"/>
        </w:rPr>
        <w:t>ένα τμήμα</w:t>
      </w:r>
      <w:r w:rsidR="00115F30">
        <w:rPr>
          <w:rFonts w:asciiTheme="minorHAnsi" w:eastAsia="Times New Roman" w:hAnsiTheme="minorHAnsi" w:cstheme="minorHAnsi"/>
        </w:rPr>
        <w:t xml:space="preserve"> αυτών</w:t>
      </w:r>
      <w:r w:rsidR="00B71374">
        <w:rPr>
          <w:rFonts w:asciiTheme="minorHAnsi" w:eastAsia="Times New Roman" w:hAnsiTheme="minorHAnsi" w:cstheme="minorHAnsi"/>
        </w:rPr>
        <w:t xml:space="preserve"> </w:t>
      </w:r>
      <w:r w:rsidR="00065030" w:rsidRPr="00065030">
        <w:rPr>
          <w:rFonts w:asciiTheme="minorHAnsi" w:eastAsia="Times New Roman" w:hAnsiTheme="minorHAnsi" w:cstheme="minorHAnsi"/>
        </w:rPr>
        <w:t>στην εκμετάλλευση ακινήτων.</w:t>
      </w:r>
    </w:p>
    <w:p w14:paraId="4321EF7C" w14:textId="5BEB033B" w:rsidR="00586B48" w:rsidRPr="00F22A35" w:rsidRDefault="003C340F" w:rsidP="00AB5A93">
      <w:pPr>
        <w:jc w:val="both"/>
        <w:rPr>
          <w:rFonts w:asciiTheme="minorHAnsi" w:eastAsia="Times New Roman" w:hAnsiTheme="minorHAnsi" w:cstheme="minorHAnsi"/>
        </w:rPr>
      </w:pPr>
      <w:r w:rsidRPr="00F22A35">
        <w:rPr>
          <w:rFonts w:asciiTheme="minorHAnsi" w:eastAsia="Times New Roman" w:hAnsiTheme="minorHAnsi" w:cstheme="minorHAnsi"/>
          <w:bCs/>
        </w:rPr>
        <w:t xml:space="preserve">Οι συνολικές δανειακές υποχρεώσεις του Ομίλου </w:t>
      </w:r>
      <w:r w:rsidR="00737647" w:rsidRPr="00F22A35">
        <w:rPr>
          <w:rFonts w:asciiTheme="minorHAnsi" w:eastAsia="Times New Roman" w:hAnsiTheme="minorHAnsi" w:cstheme="minorHAnsi"/>
          <w:bCs/>
        </w:rPr>
        <w:t>στις</w:t>
      </w:r>
      <w:r w:rsidRPr="00F22A35">
        <w:rPr>
          <w:rFonts w:asciiTheme="minorHAnsi" w:eastAsia="Times New Roman" w:hAnsiTheme="minorHAnsi" w:cstheme="minorHAnsi"/>
          <w:bCs/>
        </w:rPr>
        <w:t xml:space="preserve"> </w:t>
      </w:r>
      <w:r w:rsidR="00065030">
        <w:rPr>
          <w:rFonts w:asciiTheme="minorHAnsi" w:eastAsia="Times New Roman" w:hAnsiTheme="minorHAnsi" w:cstheme="minorHAnsi"/>
          <w:bCs/>
        </w:rPr>
        <w:t>31</w:t>
      </w:r>
      <w:r w:rsidRPr="00F22A35">
        <w:rPr>
          <w:rFonts w:asciiTheme="minorHAnsi" w:eastAsia="Times New Roman" w:hAnsiTheme="minorHAnsi" w:cstheme="minorHAnsi"/>
          <w:bCs/>
        </w:rPr>
        <w:t>.</w:t>
      </w:r>
      <w:r w:rsidR="00065030">
        <w:rPr>
          <w:rFonts w:asciiTheme="minorHAnsi" w:eastAsia="Times New Roman" w:hAnsiTheme="minorHAnsi" w:cstheme="minorHAnsi"/>
          <w:bCs/>
        </w:rPr>
        <w:t>12</w:t>
      </w:r>
      <w:r w:rsidRPr="00F22A35">
        <w:rPr>
          <w:rFonts w:asciiTheme="minorHAnsi" w:eastAsia="Times New Roman" w:hAnsiTheme="minorHAnsi" w:cstheme="minorHAnsi"/>
          <w:bCs/>
        </w:rPr>
        <w:t xml:space="preserve">.2022 ανήλθαν σε </w:t>
      </w:r>
      <w:r w:rsidRPr="00F22A35">
        <w:rPr>
          <w:rFonts w:asciiTheme="minorHAnsi" w:eastAsia="Times New Roman" w:hAnsiTheme="minorHAnsi" w:cstheme="minorHAnsi"/>
        </w:rPr>
        <w:t xml:space="preserve">€ </w:t>
      </w:r>
      <w:r w:rsidRPr="00F22A35">
        <w:rPr>
          <w:rFonts w:asciiTheme="minorHAnsi" w:eastAsia="Times New Roman" w:hAnsiTheme="minorHAnsi" w:cstheme="minorHAnsi"/>
          <w:bCs/>
        </w:rPr>
        <w:t>2.</w:t>
      </w:r>
      <w:r w:rsidR="00065030">
        <w:rPr>
          <w:rFonts w:asciiTheme="minorHAnsi" w:eastAsia="Times New Roman" w:hAnsiTheme="minorHAnsi" w:cstheme="minorHAnsi"/>
          <w:bCs/>
        </w:rPr>
        <w:t>993</w:t>
      </w:r>
      <w:r w:rsidRPr="00F22A35">
        <w:rPr>
          <w:rFonts w:asciiTheme="minorHAnsi" w:eastAsia="Times New Roman" w:hAnsiTheme="minorHAnsi" w:cstheme="minorHAnsi"/>
          <w:bCs/>
        </w:rPr>
        <w:t>,</w:t>
      </w:r>
      <w:r w:rsidR="00065030">
        <w:rPr>
          <w:rFonts w:asciiTheme="minorHAnsi" w:eastAsia="Times New Roman" w:hAnsiTheme="minorHAnsi" w:cstheme="minorHAnsi"/>
          <w:bCs/>
        </w:rPr>
        <w:t>3</w:t>
      </w:r>
      <w:r w:rsidRPr="00F22A35">
        <w:rPr>
          <w:rFonts w:asciiTheme="minorHAnsi" w:eastAsia="Times New Roman" w:hAnsiTheme="minorHAnsi" w:cstheme="minorHAnsi"/>
          <w:bCs/>
        </w:rPr>
        <w:t xml:space="preserve"> εκ. έναντι </w:t>
      </w:r>
      <w:r w:rsidRPr="00F22A35">
        <w:rPr>
          <w:rFonts w:asciiTheme="minorHAnsi" w:eastAsia="Times New Roman" w:hAnsiTheme="minorHAnsi" w:cstheme="minorHAnsi"/>
        </w:rPr>
        <w:t xml:space="preserve">€ </w:t>
      </w:r>
      <w:r w:rsidRPr="00F22A35">
        <w:rPr>
          <w:rFonts w:asciiTheme="minorHAnsi" w:eastAsia="Times New Roman" w:hAnsiTheme="minorHAnsi" w:cstheme="minorHAnsi"/>
          <w:bCs/>
        </w:rPr>
        <w:t xml:space="preserve">2.596 εκ. </w:t>
      </w:r>
      <w:r w:rsidR="00737647" w:rsidRPr="00F22A35">
        <w:rPr>
          <w:rFonts w:asciiTheme="minorHAnsi" w:eastAsia="Times New Roman" w:hAnsiTheme="minorHAnsi" w:cstheme="minorHAnsi"/>
          <w:bCs/>
        </w:rPr>
        <w:t>στις</w:t>
      </w:r>
      <w:r w:rsidRPr="00F22A35">
        <w:rPr>
          <w:rFonts w:asciiTheme="minorHAnsi" w:eastAsia="Times New Roman" w:hAnsiTheme="minorHAnsi" w:cstheme="minorHAnsi"/>
          <w:bCs/>
        </w:rPr>
        <w:t xml:space="preserve"> 31.12.2021</w:t>
      </w:r>
      <w:r w:rsidR="007C427C" w:rsidRPr="007C427C">
        <w:rPr>
          <w:rFonts w:asciiTheme="minorHAnsi" w:eastAsia="Times New Roman" w:hAnsiTheme="minorHAnsi" w:cstheme="minorHAnsi"/>
          <w:bCs/>
        </w:rPr>
        <w:t xml:space="preserve"> </w:t>
      </w:r>
      <w:r w:rsidR="007C427C">
        <w:rPr>
          <w:rFonts w:asciiTheme="minorHAnsi" w:eastAsia="Times New Roman" w:hAnsiTheme="minorHAnsi" w:cstheme="minorHAnsi"/>
        </w:rPr>
        <w:t>με την αύξηση να οφείλεται στην υλοποίηση του επενδυτικού προγράμματος του Ομίλου</w:t>
      </w:r>
      <w:r w:rsidRPr="00F22A35">
        <w:rPr>
          <w:rFonts w:asciiTheme="minorHAnsi" w:eastAsia="Times New Roman" w:hAnsiTheme="minorHAnsi" w:cstheme="minorHAnsi"/>
          <w:bCs/>
        </w:rPr>
        <w:t>.</w:t>
      </w:r>
      <w:r w:rsidRPr="00F22A35">
        <w:rPr>
          <w:rFonts w:asciiTheme="minorHAnsi" w:eastAsia="Times New Roman" w:hAnsiTheme="minorHAnsi" w:cstheme="minorHAnsi"/>
          <w:b/>
          <w:bCs/>
        </w:rPr>
        <w:t xml:space="preserve"> </w:t>
      </w:r>
      <w:r w:rsidR="00E41F10" w:rsidRPr="00F22A35">
        <w:rPr>
          <w:rFonts w:asciiTheme="minorHAnsi" w:eastAsia="Times New Roman" w:hAnsiTheme="minorHAnsi" w:cstheme="minorHAnsi"/>
          <w:b/>
          <w:bCs/>
        </w:rPr>
        <w:t>Το Καθαρό Χρέος</w:t>
      </w:r>
      <w:r w:rsidRPr="00F22A35">
        <w:rPr>
          <w:rFonts w:asciiTheme="minorHAnsi" w:eastAsia="Times New Roman" w:hAnsiTheme="minorHAnsi" w:cstheme="minorHAnsi"/>
          <w:b/>
          <w:bCs/>
          <w:vertAlign w:val="superscript"/>
        </w:rPr>
        <w:t>1</w:t>
      </w:r>
      <w:r w:rsidR="00E41F10" w:rsidRPr="00F22A35">
        <w:rPr>
          <w:rFonts w:asciiTheme="minorHAnsi" w:eastAsia="Times New Roman" w:hAnsiTheme="minorHAnsi" w:cstheme="minorHAnsi"/>
          <w:b/>
          <w:bCs/>
        </w:rPr>
        <w:t xml:space="preserve"> του Ομίλου (δανειακές υποχρεώσεις μείον χρηματικά διαθέσιμα) </w:t>
      </w:r>
      <w:r w:rsidR="00E41F10" w:rsidRPr="00F22A35">
        <w:rPr>
          <w:rFonts w:asciiTheme="minorHAnsi" w:eastAsia="Times New Roman" w:hAnsiTheme="minorHAnsi" w:cstheme="minorHAnsi"/>
        </w:rPr>
        <w:t xml:space="preserve">την </w:t>
      </w:r>
      <w:r w:rsidR="00335386" w:rsidRPr="00F22A35">
        <w:rPr>
          <w:rFonts w:asciiTheme="minorHAnsi" w:eastAsia="Times New Roman" w:hAnsiTheme="minorHAnsi" w:cstheme="minorHAnsi"/>
        </w:rPr>
        <w:t>31</w:t>
      </w:r>
      <w:r w:rsidR="00335386" w:rsidRPr="00F22A35">
        <w:rPr>
          <w:rFonts w:asciiTheme="minorHAnsi" w:eastAsia="Times New Roman" w:hAnsiTheme="minorHAnsi" w:cstheme="minorHAnsi"/>
          <w:vertAlign w:val="superscript"/>
        </w:rPr>
        <w:t>η</w:t>
      </w:r>
      <w:r w:rsidR="00335386" w:rsidRPr="00F22A35">
        <w:rPr>
          <w:rFonts w:asciiTheme="minorHAnsi" w:eastAsia="Times New Roman" w:hAnsiTheme="minorHAnsi" w:cstheme="minorHAnsi"/>
        </w:rPr>
        <w:t xml:space="preserve"> </w:t>
      </w:r>
      <w:r w:rsidR="00335386" w:rsidRPr="00F22A35">
        <w:rPr>
          <w:rFonts w:asciiTheme="minorHAnsi" w:eastAsia="Times New Roman" w:hAnsiTheme="minorHAnsi" w:cstheme="minorHAnsi"/>
        </w:rPr>
        <w:lastRenderedPageBreak/>
        <w:t>Δεκεμβρίου</w:t>
      </w:r>
      <w:r w:rsidR="00737647" w:rsidRPr="00F22A35">
        <w:rPr>
          <w:rFonts w:asciiTheme="minorHAnsi" w:eastAsia="Times New Roman" w:hAnsiTheme="minorHAnsi" w:cstheme="minorHAnsi"/>
        </w:rPr>
        <w:t xml:space="preserve"> </w:t>
      </w:r>
      <w:r w:rsidR="00E41F10" w:rsidRPr="00F22A35">
        <w:rPr>
          <w:rFonts w:asciiTheme="minorHAnsi" w:eastAsia="Times New Roman" w:hAnsiTheme="minorHAnsi" w:cstheme="minorHAnsi"/>
        </w:rPr>
        <w:t>2022</w:t>
      </w:r>
      <w:r w:rsidR="005F5DBB">
        <w:rPr>
          <w:rFonts w:asciiTheme="minorHAnsi" w:eastAsia="Times New Roman" w:hAnsiTheme="minorHAnsi" w:cstheme="minorHAnsi"/>
        </w:rPr>
        <w:t xml:space="preserve"> διαμορφώθηκε σε </w:t>
      </w:r>
      <w:r w:rsidR="00E41F10" w:rsidRPr="00F22A35">
        <w:rPr>
          <w:rFonts w:asciiTheme="minorHAnsi" w:eastAsia="Times New Roman" w:hAnsiTheme="minorHAnsi" w:cstheme="minorHAnsi"/>
        </w:rPr>
        <w:t xml:space="preserve"> € 1.</w:t>
      </w:r>
      <w:r w:rsidR="00411101" w:rsidRPr="00F22A35">
        <w:rPr>
          <w:rFonts w:asciiTheme="minorHAnsi" w:eastAsia="Times New Roman" w:hAnsiTheme="minorHAnsi" w:cstheme="minorHAnsi"/>
        </w:rPr>
        <w:t>5</w:t>
      </w:r>
      <w:r w:rsidR="00335386">
        <w:rPr>
          <w:rFonts w:asciiTheme="minorHAnsi" w:eastAsia="Times New Roman" w:hAnsiTheme="minorHAnsi" w:cstheme="minorHAnsi"/>
        </w:rPr>
        <w:t>01</w:t>
      </w:r>
      <w:r w:rsidR="00E41F10" w:rsidRPr="00F22A35">
        <w:rPr>
          <w:rFonts w:asciiTheme="minorHAnsi" w:eastAsia="Times New Roman" w:hAnsiTheme="minorHAnsi" w:cstheme="minorHAnsi"/>
        </w:rPr>
        <w:t>,</w:t>
      </w:r>
      <w:r w:rsidR="00411101" w:rsidRPr="00F22A35">
        <w:rPr>
          <w:rFonts w:asciiTheme="minorHAnsi" w:eastAsia="Times New Roman" w:hAnsiTheme="minorHAnsi" w:cstheme="minorHAnsi"/>
        </w:rPr>
        <w:t>6</w:t>
      </w:r>
      <w:r w:rsidR="00E41F10" w:rsidRPr="00F22A35">
        <w:rPr>
          <w:rFonts w:asciiTheme="minorHAnsi" w:eastAsia="Times New Roman" w:hAnsiTheme="minorHAnsi" w:cstheme="minorHAnsi"/>
        </w:rPr>
        <w:t xml:space="preserve"> εκ. έναντι € 1.231,7 εκ. την 31</w:t>
      </w:r>
      <w:r w:rsidR="00737647" w:rsidRPr="00F22A35">
        <w:rPr>
          <w:rFonts w:asciiTheme="minorHAnsi" w:eastAsia="Times New Roman" w:hAnsiTheme="minorHAnsi" w:cstheme="minorHAnsi"/>
          <w:vertAlign w:val="superscript"/>
        </w:rPr>
        <w:t>η</w:t>
      </w:r>
      <w:r w:rsidR="00737647" w:rsidRPr="00F22A35">
        <w:rPr>
          <w:rFonts w:asciiTheme="minorHAnsi" w:eastAsia="Times New Roman" w:hAnsiTheme="minorHAnsi" w:cstheme="minorHAnsi"/>
        </w:rPr>
        <w:t xml:space="preserve"> Δεκεμβρίου </w:t>
      </w:r>
      <w:r w:rsidR="00E41F10" w:rsidRPr="00F22A35">
        <w:rPr>
          <w:rFonts w:asciiTheme="minorHAnsi" w:eastAsia="Times New Roman" w:hAnsiTheme="minorHAnsi" w:cstheme="minorHAnsi"/>
        </w:rPr>
        <w:t>2021</w:t>
      </w:r>
      <w:r w:rsidR="000E2EB1" w:rsidRPr="00F22A35">
        <w:rPr>
          <w:rFonts w:asciiTheme="minorHAnsi" w:eastAsia="Times New Roman" w:hAnsiTheme="minorHAnsi" w:cstheme="minorHAnsi"/>
        </w:rPr>
        <w:t>.</w:t>
      </w:r>
      <w:r w:rsidR="00D0125C" w:rsidRPr="00F22A35">
        <w:rPr>
          <w:rFonts w:asciiTheme="minorHAnsi" w:eastAsia="Times New Roman" w:hAnsiTheme="minorHAnsi" w:cstheme="minorHAnsi"/>
        </w:rPr>
        <w:t xml:space="preserve"> </w:t>
      </w:r>
      <w:r w:rsidR="00361BCF" w:rsidRPr="00F22A35">
        <w:rPr>
          <w:rFonts w:asciiTheme="minorHAnsi" w:eastAsia="Times New Roman" w:hAnsiTheme="minorHAnsi" w:cstheme="minorHAnsi"/>
        </w:rPr>
        <w:t>Σ</w:t>
      </w:r>
      <w:r w:rsidR="003B616E" w:rsidRPr="00F22A35">
        <w:rPr>
          <w:rFonts w:asciiTheme="minorHAnsi" w:eastAsia="Times New Roman" w:hAnsiTheme="minorHAnsi" w:cstheme="minorHAnsi"/>
        </w:rPr>
        <w:t>η</w:t>
      </w:r>
      <w:r w:rsidR="00361BCF" w:rsidRPr="00F22A35">
        <w:rPr>
          <w:rFonts w:asciiTheme="minorHAnsi" w:eastAsia="Times New Roman" w:hAnsiTheme="minorHAnsi" w:cstheme="minorHAnsi"/>
        </w:rPr>
        <w:t xml:space="preserve">μειώνεται ότι </w:t>
      </w:r>
      <w:r w:rsidR="009D7ACE" w:rsidRPr="00F22A35">
        <w:rPr>
          <w:rFonts w:asciiTheme="minorHAnsi" w:eastAsia="Times New Roman" w:hAnsiTheme="minorHAnsi" w:cstheme="minorHAnsi"/>
        </w:rPr>
        <w:t>το Καθαρό Χρέος</w:t>
      </w:r>
      <w:r w:rsidR="009D7ACE" w:rsidRPr="00F22A35">
        <w:rPr>
          <w:rFonts w:asciiTheme="minorHAnsi" w:eastAsia="Times New Roman" w:hAnsiTheme="minorHAnsi" w:cstheme="minorHAnsi"/>
          <w:vertAlign w:val="superscript"/>
        </w:rPr>
        <w:t>1</w:t>
      </w:r>
      <w:r w:rsidR="00737647" w:rsidRPr="00F22A35">
        <w:rPr>
          <w:rFonts w:asciiTheme="minorHAnsi" w:eastAsia="Times New Roman" w:hAnsiTheme="minorHAnsi" w:cstheme="minorHAnsi"/>
        </w:rPr>
        <w:t xml:space="preserve"> κατά</w:t>
      </w:r>
      <w:r w:rsidR="004C3D7E" w:rsidRPr="00F22A35">
        <w:rPr>
          <w:rFonts w:asciiTheme="minorHAnsi" w:eastAsia="Times New Roman" w:hAnsiTheme="minorHAnsi" w:cstheme="minorHAnsi"/>
        </w:rPr>
        <w:t xml:space="preserve"> την </w:t>
      </w:r>
      <w:r w:rsidR="00335386" w:rsidRPr="00F22A35">
        <w:rPr>
          <w:rFonts w:asciiTheme="minorHAnsi" w:eastAsia="Times New Roman" w:hAnsiTheme="minorHAnsi" w:cstheme="minorHAnsi"/>
        </w:rPr>
        <w:t>31</w:t>
      </w:r>
      <w:r w:rsidR="00335386" w:rsidRPr="00F22A35">
        <w:rPr>
          <w:rFonts w:asciiTheme="minorHAnsi" w:eastAsia="Times New Roman" w:hAnsiTheme="minorHAnsi" w:cstheme="minorHAnsi"/>
          <w:vertAlign w:val="superscript"/>
        </w:rPr>
        <w:t>η</w:t>
      </w:r>
      <w:r w:rsidR="00335386" w:rsidRPr="00F22A35">
        <w:rPr>
          <w:rFonts w:asciiTheme="minorHAnsi" w:eastAsia="Times New Roman" w:hAnsiTheme="minorHAnsi" w:cstheme="minorHAnsi"/>
        </w:rPr>
        <w:t xml:space="preserve"> Δεκεμβρίου 2022</w:t>
      </w:r>
      <w:r w:rsidR="00115F30">
        <w:rPr>
          <w:rFonts w:asciiTheme="minorHAnsi" w:eastAsia="Times New Roman" w:hAnsiTheme="minorHAnsi" w:cstheme="minorHAnsi"/>
        </w:rPr>
        <w:t>,</w:t>
      </w:r>
      <w:r w:rsidR="00737647" w:rsidRPr="00F22A35">
        <w:rPr>
          <w:rFonts w:asciiTheme="minorHAnsi" w:eastAsia="Times New Roman" w:hAnsiTheme="minorHAnsi" w:cstheme="minorHAnsi"/>
        </w:rPr>
        <w:t xml:space="preserve"> </w:t>
      </w:r>
      <w:r w:rsidR="00335386">
        <w:rPr>
          <w:rFonts w:asciiTheme="minorHAnsi" w:eastAsia="Times New Roman" w:hAnsiTheme="minorHAnsi" w:cstheme="minorHAnsi"/>
        </w:rPr>
        <w:t>μειώθηκε</w:t>
      </w:r>
      <w:r w:rsidR="003B616E" w:rsidRPr="00F22A35">
        <w:rPr>
          <w:rFonts w:asciiTheme="minorHAnsi" w:eastAsia="Times New Roman" w:hAnsiTheme="minorHAnsi" w:cstheme="minorHAnsi"/>
        </w:rPr>
        <w:t xml:space="preserve"> σε σύγκριση </w:t>
      </w:r>
      <w:r w:rsidR="00115F30">
        <w:rPr>
          <w:rFonts w:asciiTheme="minorHAnsi" w:eastAsia="Times New Roman" w:hAnsiTheme="minorHAnsi" w:cstheme="minorHAnsi"/>
        </w:rPr>
        <w:t xml:space="preserve">με </w:t>
      </w:r>
      <w:r w:rsidR="00115F30" w:rsidRPr="00F22A35">
        <w:rPr>
          <w:rFonts w:asciiTheme="minorHAnsi" w:eastAsia="Times New Roman" w:hAnsiTheme="minorHAnsi" w:cstheme="minorHAnsi"/>
        </w:rPr>
        <w:t>τα € 1.608,8 εκ</w:t>
      </w:r>
      <w:r w:rsidR="00115F30">
        <w:rPr>
          <w:rFonts w:asciiTheme="minorHAnsi" w:eastAsia="Times New Roman" w:hAnsiTheme="minorHAnsi" w:cstheme="minorHAnsi"/>
        </w:rPr>
        <w:t>.</w:t>
      </w:r>
      <w:r w:rsidR="00115F30" w:rsidRPr="00F22A35">
        <w:rPr>
          <w:rFonts w:asciiTheme="minorHAnsi" w:eastAsia="Times New Roman" w:hAnsiTheme="minorHAnsi" w:cstheme="minorHAnsi"/>
        </w:rPr>
        <w:t xml:space="preserve"> </w:t>
      </w:r>
      <w:r w:rsidR="00115F30">
        <w:rPr>
          <w:rFonts w:asciiTheme="minorHAnsi" w:eastAsia="Times New Roman" w:hAnsiTheme="minorHAnsi" w:cstheme="minorHAnsi"/>
        </w:rPr>
        <w:t>στα οποία είχε διαμορφωθεί σ</w:t>
      </w:r>
      <w:r w:rsidR="003B616E" w:rsidRPr="00F22A35">
        <w:rPr>
          <w:rFonts w:asciiTheme="minorHAnsi" w:eastAsia="Times New Roman" w:hAnsiTheme="minorHAnsi" w:cstheme="minorHAnsi"/>
        </w:rPr>
        <w:t xml:space="preserve">το τέλος του </w:t>
      </w:r>
      <w:r w:rsidR="00737647" w:rsidRPr="00F22A35">
        <w:rPr>
          <w:rFonts w:asciiTheme="minorHAnsi" w:eastAsia="Times New Roman" w:hAnsiTheme="minorHAnsi" w:cstheme="minorHAnsi"/>
        </w:rPr>
        <w:t xml:space="preserve">πρώτου </w:t>
      </w:r>
      <w:r w:rsidR="003B616E" w:rsidRPr="00F22A35">
        <w:rPr>
          <w:rFonts w:asciiTheme="minorHAnsi" w:eastAsia="Times New Roman" w:hAnsiTheme="minorHAnsi" w:cstheme="minorHAnsi"/>
        </w:rPr>
        <w:t>εξαμήνου του 2022</w:t>
      </w:r>
      <w:r w:rsidR="00737647" w:rsidRPr="00F22A35">
        <w:rPr>
          <w:rFonts w:asciiTheme="minorHAnsi" w:eastAsia="Times New Roman" w:hAnsiTheme="minorHAnsi" w:cstheme="minorHAnsi"/>
        </w:rPr>
        <w:t>.</w:t>
      </w:r>
      <w:r w:rsidR="00EF27E8" w:rsidRPr="00F22A35">
        <w:rPr>
          <w:rFonts w:asciiTheme="minorHAnsi" w:eastAsia="Times New Roman" w:hAnsiTheme="minorHAnsi" w:cstheme="minorHAnsi"/>
        </w:rPr>
        <w:t xml:space="preserve"> </w:t>
      </w:r>
      <w:r w:rsidR="000E2EB1" w:rsidRPr="00F22A35">
        <w:rPr>
          <w:rFonts w:asciiTheme="minorHAnsi" w:eastAsia="Times New Roman" w:hAnsiTheme="minorHAnsi" w:cstheme="minorHAnsi"/>
          <w:b/>
          <w:bCs/>
        </w:rPr>
        <w:t xml:space="preserve">Τα </w:t>
      </w:r>
      <w:r w:rsidR="003F5E7B">
        <w:rPr>
          <w:rFonts w:asciiTheme="minorHAnsi" w:eastAsia="Times New Roman" w:hAnsiTheme="minorHAnsi" w:cstheme="minorHAnsi"/>
          <w:b/>
          <w:bCs/>
        </w:rPr>
        <w:t>χρηματικά</w:t>
      </w:r>
      <w:r w:rsidR="000E2EB1" w:rsidRPr="00F22A35">
        <w:rPr>
          <w:rFonts w:asciiTheme="minorHAnsi" w:eastAsia="Times New Roman" w:hAnsiTheme="minorHAnsi" w:cstheme="minorHAnsi"/>
          <w:b/>
          <w:bCs/>
        </w:rPr>
        <w:t xml:space="preserve"> διαθέσιμα και ισοδύναμα </w:t>
      </w:r>
      <w:r w:rsidR="000E2EB1" w:rsidRPr="00F22A35">
        <w:rPr>
          <w:rFonts w:asciiTheme="minorHAnsi" w:eastAsia="Times New Roman" w:hAnsiTheme="minorHAnsi" w:cstheme="minorHAnsi"/>
        </w:rPr>
        <w:t xml:space="preserve">του </w:t>
      </w:r>
      <w:r w:rsidR="004F3C92" w:rsidRPr="00F22A35">
        <w:rPr>
          <w:rFonts w:asciiTheme="minorHAnsi" w:eastAsia="Times New Roman" w:hAnsiTheme="minorHAnsi" w:cstheme="minorHAnsi"/>
        </w:rPr>
        <w:t>Ο</w:t>
      </w:r>
      <w:r w:rsidR="000E2EB1" w:rsidRPr="00F22A35">
        <w:rPr>
          <w:rFonts w:asciiTheme="minorHAnsi" w:eastAsia="Times New Roman" w:hAnsiTheme="minorHAnsi" w:cstheme="minorHAnsi"/>
        </w:rPr>
        <w:t xml:space="preserve">μίλου </w:t>
      </w:r>
      <w:r w:rsidR="00115F30" w:rsidRPr="00F22A35">
        <w:rPr>
          <w:rFonts w:asciiTheme="minorHAnsi" w:eastAsia="Times New Roman" w:hAnsiTheme="minorHAnsi" w:cstheme="minorHAnsi"/>
        </w:rPr>
        <w:t>παρέμειναν υψηλά και διαμορφώθηκαν σε</w:t>
      </w:r>
      <w:r w:rsidR="00115F30">
        <w:rPr>
          <w:rFonts w:asciiTheme="minorHAnsi" w:eastAsia="Times New Roman" w:hAnsiTheme="minorHAnsi" w:cstheme="minorHAnsi"/>
        </w:rPr>
        <w:t xml:space="preserve"> </w:t>
      </w:r>
      <w:r w:rsidR="00115F30" w:rsidRPr="00F22A35">
        <w:rPr>
          <w:rFonts w:asciiTheme="minorHAnsi" w:eastAsia="Times New Roman" w:hAnsiTheme="minorHAnsi" w:cstheme="minorHAnsi"/>
        </w:rPr>
        <w:t>€</w:t>
      </w:r>
      <w:r w:rsidR="00115F30">
        <w:rPr>
          <w:rFonts w:asciiTheme="minorHAnsi" w:eastAsia="Times New Roman" w:hAnsiTheme="minorHAnsi" w:cstheme="minorHAnsi"/>
        </w:rPr>
        <w:t xml:space="preserve"> </w:t>
      </w:r>
      <w:r w:rsidR="00115F30" w:rsidRPr="00F22A35">
        <w:rPr>
          <w:rFonts w:asciiTheme="minorHAnsi" w:eastAsia="Times New Roman" w:hAnsiTheme="minorHAnsi" w:cstheme="minorHAnsi"/>
        </w:rPr>
        <w:t>1.</w:t>
      </w:r>
      <w:r w:rsidR="00115F30">
        <w:rPr>
          <w:rFonts w:asciiTheme="minorHAnsi" w:eastAsia="Times New Roman" w:hAnsiTheme="minorHAnsi" w:cstheme="minorHAnsi"/>
        </w:rPr>
        <w:t>491</w:t>
      </w:r>
      <w:r w:rsidR="00115F30" w:rsidRPr="00F22A35">
        <w:rPr>
          <w:rFonts w:asciiTheme="minorHAnsi" w:eastAsia="Times New Roman" w:hAnsiTheme="minorHAnsi" w:cstheme="minorHAnsi"/>
        </w:rPr>
        <w:t>,</w:t>
      </w:r>
      <w:r w:rsidR="00115F30">
        <w:rPr>
          <w:rFonts w:asciiTheme="minorHAnsi" w:eastAsia="Times New Roman" w:hAnsiTheme="minorHAnsi" w:cstheme="minorHAnsi"/>
        </w:rPr>
        <w:t>7</w:t>
      </w:r>
      <w:r w:rsidR="00115F30" w:rsidRPr="00F22A35">
        <w:rPr>
          <w:rFonts w:asciiTheme="minorHAnsi" w:eastAsia="Times New Roman" w:hAnsiTheme="minorHAnsi" w:cstheme="minorHAnsi"/>
        </w:rPr>
        <w:t xml:space="preserve"> εκ</w:t>
      </w:r>
      <w:r w:rsidR="00115F30">
        <w:rPr>
          <w:rFonts w:asciiTheme="minorHAnsi" w:eastAsia="Times New Roman" w:hAnsiTheme="minorHAnsi" w:cstheme="minorHAnsi"/>
        </w:rPr>
        <w:t xml:space="preserve">. </w:t>
      </w:r>
      <w:r w:rsidR="004C3D7E" w:rsidRPr="00F22A35">
        <w:rPr>
          <w:rFonts w:asciiTheme="minorHAnsi" w:eastAsia="Times New Roman" w:hAnsiTheme="minorHAnsi" w:cstheme="minorHAnsi"/>
        </w:rPr>
        <w:t xml:space="preserve">την </w:t>
      </w:r>
      <w:r w:rsidR="00335386" w:rsidRPr="00F22A35">
        <w:rPr>
          <w:rFonts w:asciiTheme="minorHAnsi" w:eastAsia="Times New Roman" w:hAnsiTheme="minorHAnsi" w:cstheme="minorHAnsi"/>
        </w:rPr>
        <w:t xml:space="preserve"> 31</w:t>
      </w:r>
      <w:r w:rsidR="00335386" w:rsidRPr="00F22A35">
        <w:rPr>
          <w:rFonts w:asciiTheme="minorHAnsi" w:eastAsia="Times New Roman" w:hAnsiTheme="minorHAnsi" w:cstheme="minorHAnsi"/>
          <w:vertAlign w:val="superscript"/>
        </w:rPr>
        <w:t>η</w:t>
      </w:r>
      <w:r w:rsidR="00335386" w:rsidRPr="00F22A35">
        <w:rPr>
          <w:rFonts w:asciiTheme="minorHAnsi" w:eastAsia="Times New Roman" w:hAnsiTheme="minorHAnsi" w:cstheme="minorHAnsi"/>
        </w:rPr>
        <w:t xml:space="preserve"> Δεκεμβρίου 2022</w:t>
      </w:r>
      <w:r w:rsidR="00737647" w:rsidRPr="00F22A35">
        <w:rPr>
          <w:rFonts w:asciiTheme="minorHAnsi" w:eastAsia="Times New Roman" w:hAnsiTheme="minorHAnsi" w:cstheme="minorHAnsi"/>
        </w:rPr>
        <w:t>.</w:t>
      </w:r>
      <w:r w:rsidR="00335386">
        <w:rPr>
          <w:rFonts w:asciiTheme="minorHAnsi" w:eastAsia="Times New Roman" w:hAnsiTheme="minorHAnsi" w:cstheme="minorHAnsi"/>
        </w:rPr>
        <w:t xml:space="preserve"> </w:t>
      </w:r>
      <w:r w:rsidR="00F84828">
        <w:rPr>
          <w:rFonts w:asciiTheme="minorHAnsi" w:eastAsia="Times New Roman" w:hAnsiTheme="minorHAnsi" w:cstheme="minorHAnsi"/>
          <w:b/>
          <w:bCs/>
        </w:rPr>
        <w:t>Ε</w:t>
      </w:r>
      <w:r w:rsidR="00115F30">
        <w:rPr>
          <w:rFonts w:asciiTheme="minorHAnsi" w:eastAsia="Times New Roman" w:hAnsiTheme="minorHAnsi" w:cstheme="minorHAnsi"/>
          <w:b/>
          <w:bCs/>
        </w:rPr>
        <w:t>πίσης,</w:t>
      </w:r>
      <w:r w:rsidR="00335386" w:rsidRPr="00335386">
        <w:rPr>
          <w:rFonts w:asciiTheme="minorHAnsi" w:eastAsia="Times New Roman" w:hAnsiTheme="minorHAnsi" w:cstheme="minorHAnsi"/>
          <w:b/>
          <w:bCs/>
        </w:rPr>
        <w:t xml:space="preserve"> τα ταμειακά διαθέσιμα και ισοδύναμα της μητρικής εταιρείας </w:t>
      </w:r>
      <w:r w:rsidR="00890BF8">
        <w:rPr>
          <w:rFonts w:asciiTheme="minorHAnsi" w:eastAsia="Times New Roman" w:hAnsiTheme="minorHAnsi" w:cstheme="minorHAnsi"/>
          <w:b/>
          <w:bCs/>
        </w:rPr>
        <w:t xml:space="preserve">διαμορφώθηκαν </w:t>
      </w:r>
      <w:r w:rsidR="00335386" w:rsidRPr="00335386">
        <w:rPr>
          <w:rFonts w:asciiTheme="minorHAnsi" w:eastAsia="Times New Roman" w:hAnsiTheme="minorHAnsi" w:cstheme="minorHAnsi"/>
          <w:b/>
          <w:bCs/>
        </w:rPr>
        <w:t>σ</w:t>
      </w:r>
      <w:r w:rsidR="00115F30">
        <w:rPr>
          <w:rFonts w:asciiTheme="minorHAnsi" w:eastAsia="Times New Roman" w:hAnsiTheme="minorHAnsi" w:cstheme="minorHAnsi"/>
          <w:b/>
          <w:bCs/>
        </w:rPr>
        <w:t>ε</w:t>
      </w:r>
      <w:r w:rsidR="00335386" w:rsidRPr="00335386">
        <w:rPr>
          <w:rFonts w:asciiTheme="minorHAnsi" w:eastAsia="Times New Roman" w:hAnsiTheme="minorHAnsi" w:cstheme="minorHAnsi"/>
          <w:b/>
          <w:bCs/>
        </w:rPr>
        <w:t xml:space="preserve"> € 559,1 εκ</w:t>
      </w:r>
      <w:r w:rsidR="00115F30">
        <w:rPr>
          <w:rFonts w:asciiTheme="minorHAnsi" w:eastAsia="Times New Roman" w:hAnsiTheme="minorHAnsi" w:cstheme="minorHAnsi"/>
          <w:b/>
          <w:bCs/>
        </w:rPr>
        <w:t>.</w:t>
      </w:r>
      <w:r w:rsidR="00335386" w:rsidRPr="00335386">
        <w:rPr>
          <w:rFonts w:asciiTheme="minorHAnsi" w:eastAsia="Times New Roman" w:hAnsiTheme="minorHAnsi" w:cstheme="minorHAnsi"/>
          <w:b/>
          <w:bCs/>
        </w:rPr>
        <w:t xml:space="preserve"> παραμένοντ</w:t>
      </w:r>
      <w:r w:rsidR="00F84828">
        <w:rPr>
          <w:rFonts w:asciiTheme="minorHAnsi" w:eastAsia="Times New Roman" w:hAnsiTheme="minorHAnsi" w:cstheme="minorHAnsi"/>
          <w:b/>
          <w:bCs/>
        </w:rPr>
        <w:t>α</w:t>
      </w:r>
      <w:r w:rsidR="00335386" w:rsidRPr="00335386">
        <w:rPr>
          <w:rFonts w:asciiTheme="minorHAnsi" w:eastAsia="Times New Roman" w:hAnsiTheme="minorHAnsi" w:cstheme="minorHAnsi"/>
          <w:b/>
          <w:bCs/>
        </w:rPr>
        <w:t>ς στα ίδια επίπεδα με την προηγούμενη χρονιά,</w:t>
      </w:r>
      <w:r w:rsidR="00335386">
        <w:rPr>
          <w:rFonts w:asciiTheme="minorHAnsi" w:eastAsia="Times New Roman" w:hAnsiTheme="minorHAnsi" w:cstheme="minorHAnsi"/>
        </w:rPr>
        <w:t xml:space="preserve"> εξασφαλίζοντας την απρόσκοπτη εκτέλεση του επενδυτικού προγράμματος. </w:t>
      </w:r>
    </w:p>
    <w:p w14:paraId="06E1D27F" w14:textId="718E4DDF" w:rsidR="00314BB0" w:rsidRDefault="00314BB0" w:rsidP="00AB5A93">
      <w:pPr>
        <w:jc w:val="both"/>
      </w:pPr>
      <w:r w:rsidRPr="00F22A35">
        <w:rPr>
          <w:rFonts w:asciiTheme="minorHAnsi" w:eastAsia="Times New Roman" w:hAnsiTheme="minorHAnsi" w:cstheme="minorHAnsi"/>
          <w:b/>
          <w:bCs/>
        </w:rPr>
        <w:t xml:space="preserve">Ο συντελεστής Καθαρό </w:t>
      </w:r>
      <w:r w:rsidR="00BC1B59" w:rsidRPr="00F22A35">
        <w:rPr>
          <w:rFonts w:asciiTheme="minorHAnsi" w:eastAsia="Times New Roman" w:hAnsiTheme="minorHAnsi" w:cstheme="minorHAnsi"/>
          <w:b/>
          <w:bCs/>
        </w:rPr>
        <w:t>Χρ</w:t>
      </w:r>
      <w:r w:rsidR="006E5D38">
        <w:rPr>
          <w:rFonts w:asciiTheme="minorHAnsi" w:eastAsia="Times New Roman" w:hAnsiTheme="minorHAnsi" w:cstheme="minorHAnsi"/>
          <w:b/>
          <w:bCs/>
        </w:rPr>
        <w:t>έ</w:t>
      </w:r>
      <w:r w:rsidR="00BC1B59" w:rsidRPr="00F22A35">
        <w:rPr>
          <w:rFonts w:asciiTheme="minorHAnsi" w:eastAsia="Times New Roman" w:hAnsiTheme="minorHAnsi" w:cstheme="minorHAnsi"/>
          <w:b/>
          <w:bCs/>
        </w:rPr>
        <w:t>ο</w:t>
      </w:r>
      <w:r w:rsidRPr="00F22A35">
        <w:rPr>
          <w:rFonts w:asciiTheme="minorHAnsi" w:eastAsia="Times New Roman" w:hAnsiTheme="minorHAnsi" w:cstheme="minorHAnsi"/>
          <w:b/>
          <w:bCs/>
        </w:rPr>
        <w:t xml:space="preserve">ς/Προσαρμοσμένο </w:t>
      </w:r>
      <w:r w:rsidRPr="00F22A35">
        <w:rPr>
          <w:rFonts w:asciiTheme="minorHAnsi" w:eastAsia="Times New Roman" w:hAnsiTheme="minorHAnsi" w:cstheme="minorHAnsi"/>
          <w:b/>
          <w:bCs/>
          <w:lang w:val="en-US"/>
        </w:rPr>
        <w:t>EBITDA</w:t>
      </w:r>
      <w:r w:rsidRPr="00F22A35">
        <w:rPr>
          <w:b/>
          <w:bCs/>
        </w:rPr>
        <w:t xml:space="preserve"> </w:t>
      </w:r>
      <w:r w:rsidR="000353D6">
        <w:rPr>
          <w:b/>
          <w:bCs/>
        </w:rPr>
        <w:t xml:space="preserve">για τον Όμιλο </w:t>
      </w:r>
      <w:r w:rsidRPr="00F22A35">
        <w:rPr>
          <w:b/>
          <w:bCs/>
        </w:rPr>
        <w:t xml:space="preserve">στο τέλος του </w:t>
      </w:r>
      <w:r w:rsidR="00115F30">
        <w:rPr>
          <w:b/>
          <w:bCs/>
        </w:rPr>
        <w:t>2022</w:t>
      </w:r>
      <w:r w:rsidRPr="00F22A35">
        <w:rPr>
          <w:b/>
          <w:bCs/>
        </w:rPr>
        <w:t xml:space="preserve"> διαμορφώθηκε σ</w:t>
      </w:r>
      <w:r w:rsidR="00737647" w:rsidRPr="00F22A35">
        <w:rPr>
          <w:b/>
          <w:bCs/>
        </w:rPr>
        <w:t>ε</w:t>
      </w:r>
      <w:r w:rsidRPr="00F22A35">
        <w:rPr>
          <w:b/>
          <w:bCs/>
        </w:rPr>
        <w:t xml:space="preserve"> </w:t>
      </w:r>
      <w:r w:rsidR="00335386">
        <w:rPr>
          <w:b/>
          <w:bCs/>
        </w:rPr>
        <w:t>2.3</w:t>
      </w:r>
      <w:r w:rsidRPr="00F22A35">
        <w:rPr>
          <w:b/>
          <w:bCs/>
          <w:lang w:val="en-US"/>
        </w:rPr>
        <w:t>x</w:t>
      </w:r>
      <w:r w:rsidRPr="00F22A35">
        <w:t xml:space="preserve"> έναντι 3.8</w:t>
      </w:r>
      <w:r w:rsidRPr="00F22A35">
        <w:rPr>
          <w:lang w:val="en-US"/>
        </w:rPr>
        <w:t>x</w:t>
      </w:r>
      <w:r w:rsidRPr="00F22A35">
        <w:t xml:space="preserve"> στο τέλος του 2021</w:t>
      </w:r>
      <w:r w:rsidR="00335386">
        <w:t xml:space="preserve"> (και 5</w:t>
      </w:r>
      <w:r w:rsidR="00335386" w:rsidRPr="00F22A35">
        <w:t>.</w:t>
      </w:r>
      <w:r w:rsidR="00335386">
        <w:t>4</w:t>
      </w:r>
      <w:r w:rsidR="00335386" w:rsidRPr="00F22A35">
        <w:rPr>
          <w:lang w:val="en-US"/>
        </w:rPr>
        <w:t>x</w:t>
      </w:r>
      <w:r w:rsidR="00335386" w:rsidRPr="00F22A35">
        <w:t xml:space="preserve"> στο τέλος του 202</w:t>
      </w:r>
      <w:r w:rsidR="00335386">
        <w:t xml:space="preserve">0) </w:t>
      </w:r>
      <w:r w:rsidR="00737647" w:rsidRPr="00F22A35">
        <w:t>ως</w:t>
      </w:r>
      <w:r w:rsidRPr="00F22A35">
        <w:t xml:space="preserve"> αποτέλεσμα της βελτιωμένης κερδοφορίας του Ομίλου. </w:t>
      </w:r>
    </w:p>
    <w:p w14:paraId="11028800" w14:textId="77777777" w:rsidR="00B151C8" w:rsidRPr="00F22A35" w:rsidRDefault="00B151C8" w:rsidP="00AB5A93">
      <w:pPr>
        <w:jc w:val="both"/>
      </w:pPr>
    </w:p>
    <w:p w14:paraId="005B89B4" w14:textId="6682CDE6" w:rsidR="00B052DF" w:rsidRPr="00F22A35" w:rsidRDefault="000E2EB1" w:rsidP="00AB5A93">
      <w:pPr>
        <w:spacing w:before="240" w:after="120"/>
        <w:jc w:val="both"/>
        <w:rPr>
          <w:rFonts w:asciiTheme="minorHAnsi" w:eastAsia="Times New Roman" w:hAnsiTheme="minorHAnsi" w:cstheme="minorHAnsi"/>
          <w:b/>
          <w:bCs/>
          <w:u w:val="single"/>
        </w:rPr>
      </w:pPr>
      <w:r w:rsidRPr="00F22A35">
        <w:rPr>
          <w:rFonts w:asciiTheme="minorHAnsi" w:eastAsia="Times New Roman" w:hAnsiTheme="minorHAnsi" w:cstheme="minorHAnsi"/>
          <w:b/>
          <w:bCs/>
          <w:u w:val="single"/>
        </w:rPr>
        <w:t>Ισχυρή λειτουργική επίδοση σε όλους τους τομείς</w:t>
      </w:r>
    </w:p>
    <w:p w14:paraId="61613130" w14:textId="156B1565" w:rsidR="00447AC7" w:rsidRPr="00F22A35" w:rsidRDefault="00673E2D" w:rsidP="00AB5A93">
      <w:pPr>
        <w:tabs>
          <w:tab w:val="left" w:pos="1134"/>
        </w:tabs>
        <w:jc w:val="both"/>
        <w:rPr>
          <w:rFonts w:asciiTheme="minorHAnsi" w:hAnsiTheme="minorHAnsi" w:cstheme="minorHAnsi"/>
          <w:b/>
          <w:bCs/>
        </w:rPr>
      </w:pPr>
      <w:r w:rsidRPr="00890BF8">
        <w:rPr>
          <w:rFonts w:asciiTheme="minorHAnsi" w:hAnsiTheme="minorHAnsi" w:cstheme="minorHAnsi"/>
          <w:b/>
          <w:bCs/>
        </w:rPr>
        <w:t>Το</w:t>
      </w:r>
      <w:r w:rsidRPr="00890BF8">
        <w:rPr>
          <w:rFonts w:asciiTheme="minorHAnsi" w:hAnsiTheme="minorHAnsi" w:cstheme="minorHAnsi"/>
        </w:rPr>
        <w:t xml:space="preserve"> </w:t>
      </w:r>
      <w:r w:rsidRPr="00890BF8">
        <w:rPr>
          <w:rFonts w:asciiTheme="minorHAnsi" w:hAnsiTheme="minorHAnsi" w:cstheme="minorHAnsi"/>
          <w:b/>
          <w:bCs/>
        </w:rPr>
        <w:t xml:space="preserve">συνολικό κατασκευαστικό ανεκτέλεστο </w:t>
      </w:r>
      <w:r w:rsidR="00B151C8" w:rsidRPr="00890BF8">
        <w:rPr>
          <w:rFonts w:asciiTheme="minorHAnsi" w:hAnsiTheme="minorHAnsi" w:cstheme="minorHAnsi"/>
          <w:b/>
          <w:bCs/>
        </w:rPr>
        <w:t>ενισχύθηκε περ</w:t>
      </w:r>
      <w:r w:rsidR="00AE4E50" w:rsidRPr="00890BF8">
        <w:rPr>
          <w:rFonts w:asciiTheme="minorHAnsi" w:hAnsiTheme="minorHAnsi" w:cstheme="minorHAnsi"/>
          <w:b/>
          <w:bCs/>
        </w:rPr>
        <w:t>αι</w:t>
      </w:r>
      <w:r w:rsidR="00B151C8" w:rsidRPr="00890BF8">
        <w:rPr>
          <w:rFonts w:asciiTheme="minorHAnsi" w:hAnsiTheme="minorHAnsi" w:cstheme="minorHAnsi"/>
          <w:b/>
          <w:bCs/>
        </w:rPr>
        <w:t>τ</w:t>
      </w:r>
      <w:r w:rsidR="00AE4E50" w:rsidRPr="00890BF8">
        <w:rPr>
          <w:rFonts w:asciiTheme="minorHAnsi" w:hAnsiTheme="minorHAnsi" w:cstheme="minorHAnsi"/>
          <w:b/>
          <w:bCs/>
        </w:rPr>
        <w:t>έ</w:t>
      </w:r>
      <w:r w:rsidR="00B151C8" w:rsidRPr="00890BF8">
        <w:rPr>
          <w:rFonts w:asciiTheme="minorHAnsi" w:hAnsiTheme="minorHAnsi" w:cstheme="minorHAnsi"/>
          <w:b/>
          <w:bCs/>
        </w:rPr>
        <w:t xml:space="preserve">ρω και </w:t>
      </w:r>
      <w:r w:rsidR="00890BF8" w:rsidRPr="00890BF8">
        <w:rPr>
          <w:rFonts w:asciiTheme="minorHAnsi" w:hAnsiTheme="minorHAnsi" w:cstheme="minorHAnsi"/>
          <w:b/>
          <w:bCs/>
        </w:rPr>
        <w:t>διαμορφώθηκε</w:t>
      </w:r>
      <w:r w:rsidR="00B151C8" w:rsidRPr="00890BF8">
        <w:rPr>
          <w:rFonts w:asciiTheme="minorHAnsi" w:hAnsiTheme="minorHAnsi" w:cstheme="minorHAnsi"/>
          <w:b/>
          <w:bCs/>
        </w:rPr>
        <w:t xml:space="preserve"> στο</w:t>
      </w:r>
      <w:r w:rsidRPr="00890BF8">
        <w:rPr>
          <w:rFonts w:asciiTheme="minorHAnsi" w:hAnsiTheme="minorHAnsi" w:cstheme="minorHAnsi"/>
          <w:b/>
          <w:bCs/>
        </w:rPr>
        <w:t xml:space="preserve"> ιστορικό υψηλό των </w:t>
      </w:r>
      <w:r w:rsidRPr="00890BF8">
        <w:rPr>
          <w:rFonts w:asciiTheme="minorHAnsi" w:eastAsia="Times New Roman" w:hAnsiTheme="minorHAnsi" w:cstheme="minorHAnsi"/>
          <w:b/>
          <w:bCs/>
        </w:rPr>
        <w:t>€</w:t>
      </w:r>
      <w:r w:rsidR="00115F30" w:rsidRPr="00890BF8">
        <w:rPr>
          <w:rFonts w:asciiTheme="minorHAnsi" w:eastAsia="Times New Roman" w:hAnsiTheme="minorHAnsi" w:cstheme="minorHAnsi"/>
          <w:b/>
          <w:bCs/>
        </w:rPr>
        <w:t xml:space="preserve"> </w:t>
      </w:r>
      <w:r w:rsidR="00B151C8" w:rsidRPr="00890BF8">
        <w:rPr>
          <w:rFonts w:asciiTheme="minorHAnsi" w:eastAsia="Times New Roman" w:hAnsiTheme="minorHAnsi" w:cstheme="minorHAnsi"/>
          <w:b/>
          <w:bCs/>
        </w:rPr>
        <w:t>5,3</w:t>
      </w:r>
      <w:r w:rsidR="00F84828" w:rsidRPr="00890BF8">
        <w:rPr>
          <w:rFonts w:asciiTheme="minorHAnsi" w:eastAsia="Times New Roman" w:hAnsiTheme="minorHAnsi" w:cstheme="minorHAnsi"/>
          <w:b/>
          <w:bCs/>
        </w:rPr>
        <w:t xml:space="preserve"> </w:t>
      </w:r>
      <w:r w:rsidRPr="00890BF8">
        <w:rPr>
          <w:rFonts w:asciiTheme="minorHAnsi" w:eastAsia="Times New Roman" w:hAnsiTheme="minorHAnsi" w:cstheme="minorHAnsi"/>
          <w:b/>
          <w:bCs/>
        </w:rPr>
        <w:t>δισ.</w:t>
      </w:r>
      <w:r w:rsidR="00115F30" w:rsidRPr="00890BF8">
        <w:rPr>
          <w:rFonts w:asciiTheme="minorHAnsi" w:eastAsia="Times New Roman" w:hAnsiTheme="minorHAnsi" w:cstheme="minorHAnsi"/>
          <w:b/>
          <w:bCs/>
        </w:rPr>
        <w:t xml:space="preserve">, </w:t>
      </w:r>
      <w:r w:rsidR="00115F30" w:rsidRPr="00890BF8">
        <w:rPr>
          <w:rFonts w:asciiTheme="minorHAnsi" w:eastAsia="Times New Roman" w:hAnsiTheme="minorHAnsi" w:cstheme="minorHAnsi"/>
        </w:rPr>
        <w:t>αντικατοπτρίζοντας την αυξημένη κατασκευαστική δραστηριότητα.</w:t>
      </w:r>
      <w:r w:rsidRPr="00890BF8">
        <w:rPr>
          <w:rFonts w:asciiTheme="minorHAnsi" w:eastAsia="Times New Roman" w:hAnsiTheme="minorHAnsi" w:cstheme="minorHAnsi"/>
        </w:rPr>
        <w:t xml:space="preserve"> Συγκεκριμένα, τ</w:t>
      </w:r>
      <w:r w:rsidR="000E2EB1" w:rsidRPr="00890BF8">
        <w:rPr>
          <w:rFonts w:asciiTheme="minorHAnsi" w:eastAsia="Times New Roman" w:hAnsiTheme="minorHAnsi" w:cstheme="minorHAnsi"/>
        </w:rPr>
        <w:t xml:space="preserve">ο </w:t>
      </w:r>
      <w:r w:rsidR="00737647" w:rsidRPr="00890BF8">
        <w:rPr>
          <w:rFonts w:asciiTheme="minorHAnsi" w:eastAsia="Times New Roman" w:hAnsiTheme="minorHAnsi" w:cstheme="minorHAnsi"/>
        </w:rPr>
        <w:t xml:space="preserve">κατασκευαστικό ανεκτέλεστο των </w:t>
      </w:r>
      <w:r w:rsidR="000E2EB1" w:rsidRPr="00890BF8">
        <w:rPr>
          <w:rFonts w:asciiTheme="minorHAnsi" w:eastAsia="Times New Roman" w:hAnsiTheme="minorHAnsi" w:cstheme="minorHAnsi"/>
        </w:rPr>
        <w:t>υπογεγραμμέν</w:t>
      </w:r>
      <w:r w:rsidR="00737647" w:rsidRPr="00890BF8">
        <w:rPr>
          <w:rFonts w:asciiTheme="minorHAnsi" w:eastAsia="Times New Roman" w:hAnsiTheme="minorHAnsi" w:cstheme="minorHAnsi"/>
        </w:rPr>
        <w:t>ων συμβάσεων</w:t>
      </w:r>
      <w:r w:rsidR="00E27A87" w:rsidRPr="00890BF8">
        <w:rPr>
          <w:rFonts w:asciiTheme="minorHAnsi" w:eastAsia="Times New Roman" w:hAnsiTheme="minorHAnsi" w:cstheme="minorHAnsi"/>
        </w:rPr>
        <w:t>,</w:t>
      </w:r>
      <w:r w:rsidR="000E2EB1" w:rsidRPr="00890BF8">
        <w:rPr>
          <w:rFonts w:asciiTheme="minorHAnsi" w:eastAsia="Times New Roman" w:hAnsiTheme="minorHAnsi" w:cstheme="minorHAnsi"/>
        </w:rPr>
        <w:t xml:space="preserve"> </w:t>
      </w:r>
      <w:r w:rsidR="00E27A87" w:rsidRPr="00890BF8">
        <w:rPr>
          <w:rFonts w:asciiTheme="minorHAnsi" w:eastAsia="Times New Roman" w:hAnsiTheme="minorHAnsi" w:cstheme="minorHAnsi"/>
        </w:rPr>
        <w:t xml:space="preserve">περιλαμβανομένων των έργων ιδίων επενδύσεων, </w:t>
      </w:r>
      <w:r w:rsidR="00115F30" w:rsidRPr="00890BF8">
        <w:rPr>
          <w:rFonts w:asciiTheme="minorHAnsi" w:eastAsia="Times New Roman" w:hAnsiTheme="minorHAnsi" w:cstheme="minorHAnsi"/>
        </w:rPr>
        <w:t xml:space="preserve">στο τέλος του 2022 </w:t>
      </w:r>
      <w:r w:rsidR="00890BF8" w:rsidRPr="00890BF8">
        <w:rPr>
          <w:rFonts w:asciiTheme="minorHAnsi" w:eastAsia="Times New Roman" w:hAnsiTheme="minorHAnsi" w:cstheme="minorHAnsi"/>
        </w:rPr>
        <w:t>ήταν</w:t>
      </w:r>
      <w:r w:rsidR="000E2EB1" w:rsidRPr="00890BF8">
        <w:rPr>
          <w:rFonts w:asciiTheme="minorHAnsi" w:eastAsia="Times New Roman" w:hAnsiTheme="minorHAnsi" w:cstheme="minorHAnsi"/>
        </w:rPr>
        <w:t xml:space="preserve"> </w:t>
      </w:r>
      <w:r w:rsidR="00B052DF" w:rsidRPr="00890BF8">
        <w:rPr>
          <w:rFonts w:asciiTheme="minorHAnsi" w:eastAsia="Times New Roman" w:hAnsiTheme="minorHAnsi" w:cstheme="minorHAnsi"/>
        </w:rPr>
        <w:t>€ 2</w:t>
      </w:r>
      <w:r w:rsidR="000F7F4E" w:rsidRPr="00890BF8">
        <w:rPr>
          <w:rFonts w:asciiTheme="minorHAnsi" w:eastAsia="Times New Roman" w:hAnsiTheme="minorHAnsi" w:cstheme="minorHAnsi"/>
        </w:rPr>
        <w:t>,</w:t>
      </w:r>
      <w:r w:rsidR="00B151C8" w:rsidRPr="00890BF8">
        <w:rPr>
          <w:rFonts w:asciiTheme="minorHAnsi" w:eastAsia="Times New Roman" w:hAnsiTheme="minorHAnsi" w:cstheme="minorHAnsi"/>
        </w:rPr>
        <w:t>9</w:t>
      </w:r>
      <w:r w:rsidR="000E2EB1" w:rsidRPr="00890BF8">
        <w:rPr>
          <w:rFonts w:asciiTheme="minorHAnsi" w:eastAsia="Times New Roman" w:hAnsiTheme="minorHAnsi" w:cstheme="minorHAnsi"/>
        </w:rPr>
        <w:t xml:space="preserve"> δι</w:t>
      </w:r>
      <w:r w:rsidR="000F7F4E" w:rsidRPr="00890BF8">
        <w:rPr>
          <w:rFonts w:asciiTheme="minorHAnsi" w:eastAsia="Times New Roman" w:hAnsiTheme="minorHAnsi" w:cstheme="minorHAnsi"/>
        </w:rPr>
        <w:t>σ.</w:t>
      </w:r>
      <w:r w:rsidR="00B052DF" w:rsidRPr="00890BF8">
        <w:rPr>
          <w:rFonts w:asciiTheme="minorHAnsi" w:eastAsia="Times New Roman" w:hAnsiTheme="minorHAnsi" w:cstheme="minorHAnsi"/>
        </w:rPr>
        <w:t xml:space="preserve">, </w:t>
      </w:r>
      <w:r w:rsidR="00411101" w:rsidRPr="00890BF8">
        <w:rPr>
          <w:rFonts w:asciiTheme="minorHAnsi" w:eastAsia="Times New Roman" w:hAnsiTheme="minorHAnsi" w:cstheme="minorHAnsi"/>
        </w:rPr>
        <w:t xml:space="preserve">έναντι </w:t>
      </w:r>
      <w:r w:rsidR="000E2EB1" w:rsidRPr="00890BF8">
        <w:rPr>
          <w:rFonts w:asciiTheme="minorHAnsi" w:eastAsia="Times New Roman" w:hAnsiTheme="minorHAnsi" w:cstheme="minorHAnsi"/>
        </w:rPr>
        <w:t xml:space="preserve">€ </w:t>
      </w:r>
      <w:r w:rsidR="00411101" w:rsidRPr="00890BF8">
        <w:rPr>
          <w:rFonts w:asciiTheme="minorHAnsi" w:eastAsia="Times New Roman" w:hAnsiTheme="minorHAnsi" w:cstheme="minorHAnsi"/>
        </w:rPr>
        <w:t>2,5 δι</w:t>
      </w:r>
      <w:r w:rsidR="00737647" w:rsidRPr="00890BF8">
        <w:rPr>
          <w:rFonts w:asciiTheme="minorHAnsi" w:eastAsia="Times New Roman" w:hAnsiTheme="minorHAnsi" w:cstheme="minorHAnsi"/>
        </w:rPr>
        <w:t>σ.</w:t>
      </w:r>
      <w:r w:rsidR="000E2EB1" w:rsidRPr="00890BF8">
        <w:rPr>
          <w:rFonts w:asciiTheme="minorHAnsi" w:eastAsia="Times New Roman" w:hAnsiTheme="minorHAnsi" w:cstheme="minorHAnsi"/>
        </w:rPr>
        <w:t xml:space="preserve"> </w:t>
      </w:r>
      <w:r w:rsidR="00411101" w:rsidRPr="00890BF8">
        <w:rPr>
          <w:rFonts w:asciiTheme="minorHAnsi" w:eastAsia="Times New Roman" w:hAnsiTheme="minorHAnsi" w:cstheme="minorHAnsi"/>
        </w:rPr>
        <w:t>στο τέλος του 2021</w:t>
      </w:r>
      <w:r w:rsidR="000E2EB1" w:rsidRPr="00890BF8">
        <w:rPr>
          <w:rFonts w:asciiTheme="minorHAnsi" w:eastAsia="Times New Roman" w:hAnsiTheme="minorHAnsi" w:cstheme="minorHAnsi"/>
        </w:rPr>
        <w:t xml:space="preserve">. </w:t>
      </w:r>
      <w:r w:rsidR="00447AC7" w:rsidRPr="00890BF8">
        <w:rPr>
          <w:rFonts w:asciiTheme="minorHAnsi" w:hAnsiTheme="minorHAnsi" w:cstheme="minorHAnsi"/>
        </w:rPr>
        <w:t>Περαιτέρω</w:t>
      </w:r>
      <w:r w:rsidR="000F7F4E" w:rsidRPr="00890BF8">
        <w:rPr>
          <w:rFonts w:asciiTheme="minorHAnsi" w:hAnsiTheme="minorHAnsi" w:cstheme="minorHAnsi"/>
        </w:rPr>
        <w:t>,</w:t>
      </w:r>
      <w:r w:rsidR="00447AC7" w:rsidRPr="00890BF8">
        <w:rPr>
          <w:rFonts w:asciiTheme="minorHAnsi" w:hAnsiTheme="minorHAnsi" w:cstheme="minorHAnsi"/>
        </w:rPr>
        <w:t xml:space="preserve"> ο </w:t>
      </w:r>
      <w:r w:rsidR="00893206" w:rsidRPr="00890BF8">
        <w:rPr>
          <w:rFonts w:asciiTheme="minorHAnsi" w:hAnsiTheme="minorHAnsi" w:cstheme="minorHAnsi"/>
        </w:rPr>
        <w:t>Ό</w:t>
      </w:r>
      <w:r w:rsidR="00447AC7" w:rsidRPr="00890BF8">
        <w:rPr>
          <w:rFonts w:asciiTheme="minorHAnsi" w:hAnsiTheme="minorHAnsi" w:cstheme="minorHAnsi"/>
        </w:rPr>
        <w:t xml:space="preserve">μιλος αναμένει </w:t>
      </w:r>
      <w:r w:rsidR="00AE4E50" w:rsidRPr="00890BF8">
        <w:rPr>
          <w:rFonts w:asciiTheme="minorHAnsi" w:hAnsiTheme="minorHAnsi" w:cstheme="minorHAnsi"/>
        </w:rPr>
        <w:t xml:space="preserve">τη </w:t>
      </w:r>
      <w:proofErr w:type="spellStart"/>
      <w:r w:rsidR="00AE4E50" w:rsidRPr="00890BF8">
        <w:rPr>
          <w:rFonts w:asciiTheme="minorHAnsi" w:hAnsiTheme="minorHAnsi" w:cstheme="minorHAnsi"/>
        </w:rPr>
        <w:t>συμβασιοποίηση</w:t>
      </w:r>
      <w:proofErr w:type="spellEnd"/>
      <w:r w:rsidR="00AE4E50" w:rsidRPr="00890BF8">
        <w:rPr>
          <w:rFonts w:asciiTheme="minorHAnsi" w:hAnsiTheme="minorHAnsi" w:cstheme="minorHAnsi"/>
        </w:rPr>
        <w:t xml:space="preserve"> </w:t>
      </w:r>
      <w:r w:rsidR="00447AC7" w:rsidRPr="00890BF8">
        <w:rPr>
          <w:rFonts w:asciiTheme="minorHAnsi" w:hAnsiTheme="minorHAnsi" w:cstheme="minorHAnsi"/>
        </w:rPr>
        <w:t>νέων έργων ύψους € 2,</w:t>
      </w:r>
      <w:r w:rsidR="00B151C8" w:rsidRPr="00890BF8">
        <w:rPr>
          <w:rFonts w:asciiTheme="minorHAnsi" w:hAnsiTheme="minorHAnsi" w:cstheme="minorHAnsi"/>
        </w:rPr>
        <w:t>4</w:t>
      </w:r>
      <w:r w:rsidR="00447AC7" w:rsidRPr="00890BF8">
        <w:rPr>
          <w:rFonts w:asciiTheme="minorHAnsi" w:hAnsiTheme="minorHAnsi" w:cstheme="minorHAnsi"/>
        </w:rPr>
        <w:t xml:space="preserve"> δι</w:t>
      </w:r>
      <w:r w:rsidR="000F7F4E" w:rsidRPr="00890BF8">
        <w:rPr>
          <w:rFonts w:asciiTheme="minorHAnsi" w:hAnsiTheme="minorHAnsi" w:cstheme="minorHAnsi"/>
        </w:rPr>
        <w:t>σ.</w:t>
      </w:r>
      <w:r w:rsidR="00115F30" w:rsidRPr="00890BF8">
        <w:rPr>
          <w:rFonts w:asciiTheme="minorHAnsi" w:eastAsia="Times New Roman" w:hAnsiTheme="minorHAnsi" w:cstheme="minorHAnsi"/>
        </w:rPr>
        <w:t xml:space="preserve"> που έχει εξασφαλίσει.</w:t>
      </w:r>
      <w:r w:rsidR="006959CD" w:rsidRPr="00890BF8">
        <w:rPr>
          <w:rFonts w:asciiTheme="minorHAnsi" w:eastAsia="Times New Roman" w:hAnsiTheme="minorHAnsi" w:cstheme="minorHAnsi"/>
        </w:rPr>
        <w:t xml:space="preserve"> </w:t>
      </w:r>
      <w:r w:rsidR="00115F30" w:rsidRPr="00890BF8">
        <w:rPr>
          <w:rFonts w:asciiTheme="minorHAnsi" w:eastAsia="Times New Roman" w:hAnsiTheme="minorHAnsi" w:cstheme="minorHAnsi"/>
        </w:rPr>
        <w:t>Επίσης,</w:t>
      </w:r>
      <w:r w:rsidR="00B151C8" w:rsidRPr="00890BF8">
        <w:rPr>
          <w:rFonts w:asciiTheme="minorHAnsi" w:eastAsia="Times New Roman" w:hAnsiTheme="minorHAnsi" w:cstheme="minorHAnsi"/>
        </w:rPr>
        <w:t xml:space="preserve"> τα περιθώρια κερδοφορίας παρ</w:t>
      </w:r>
      <w:r w:rsidR="00E94677" w:rsidRPr="00890BF8">
        <w:rPr>
          <w:rFonts w:asciiTheme="minorHAnsi" w:eastAsia="Times New Roman" w:hAnsiTheme="minorHAnsi" w:cstheme="minorHAnsi"/>
        </w:rPr>
        <w:t>έ</w:t>
      </w:r>
      <w:r w:rsidR="00B151C8" w:rsidRPr="00890BF8">
        <w:rPr>
          <w:rFonts w:asciiTheme="minorHAnsi" w:eastAsia="Times New Roman" w:hAnsiTheme="minorHAnsi" w:cstheme="minorHAnsi"/>
        </w:rPr>
        <w:t>με</w:t>
      </w:r>
      <w:r w:rsidR="00E94677" w:rsidRPr="00890BF8">
        <w:rPr>
          <w:rFonts w:asciiTheme="minorHAnsi" w:eastAsia="Times New Roman" w:hAnsiTheme="minorHAnsi" w:cstheme="minorHAnsi"/>
        </w:rPr>
        <w:t>ι</w:t>
      </w:r>
      <w:r w:rsidR="00B151C8" w:rsidRPr="00890BF8">
        <w:rPr>
          <w:rFonts w:asciiTheme="minorHAnsi" w:eastAsia="Times New Roman" w:hAnsiTheme="minorHAnsi" w:cstheme="minorHAnsi"/>
        </w:rPr>
        <w:t>ν</w:t>
      </w:r>
      <w:r w:rsidR="00E94677" w:rsidRPr="00890BF8">
        <w:rPr>
          <w:rFonts w:asciiTheme="minorHAnsi" w:eastAsia="Times New Roman" w:hAnsiTheme="minorHAnsi" w:cstheme="minorHAnsi"/>
        </w:rPr>
        <w:t>α</w:t>
      </w:r>
      <w:r w:rsidR="00B151C8" w:rsidRPr="00890BF8">
        <w:rPr>
          <w:rFonts w:asciiTheme="minorHAnsi" w:eastAsia="Times New Roman" w:hAnsiTheme="minorHAnsi" w:cstheme="minorHAnsi"/>
        </w:rPr>
        <w:t xml:space="preserve">ν </w:t>
      </w:r>
      <w:r w:rsidR="005F5DBB" w:rsidRPr="00890BF8">
        <w:rPr>
          <w:rFonts w:asciiTheme="minorHAnsi" w:eastAsia="Times New Roman" w:hAnsiTheme="minorHAnsi" w:cstheme="minorHAnsi"/>
        </w:rPr>
        <w:t xml:space="preserve">σε </w:t>
      </w:r>
      <w:r w:rsidR="00B151C8" w:rsidRPr="00890BF8">
        <w:rPr>
          <w:rFonts w:asciiTheme="minorHAnsi" w:eastAsia="Times New Roman" w:hAnsiTheme="minorHAnsi" w:cstheme="minorHAnsi"/>
        </w:rPr>
        <w:t>ικανοποιητικά</w:t>
      </w:r>
      <w:r w:rsidR="00C55E8D" w:rsidRPr="00890BF8">
        <w:rPr>
          <w:rFonts w:asciiTheme="minorHAnsi" w:eastAsia="Times New Roman" w:hAnsiTheme="minorHAnsi" w:cstheme="minorHAnsi"/>
        </w:rPr>
        <w:t xml:space="preserve"> </w:t>
      </w:r>
      <w:r w:rsidR="005F5DBB" w:rsidRPr="00890BF8">
        <w:rPr>
          <w:rFonts w:asciiTheme="minorHAnsi" w:eastAsia="Times New Roman" w:hAnsiTheme="minorHAnsi" w:cstheme="minorHAnsi"/>
        </w:rPr>
        <w:t xml:space="preserve">επίπεδα </w:t>
      </w:r>
      <w:r w:rsidR="00C55E8D" w:rsidRPr="00890BF8">
        <w:rPr>
          <w:rFonts w:asciiTheme="minorHAnsi" w:eastAsia="Times New Roman" w:hAnsiTheme="minorHAnsi" w:cstheme="minorHAnsi"/>
        </w:rPr>
        <w:t>δεδομένου του διαφοροποιημένου χαρτοφυλακίου έργων και</w:t>
      </w:r>
      <w:r w:rsidR="00115F30" w:rsidRPr="00890BF8">
        <w:rPr>
          <w:rFonts w:asciiTheme="minorHAnsi" w:eastAsia="Times New Roman" w:hAnsiTheme="minorHAnsi" w:cstheme="minorHAnsi"/>
        </w:rPr>
        <w:t xml:space="preserve"> της προσήλωσης της Διοίκησης στην πειθαρχημένη εκτέλεση των προϋπολογισμών</w:t>
      </w:r>
      <w:r w:rsidR="006F74C5" w:rsidRPr="00890BF8">
        <w:rPr>
          <w:rFonts w:asciiTheme="minorHAnsi" w:eastAsia="Times New Roman" w:hAnsiTheme="minorHAnsi" w:cstheme="minorHAnsi"/>
        </w:rPr>
        <w:t xml:space="preserve"> των έργων</w:t>
      </w:r>
      <w:r w:rsidR="00115F30" w:rsidRPr="00890BF8">
        <w:rPr>
          <w:rFonts w:asciiTheme="minorHAnsi" w:eastAsia="Times New Roman" w:hAnsiTheme="minorHAnsi" w:cstheme="minorHAnsi"/>
        </w:rPr>
        <w:t>.</w:t>
      </w:r>
      <w:r w:rsidR="00115F30">
        <w:rPr>
          <w:rFonts w:asciiTheme="minorHAnsi" w:eastAsia="Times New Roman" w:hAnsiTheme="minorHAnsi" w:cstheme="minorHAnsi"/>
        </w:rPr>
        <w:t xml:space="preserve"> </w:t>
      </w:r>
      <w:r w:rsidR="00B151C8">
        <w:rPr>
          <w:rFonts w:asciiTheme="minorHAnsi" w:eastAsia="Times New Roman" w:hAnsiTheme="minorHAnsi" w:cstheme="minorHAnsi"/>
        </w:rPr>
        <w:t xml:space="preserve"> </w:t>
      </w:r>
    </w:p>
    <w:p w14:paraId="6CC30B42" w14:textId="4BFFDA61" w:rsidR="00456FC2" w:rsidRPr="00F22A35" w:rsidRDefault="00B7673B" w:rsidP="00AB5A93">
      <w:pPr>
        <w:spacing w:before="240" w:after="120"/>
        <w:jc w:val="both"/>
        <w:rPr>
          <w:rFonts w:asciiTheme="minorHAnsi" w:eastAsia="Times New Roman" w:hAnsiTheme="minorHAnsi" w:cstheme="minorHAnsi"/>
        </w:rPr>
      </w:pPr>
      <w:r w:rsidRPr="00F22A35">
        <w:rPr>
          <w:rFonts w:asciiTheme="minorHAnsi" w:eastAsia="Times New Roman" w:hAnsiTheme="minorHAnsi" w:cstheme="minorHAnsi"/>
          <w:b/>
          <w:bCs/>
        </w:rPr>
        <w:t>Σχετικά με τον τομέα παραχωρήσεων, οι διελεύσεις στους αυτοκινητόδρομους (</w:t>
      </w:r>
      <w:r w:rsidR="00EF27E8" w:rsidRPr="00F22A35">
        <w:rPr>
          <w:rFonts w:asciiTheme="minorHAnsi" w:eastAsia="Times New Roman" w:hAnsiTheme="minorHAnsi" w:cstheme="minorHAnsi"/>
          <w:b/>
          <w:bCs/>
        </w:rPr>
        <w:t>Νέα</w:t>
      </w:r>
      <w:r w:rsidRPr="00F22A35">
        <w:rPr>
          <w:rFonts w:asciiTheme="minorHAnsi" w:eastAsia="Times New Roman" w:hAnsiTheme="minorHAnsi" w:cstheme="minorHAnsi"/>
          <w:b/>
          <w:bCs/>
        </w:rPr>
        <w:t xml:space="preserve"> Οδό</w:t>
      </w:r>
      <w:r w:rsidR="00EF27E8" w:rsidRPr="00F22A35">
        <w:rPr>
          <w:rFonts w:asciiTheme="minorHAnsi" w:eastAsia="Times New Roman" w:hAnsiTheme="minorHAnsi" w:cstheme="minorHAnsi"/>
          <w:b/>
          <w:bCs/>
        </w:rPr>
        <w:t>ς</w:t>
      </w:r>
      <w:r w:rsidRPr="00F22A35">
        <w:rPr>
          <w:rFonts w:asciiTheme="minorHAnsi" w:eastAsia="Times New Roman" w:hAnsiTheme="minorHAnsi" w:cstheme="minorHAnsi"/>
          <w:b/>
          <w:bCs/>
        </w:rPr>
        <w:t xml:space="preserve"> και Κεντρική Οδό</w:t>
      </w:r>
      <w:r w:rsidR="00EF27E8" w:rsidRPr="00F22A35">
        <w:rPr>
          <w:rFonts w:asciiTheme="minorHAnsi" w:eastAsia="Times New Roman" w:hAnsiTheme="minorHAnsi" w:cstheme="minorHAnsi"/>
          <w:b/>
          <w:bCs/>
        </w:rPr>
        <w:t>ς</w:t>
      </w:r>
      <w:r w:rsidRPr="00F22A35">
        <w:rPr>
          <w:rFonts w:asciiTheme="minorHAnsi" w:eastAsia="Times New Roman" w:hAnsiTheme="minorHAnsi" w:cstheme="minorHAnsi"/>
          <w:b/>
          <w:bCs/>
        </w:rPr>
        <w:t xml:space="preserve">) </w:t>
      </w:r>
      <w:r w:rsidR="00B151C8">
        <w:rPr>
          <w:rFonts w:asciiTheme="minorHAnsi" w:eastAsia="Times New Roman" w:hAnsiTheme="minorHAnsi" w:cstheme="minorHAnsi"/>
          <w:b/>
          <w:bCs/>
        </w:rPr>
        <w:t>κατά το 2022</w:t>
      </w:r>
      <w:r w:rsidR="00DC64F8" w:rsidRPr="00F22A35">
        <w:rPr>
          <w:rFonts w:asciiTheme="minorHAnsi" w:eastAsia="Times New Roman" w:hAnsiTheme="minorHAnsi" w:cstheme="minorHAnsi"/>
          <w:b/>
          <w:bCs/>
        </w:rPr>
        <w:t xml:space="preserve"> </w:t>
      </w:r>
      <w:r w:rsidRPr="00F22A35">
        <w:rPr>
          <w:rFonts w:asciiTheme="minorHAnsi" w:eastAsia="Times New Roman" w:hAnsiTheme="minorHAnsi" w:cstheme="minorHAnsi"/>
          <w:b/>
          <w:bCs/>
        </w:rPr>
        <w:t>αυξήθηκαν σε σχέση με την περασμένη χρονιά</w:t>
      </w:r>
      <w:r w:rsidRPr="00F22A35">
        <w:rPr>
          <w:rFonts w:asciiTheme="minorHAnsi" w:eastAsia="Times New Roman" w:hAnsiTheme="minorHAnsi" w:cstheme="minorHAnsi"/>
        </w:rPr>
        <w:t xml:space="preserve"> </w:t>
      </w:r>
      <w:r w:rsidR="00DC64F8" w:rsidRPr="00F22A35">
        <w:rPr>
          <w:rFonts w:asciiTheme="minorHAnsi" w:eastAsia="Times New Roman" w:hAnsiTheme="minorHAnsi" w:cstheme="minorHAnsi"/>
          <w:b/>
          <w:bCs/>
        </w:rPr>
        <w:t xml:space="preserve">κατά </w:t>
      </w:r>
      <w:r w:rsidR="00B151C8">
        <w:rPr>
          <w:rFonts w:asciiTheme="minorHAnsi" w:eastAsia="Times New Roman" w:hAnsiTheme="minorHAnsi" w:cstheme="minorHAnsi"/>
          <w:b/>
          <w:bCs/>
        </w:rPr>
        <w:t>16,2</w:t>
      </w:r>
      <w:r w:rsidR="00DC64F8" w:rsidRPr="00F22A35">
        <w:rPr>
          <w:rFonts w:asciiTheme="minorHAnsi" w:eastAsia="Times New Roman" w:hAnsiTheme="minorHAnsi" w:cstheme="minorHAnsi"/>
          <w:b/>
          <w:bCs/>
        </w:rPr>
        <w:t>%</w:t>
      </w:r>
      <w:r w:rsidR="00DC64F8" w:rsidRPr="00F22A35">
        <w:rPr>
          <w:rFonts w:asciiTheme="minorHAnsi" w:eastAsia="Times New Roman" w:hAnsiTheme="minorHAnsi" w:cstheme="minorHAnsi"/>
        </w:rPr>
        <w:t xml:space="preserve"> </w:t>
      </w:r>
      <w:r w:rsidRPr="00F22A35">
        <w:rPr>
          <w:rFonts w:asciiTheme="minorHAnsi" w:eastAsia="Times New Roman" w:hAnsiTheme="minorHAnsi" w:cstheme="minorHAnsi"/>
        </w:rPr>
        <w:t xml:space="preserve">σε συνέχεια της άρσης των περιορισμών </w:t>
      </w:r>
      <w:r w:rsidR="006A489D" w:rsidRPr="00F22A35">
        <w:rPr>
          <w:rFonts w:asciiTheme="minorHAnsi" w:eastAsia="Times New Roman" w:hAnsiTheme="minorHAnsi" w:cstheme="minorHAnsi"/>
        </w:rPr>
        <w:t xml:space="preserve">στην κυκλοφορία που είχαν επιβληθεί </w:t>
      </w:r>
      <w:r w:rsidRPr="00F22A35">
        <w:rPr>
          <w:rFonts w:asciiTheme="minorHAnsi" w:eastAsia="Times New Roman" w:hAnsiTheme="minorHAnsi" w:cstheme="minorHAnsi"/>
        </w:rPr>
        <w:t>λόγ</w:t>
      </w:r>
      <w:r w:rsidR="00D0125C" w:rsidRPr="00F22A35">
        <w:rPr>
          <w:rFonts w:asciiTheme="minorHAnsi" w:eastAsia="Times New Roman" w:hAnsiTheme="minorHAnsi" w:cstheme="minorHAnsi"/>
        </w:rPr>
        <w:t>ω</w:t>
      </w:r>
      <w:r w:rsidRPr="00F22A35">
        <w:rPr>
          <w:rFonts w:asciiTheme="minorHAnsi" w:eastAsia="Times New Roman" w:hAnsiTheme="minorHAnsi" w:cstheme="minorHAnsi"/>
        </w:rPr>
        <w:t xml:space="preserve"> πανδημίας. Σημειώνεται ότι</w:t>
      </w:r>
      <w:r w:rsidR="00FC3570" w:rsidRPr="00F22A35">
        <w:rPr>
          <w:rFonts w:asciiTheme="minorHAnsi" w:eastAsia="Times New Roman" w:hAnsiTheme="minorHAnsi" w:cstheme="minorHAnsi"/>
        </w:rPr>
        <w:t xml:space="preserve"> </w:t>
      </w:r>
      <w:r w:rsidRPr="00F22A35">
        <w:rPr>
          <w:rFonts w:asciiTheme="minorHAnsi" w:eastAsia="Times New Roman" w:hAnsiTheme="minorHAnsi" w:cstheme="minorHAnsi"/>
        </w:rPr>
        <w:t>τα επίπεδα κ</w:t>
      </w:r>
      <w:r w:rsidR="006A489D" w:rsidRPr="00F22A35">
        <w:rPr>
          <w:rFonts w:asciiTheme="minorHAnsi" w:eastAsia="Times New Roman" w:hAnsiTheme="minorHAnsi" w:cstheme="minorHAnsi"/>
        </w:rPr>
        <w:t>υκλοφορίας</w:t>
      </w:r>
      <w:r w:rsidRPr="00F22A35">
        <w:rPr>
          <w:rFonts w:asciiTheme="minorHAnsi" w:eastAsia="Times New Roman" w:hAnsiTheme="minorHAnsi" w:cstheme="minorHAnsi"/>
        </w:rPr>
        <w:t xml:space="preserve"> </w:t>
      </w:r>
      <w:r w:rsidR="00DC64F8" w:rsidRPr="00F22A35">
        <w:rPr>
          <w:rFonts w:asciiTheme="minorHAnsi" w:eastAsia="Times New Roman" w:hAnsiTheme="minorHAnsi" w:cstheme="minorHAnsi"/>
        </w:rPr>
        <w:t>πλέον έχουν ξεπεράσει τα αντίστοιχα του 2019 (+</w:t>
      </w:r>
      <w:r w:rsidR="00B151C8">
        <w:rPr>
          <w:rFonts w:asciiTheme="minorHAnsi" w:eastAsia="Times New Roman" w:hAnsiTheme="minorHAnsi" w:cstheme="minorHAnsi"/>
        </w:rPr>
        <w:t>4,2</w:t>
      </w:r>
      <w:r w:rsidR="00DC64F8" w:rsidRPr="00F22A35">
        <w:rPr>
          <w:rFonts w:asciiTheme="minorHAnsi" w:eastAsia="Times New Roman" w:hAnsiTheme="minorHAnsi" w:cstheme="minorHAnsi"/>
        </w:rPr>
        <w:t>%</w:t>
      </w:r>
      <w:r w:rsidR="00E62F9D" w:rsidRPr="00F22A35">
        <w:rPr>
          <w:rFonts w:asciiTheme="minorHAnsi" w:eastAsia="Times New Roman" w:hAnsiTheme="minorHAnsi" w:cstheme="minorHAnsi"/>
        </w:rPr>
        <w:t xml:space="preserve"> έναντι 2019).</w:t>
      </w:r>
      <w:r w:rsidR="00FC3570" w:rsidRPr="00F22A35">
        <w:rPr>
          <w:rFonts w:asciiTheme="minorHAnsi" w:eastAsia="Times New Roman" w:hAnsiTheme="minorHAnsi" w:cstheme="minorHAnsi"/>
        </w:rPr>
        <w:t xml:space="preserve"> </w:t>
      </w:r>
    </w:p>
    <w:p w14:paraId="4D77409E" w14:textId="32ED107C" w:rsidR="00C811AB" w:rsidRDefault="00960C1C" w:rsidP="00A774A1">
      <w:pPr>
        <w:jc w:val="both"/>
        <w:rPr>
          <w:rFonts w:cs="Calibri"/>
          <w:b/>
          <w:bCs/>
        </w:rPr>
      </w:pPr>
      <w:r w:rsidRPr="00F22A35">
        <w:rPr>
          <w:rFonts w:cs="Calibri"/>
          <w:b/>
          <w:bCs/>
        </w:rPr>
        <w:t xml:space="preserve">Στον τομέα </w:t>
      </w:r>
      <w:r w:rsidR="006373AB" w:rsidRPr="00F22A35">
        <w:rPr>
          <w:rFonts w:cs="Calibri"/>
          <w:b/>
          <w:bCs/>
        </w:rPr>
        <w:t xml:space="preserve">παραγωγής και εμπορίας </w:t>
      </w:r>
      <w:r w:rsidRPr="00F22A35">
        <w:rPr>
          <w:rFonts w:cs="Calibri"/>
          <w:b/>
          <w:bCs/>
        </w:rPr>
        <w:t>ενέργειας</w:t>
      </w:r>
      <w:r w:rsidR="006373AB" w:rsidRPr="00F22A35">
        <w:rPr>
          <w:rFonts w:cs="Calibri"/>
          <w:b/>
          <w:bCs/>
        </w:rPr>
        <w:t xml:space="preserve"> (ηλεκτρισμού και φυσικού αερίου) στην Ελλάδα και το </w:t>
      </w:r>
      <w:r w:rsidR="006A489D" w:rsidRPr="00F22A35">
        <w:rPr>
          <w:rFonts w:cs="Calibri"/>
          <w:b/>
          <w:bCs/>
        </w:rPr>
        <w:t>ε</w:t>
      </w:r>
      <w:r w:rsidR="006373AB" w:rsidRPr="00F22A35">
        <w:rPr>
          <w:rFonts w:cs="Calibri"/>
          <w:b/>
          <w:bCs/>
        </w:rPr>
        <w:t>ξωτερικό</w:t>
      </w:r>
      <w:r w:rsidRPr="00F22A35">
        <w:rPr>
          <w:rFonts w:cs="Calibri"/>
          <w:b/>
          <w:bCs/>
        </w:rPr>
        <w:t>,</w:t>
      </w:r>
      <w:r w:rsidR="00EF27E8" w:rsidRPr="00F22A35">
        <w:rPr>
          <w:rFonts w:cs="Calibri"/>
          <w:b/>
          <w:bCs/>
        </w:rPr>
        <w:t xml:space="preserve"> </w:t>
      </w:r>
      <w:r w:rsidR="00A774A1">
        <w:rPr>
          <w:rFonts w:cs="Calibri"/>
          <w:b/>
          <w:bCs/>
        </w:rPr>
        <w:t xml:space="preserve">ο Όμιλος ανταποκρίθηκε με επιτυχία στις εξαιρετικά αντίξοες και ευμετάβλητες συνθήκες που δημιούργησε η ενεργειακή κρίση. </w:t>
      </w:r>
      <w:r w:rsidR="00A774A1" w:rsidRPr="006F74C5">
        <w:rPr>
          <w:rFonts w:cs="Calibri"/>
          <w:b/>
          <w:bCs/>
        </w:rPr>
        <w:t xml:space="preserve">Ειδικά σε ό,τι αφορά στην ευστάθεια του ελληνικού ηλεκτρικού συστήματος, οι </w:t>
      </w:r>
      <w:r w:rsidR="00453F50">
        <w:rPr>
          <w:rFonts w:cs="Calibri"/>
          <w:b/>
          <w:bCs/>
        </w:rPr>
        <w:t xml:space="preserve">συμβατικές </w:t>
      </w:r>
      <w:r w:rsidR="00A774A1" w:rsidRPr="006F74C5">
        <w:rPr>
          <w:rFonts w:cs="Calibri"/>
          <w:b/>
          <w:bCs/>
        </w:rPr>
        <w:t xml:space="preserve">μονάδες ηλεκτροπαραγωγής, τα αιολικά πάρκα και οι </w:t>
      </w:r>
      <w:proofErr w:type="spellStart"/>
      <w:r w:rsidR="00A774A1" w:rsidRPr="006F74C5">
        <w:rPr>
          <w:rFonts w:cs="Calibri"/>
          <w:b/>
          <w:bCs/>
        </w:rPr>
        <w:t>φωτοβολταϊκοί</w:t>
      </w:r>
      <w:proofErr w:type="spellEnd"/>
      <w:r w:rsidR="00A774A1" w:rsidRPr="006F74C5">
        <w:rPr>
          <w:rFonts w:cs="Calibri"/>
          <w:b/>
          <w:bCs/>
        </w:rPr>
        <w:t xml:space="preserve"> σταθμοί του Ομίλου συνέβαλαν σ</w:t>
      </w:r>
      <w:r w:rsidR="00A774A1" w:rsidRPr="006F74C5">
        <w:rPr>
          <w:rFonts w:asciiTheme="minorHAnsi" w:eastAsia="Times New Roman" w:hAnsiTheme="minorHAnsi" w:cstheme="minorHAnsi"/>
          <w:b/>
          <w:bCs/>
        </w:rPr>
        <w:t>την απρόσκοπτη λειτουργία και σταθερότητα του ηλεκτρικού συστήματος</w:t>
      </w:r>
      <w:r w:rsidR="000E684E">
        <w:rPr>
          <w:rFonts w:asciiTheme="minorHAnsi" w:eastAsia="Times New Roman" w:hAnsiTheme="minorHAnsi" w:cstheme="minorHAnsi"/>
          <w:b/>
          <w:bCs/>
        </w:rPr>
        <w:t xml:space="preserve">. </w:t>
      </w:r>
    </w:p>
    <w:p w14:paraId="215B88AB" w14:textId="63D0CA75" w:rsidR="00A774A1" w:rsidRDefault="00A774A1" w:rsidP="00AB5A93">
      <w:pPr>
        <w:jc w:val="both"/>
        <w:rPr>
          <w:rFonts w:cs="Calibri"/>
        </w:rPr>
      </w:pPr>
      <w:r>
        <w:rPr>
          <w:rFonts w:cs="Calibri"/>
        </w:rPr>
        <w:t>Η</w:t>
      </w:r>
      <w:r w:rsidR="006A489D" w:rsidRPr="00F22A35">
        <w:rPr>
          <w:rFonts w:cs="Calibri"/>
        </w:rPr>
        <w:t xml:space="preserve"> </w:t>
      </w:r>
      <w:r w:rsidR="00960C1C" w:rsidRPr="00F22A35">
        <w:rPr>
          <w:rFonts w:cs="Calibri"/>
        </w:rPr>
        <w:t xml:space="preserve">εγκατεστημένη ισχύς του </w:t>
      </w:r>
      <w:r w:rsidR="00A1137B" w:rsidRPr="00F22A35">
        <w:rPr>
          <w:rFonts w:cs="Calibri"/>
        </w:rPr>
        <w:t>Ομίλου</w:t>
      </w:r>
      <w:r w:rsidR="00960C1C" w:rsidRPr="00F22A35">
        <w:rPr>
          <w:rFonts w:cs="Calibri"/>
        </w:rPr>
        <w:t xml:space="preserve"> από </w:t>
      </w:r>
      <w:r w:rsidR="00D0125C" w:rsidRPr="00F22A35">
        <w:rPr>
          <w:rFonts w:cs="Calibri"/>
        </w:rPr>
        <w:t>Α</w:t>
      </w:r>
      <w:r w:rsidR="00960C1C" w:rsidRPr="00F22A35">
        <w:rPr>
          <w:rFonts w:cs="Calibri"/>
        </w:rPr>
        <w:t xml:space="preserve">νανεώσιμες </w:t>
      </w:r>
      <w:r w:rsidR="00D0125C" w:rsidRPr="00F22A35">
        <w:rPr>
          <w:rFonts w:cs="Calibri"/>
        </w:rPr>
        <w:t>Π</w:t>
      </w:r>
      <w:r w:rsidR="00960C1C" w:rsidRPr="00F22A35">
        <w:rPr>
          <w:rFonts w:cs="Calibri"/>
        </w:rPr>
        <w:t xml:space="preserve">ηγές </w:t>
      </w:r>
      <w:r w:rsidR="00D0125C" w:rsidRPr="00F22A35">
        <w:rPr>
          <w:rFonts w:cs="Calibri"/>
        </w:rPr>
        <w:t xml:space="preserve">Ενέργειας </w:t>
      </w:r>
      <w:r w:rsidR="00960C1C" w:rsidRPr="00F22A35">
        <w:rPr>
          <w:rFonts w:cs="Calibri"/>
        </w:rPr>
        <w:t xml:space="preserve">στο τέλος του </w:t>
      </w:r>
      <w:r w:rsidR="006C165E">
        <w:rPr>
          <w:rFonts w:cs="Calibri"/>
        </w:rPr>
        <w:t>έτους</w:t>
      </w:r>
      <w:r w:rsidR="00E62F9D" w:rsidRPr="00F22A35">
        <w:rPr>
          <w:rFonts w:cs="Calibri"/>
        </w:rPr>
        <w:t xml:space="preserve"> </w:t>
      </w:r>
      <w:r w:rsidR="006A489D" w:rsidRPr="00F22A35">
        <w:rPr>
          <w:rFonts w:cs="Calibri"/>
        </w:rPr>
        <w:t xml:space="preserve">ήταν </w:t>
      </w:r>
      <w:r w:rsidR="006C165E">
        <w:rPr>
          <w:rFonts w:cs="Calibri"/>
        </w:rPr>
        <w:t>905</w:t>
      </w:r>
      <w:r w:rsidR="00960C1C" w:rsidRPr="00F22A35">
        <w:rPr>
          <w:rFonts w:cs="Calibri"/>
        </w:rPr>
        <w:t xml:space="preserve"> </w:t>
      </w:r>
      <w:r w:rsidR="00960C1C" w:rsidRPr="00F22A35">
        <w:rPr>
          <w:rFonts w:cs="Calibri"/>
          <w:lang w:val="en-US"/>
        </w:rPr>
        <w:t>MW</w:t>
      </w:r>
      <w:r w:rsidR="00E62F9D" w:rsidRPr="00F22A35">
        <w:rPr>
          <w:rFonts w:cs="Calibri"/>
        </w:rPr>
        <w:t xml:space="preserve">, ενώ </w:t>
      </w:r>
      <w:r w:rsidR="006C165E">
        <w:rPr>
          <w:rFonts w:cs="Calibri"/>
        </w:rPr>
        <w:t xml:space="preserve">συνολικά </w:t>
      </w:r>
      <w:r w:rsidR="00E62F9D" w:rsidRPr="00F22A35">
        <w:rPr>
          <w:rFonts w:cs="Calibri"/>
        </w:rPr>
        <w:t>2</w:t>
      </w:r>
      <w:r w:rsidR="006C165E">
        <w:rPr>
          <w:rFonts w:cs="Calibri"/>
        </w:rPr>
        <w:t>,0</w:t>
      </w:r>
      <w:r w:rsidR="006A489D" w:rsidRPr="00F22A35">
        <w:rPr>
          <w:rFonts w:cs="Calibri"/>
        </w:rPr>
        <w:t xml:space="preserve"> </w:t>
      </w:r>
      <w:r w:rsidR="00E62F9D" w:rsidRPr="00F22A35">
        <w:rPr>
          <w:rFonts w:cs="Calibri"/>
          <w:lang w:val="en-US"/>
        </w:rPr>
        <w:t>GW</w:t>
      </w:r>
      <w:r w:rsidR="00E62F9D" w:rsidRPr="00F22A35">
        <w:rPr>
          <w:rFonts w:cs="Calibri"/>
        </w:rPr>
        <w:t xml:space="preserve"> έργων βρίσκονται αυτή τη στιγμή </w:t>
      </w:r>
      <w:r w:rsidR="00837EA3">
        <w:rPr>
          <w:rFonts w:cs="Calibri"/>
        </w:rPr>
        <w:t xml:space="preserve">σε </w:t>
      </w:r>
      <w:r w:rsidR="006C165E">
        <w:rPr>
          <w:rFonts w:cs="Calibri"/>
        </w:rPr>
        <w:t xml:space="preserve">λειτουργία, υπό κατασκευή </w:t>
      </w:r>
      <w:r w:rsidR="00E62F9D" w:rsidRPr="00F22A35">
        <w:rPr>
          <w:rFonts w:cs="Calibri"/>
        </w:rPr>
        <w:t>ή είναι έτοιμα προς κατασκευή</w:t>
      </w:r>
      <w:r w:rsidR="00696879" w:rsidRPr="00F22A35">
        <w:rPr>
          <w:rFonts w:cs="Calibri"/>
        </w:rPr>
        <w:t xml:space="preserve">. </w:t>
      </w:r>
      <w:r w:rsidR="00E62F9D" w:rsidRPr="00F22A35">
        <w:rPr>
          <w:rFonts w:cs="Calibri"/>
        </w:rPr>
        <w:t xml:space="preserve">Η παραγωγή ενέργειας από ΑΠΕ κατά το 2022 σημείωσε αύξηση κατά </w:t>
      </w:r>
      <w:r w:rsidR="006C165E">
        <w:rPr>
          <w:rFonts w:cs="Calibri"/>
        </w:rPr>
        <w:t>5,4</w:t>
      </w:r>
      <w:r w:rsidR="00E62F9D" w:rsidRPr="00F22A35">
        <w:rPr>
          <w:rFonts w:cs="Calibri"/>
        </w:rPr>
        <w:t>% σε σχέση με την αντίστοιχη περίοδο του 2021</w:t>
      </w:r>
      <w:r w:rsidR="006A489D" w:rsidRPr="00F22A35">
        <w:rPr>
          <w:rFonts w:cs="Calibri"/>
        </w:rPr>
        <w:t>,</w:t>
      </w:r>
      <w:r w:rsidR="00E62F9D" w:rsidRPr="00F22A35">
        <w:rPr>
          <w:rFonts w:cs="Calibri"/>
        </w:rPr>
        <w:t xml:space="preserve"> σε συνέχεια των βελτιωμένων </w:t>
      </w:r>
      <w:proofErr w:type="spellStart"/>
      <w:r w:rsidR="00E62F9D" w:rsidRPr="00F22A35">
        <w:rPr>
          <w:rFonts w:cs="Calibri"/>
        </w:rPr>
        <w:t>ανεμολογικών</w:t>
      </w:r>
      <w:proofErr w:type="spellEnd"/>
      <w:r w:rsidR="00E62F9D" w:rsidRPr="00F22A35">
        <w:rPr>
          <w:rFonts w:cs="Calibri"/>
        </w:rPr>
        <w:t xml:space="preserve"> συνθηκών</w:t>
      </w:r>
      <w:r w:rsidR="006A489D" w:rsidRPr="00F22A35">
        <w:rPr>
          <w:rFonts w:cs="Calibri"/>
        </w:rPr>
        <w:t>,</w:t>
      </w:r>
      <w:r w:rsidR="00E62F9D" w:rsidRPr="00F22A35">
        <w:rPr>
          <w:rFonts w:cs="Calibri"/>
        </w:rPr>
        <w:t xml:space="preserve"> αλλά και </w:t>
      </w:r>
      <w:r w:rsidR="006C165E">
        <w:rPr>
          <w:rFonts w:cs="Calibri"/>
        </w:rPr>
        <w:t xml:space="preserve">των νέων διαδικασιών λειτουργίας και </w:t>
      </w:r>
      <w:r w:rsidR="00E137D5">
        <w:rPr>
          <w:rFonts w:cs="Calibri"/>
        </w:rPr>
        <w:t>συντήρησης που υλοποιούνται</w:t>
      </w:r>
      <w:r w:rsidR="00E62F9D" w:rsidRPr="00F22A35">
        <w:rPr>
          <w:rFonts w:cs="Calibri"/>
        </w:rPr>
        <w:t>.</w:t>
      </w:r>
      <w:r w:rsidR="006373AB" w:rsidRPr="00F22A35">
        <w:rPr>
          <w:rFonts w:cs="Calibri"/>
        </w:rPr>
        <w:t xml:space="preserve"> </w:t>
      </w:r>
    </w:p>
    <w:p w14:paraId="05F23D35" w14:textId="31C78D49" w:rsidR="00E01024" w:rsidRDefault="006373AB" w:rsidP="00AB5A93">
      <w:pPr>
        <w:jc w:val="both"/>
        <w:rPr>
          <w:rFonts w:asciiTheme="minorHAnsi" w:hAnsiTheme="minorHAnsi" w:cstheme="minorHAnsi"/>
        </w:rPr>
      </w:pPr>
      <w:r w:rsidRPr="00F22A35">
        <w:rPr>
          <w:rFonts w:cs="Calibri"/>
        </w:rPr>
        <w:t>Παράλληλα</w:t>
      </w:r>
      <w:r w:rsidR="006A489D" w:rsidRPr="00F22A35">
        <w:rPr>
          <w:rFonts w:cs="Calibri"/>
        </w:rPr>
        <w:t>,</w:t>
      </w:r>
      <w:r w:rsidRPr="00F22A35">
        <w:rPr>
          <w:rFonts w:cs="Calibri"/>
        </w:rPr>
        <w:t xml:space="preserve"> </w:t>
      </w:r>
      <w:r w:rsidR="00E137D5" w:rsidRPr="00D6347C">
        <w:t xml:space="preserve">ο Όμιλος κατάφερε να διασφαλίσει την αδιάλειπτη, ανταγωνιστική και ευέλικτη τροφοδοσία των </w:t>
      </w:r>
      <w:r w:rsidR="00453F50">
        <w:t xml:space="preserve">συμβατικών </w:t>
      </w:r>
      <w:r w:rsidR="00E137D5" w:rsidRPr="00D6347C">
        <w:t>σταθμών παραγωγής του, αντιμετωπίζοντας με επιτυχία τις προκλήσεις που προέκυψαν από την πρωτοφανή μεταβλητότητα των διεθνών τιμών φυσικού αερίου, τις εξαιρετικά αυξημένες ανάγκες ρευστότητας για τη διασφάλιση της τροφοδοσίας</w:t>
      </w:r>
      <w:r w:rsidR="00C811AB">
        <w:t xml:space="preserve"> -</w:t>
      </w:r>
      <w:r w:rsidR="00E137D5" w:rsidRPr="00D6347C">
        <w:t xml:space="preserve"> ιδιαίτερα κατά την εισαγωγή φορτίων υγροποιημένου φυσικού αερίου</w:t>
      </w:r>
      <w:r w:rsidR="00C811AB">
        <w:t xml:space="preserve"> -</w:t>
      </w:r>
      <w:r w:rsidR="00E137D5" w:rsidRPr="00D6347C">
        <w:t xml:space="preserve"> αλλά και τη συνεχώς μεταβαλλόμενη ανταγωνιστικότητα του κόστους παραγωγής των </w:t>
      </w:r>
      <w:r w:rsidR="00E137D5" w:rsidRPr="00D6347C">
        <w:lastRenderedPageBreak/>
        <w:t>σταθμών, κυρίως σε σχέση με τις τιμές εκκαθάρισης ηλεκτρικής ενέργειας των γειτονικών χωρών.</w:t>
      </w:r>
      <w:r w:rsidR="000E684E">
        <w:t xml:space="preserve"> Επίσης στον τομέα προμήθειας, </w:t>
      </w:r>
      <w:r w:rsidR="000E684E" w:rsidRPr="000E684E">
        <w:t>η εταιρεία ΗΡΩΝ ΕΝΕΡΓΕΙΑΚΗ Μ.Α.Ε. κατάφερε να ανταπεξέλθει πλήρως στις δύσκολες συνθήκες της αγοράς, αυξάνοντας μάλιστα το μερίδιο αγοράς της στο 7,6%, με αποτέλεσμα να συγκαταλέγεται μεταξύ των κορυφαίων ανεξάρτητων προμηθευτών στην εγχώρια αγορά</w:t>
      </w:r>
      <w:r w:rsidR="000E684E">
        <w:t xml:space="preserve">. </w:t>
      </w:r>
      <w:r w:rsidR="00F8486F" w:rsidRPr="00F22A35">
        <w:rPr>
          <w:rFonts w:asciiTheme="minorHAnsi" w:eastAsia="Times New Roman" w:hAnsiTheme="minorHAnsi" w:cstheme="minorHAnsi"/>
        </w:rPr>
        <w:t xml:space="preserve">Σημειώνεται ότι ο </w:t>
      </w:r>
      <w:r w:rsidR="0074262F" w:rsidRPr="00F22A35">
        <w:rPr>
          <w:rFonts w:asciiTheme="minorHAnsi" w:eastAsia="Times New Roman" w:hAnsiTheme="minorHAnsi" w:cstheme="minorHAnsi"/>
        </w:rPr>
        <w:t>Ό</w:t>
      </w:r>
      <w:r w:rsidR="00F8486F" w:rsidRPr="00F22A35">
        <w:rPr>
          <w:rFonts w:asciiTheme="minorHAnsi" w:eastAsia="Times New Roman" w:hAnsiTheme="minorHAnsi" w:cstheme="minorHAnsi"/>
        </w:rPr>
        <w:t xml:space="preserve">μιλος </w:t>
      </w:r>
      <w:r w:rsidR="00F8486F" w:rsidRPr="00F22A35">
        <w:rPr>
          <w:rFonts w:asciiTheme="minorHAnsi" w:hAnsiTheme="minorHAnsi" w:cstheme="minorHAnsi"/>
        </w:rPr>
        <w:t xml:space="preserve">ολοκλήρωσε εντός του </w:t>
      </w:r>
      <w:r w:rsidR="006F74C5">
        <w:rPr>
          <w:rFonts w:asciiTheme="minorHAnsi" w:hAnsiTheme="minorHAnsi" w:cstheme="minorHAnsi"/>
        </w:rPr>
        <w:t>2022</w:t>
      </w:r>
      <w:r w:rsidR="006A489D" w:rsidRPr="00F22A35">
        <w:rPr>
          <w:rFonts w:asciiTheme="minorHAnsi" w:hAnsiTheme="minorHAnsi" w:cstheme="minorHAnsi"/>
        </w:rPr>
        <w:t xml:space="preserve"> </w:t>
      </w:r>
      <w:r w:rsidR="004801DE" w:rsidRPr="00F22A35">
        <w:rPr>
          <w:rFonts w:asciiTheme="minorHAnsi" w:hAnsiTheme="minorHAnsi" w:cstheme="minorHAnsi"/>
        </w:rPr>
        <w:t xml:space="preserve">την υλοποίηση της από 12.07.2021 συμφωνίας για </w:t>
      </w:r>
      <w:r w:rsidR="00F8486F" w:rsidRPr="00F22A35">
        <w:rPr>
          <w:rFonts w:asciiTheme="minorHAnsi" w:hAnsiTheme="minorHAnsi" w:cstheme="minorHAnsi"/>
        </w:rPr>
        <w:t>την απόκτηση του επιπλέον 5</w:t>
      </w:r>
      <w:r w:rsidR="00BC1B59" w:rsidRPr="00F22A35">
        <w:rPr>
          <w:rFonts w:asciiTheme="minorHAnsi" w:hAnsiTheme="minorHAnsi" w:cstheme="minorHAnsi"/>
        </w:rPr>
        <w:t>0</w:t>
      </w:r>
      <w:r w:rsidR="00F8486F" w:rsidRPr="00F22A35">
        <w:rPr>
          <w:rFonts w:asciiTheme="minorHAnsi" w:hAnsiTheme="minorHAnsi" w:cstheme="minorHAnsi"/>
        </w:rPr>
        <w:t xml:space="preserve">% και </w:t>
      </w:r>
      <w:r w:rsidR="00BC1B59" w:rsidRPr="00F22A35">
        <w:rPr>
          <w:rFonts w:asciiTheme="minorHAnsi" w:hAnsiTheme="minorHAnsi" w:cstheme="minorHAnsi"/>
        </w:rPr>
        <w:t>7</w:t>
      </w:r>
      <w:r w:rsidR="00F8486F" w:rsidRPr="00F22A35">
        <w:rPr>
          <w:rFonts w:asciiTheme="minorHAnsi" w:hAnsiTheme="minorHAnsi" w:cstheme="minorHAnsi"/>
        </w:rPr>
        <w:t>5% των μετοχών των εταιρειών ΗΡΩΝ ΕΝΕΡΓΕΙΑΚΗ ΑΕ και ΗΡΩΝ ΙΙ ΒΟΙΩΤΙΑΣ</w:t>
      </w:r>
      <w:r w:rsidR="00D0125C" w:rsidRPr="00F22A35">
        <w:rPr>
          <w:rFonts w:asciiTheme="minorHAnsi" w:hAnsiTheme="minorHAnsi" w:cstheme="minorHAnsi"/>
        </w:rPr>
        <w:t xml:space="preserve"> αντίστοιχα</w:t>
      </w:r>
      <w:r w:rsidR="006A489D" w:rsidRPr="00F22A35">
        <w:rPr>
          <w:rFonts w:asciiTheme="minorHAnsi" w:hAnsiTheme="minorHAnsi" w:cstheme="minorHAnsi"/>
        </w:rPr>
        <w:t>,</w:t>
      </w:r>
      <w:r w:rsidRPr="00F22A35">
        <w:rPr>
          <w:rFonts w:asciiTheme="minorHAnsi" w:hAnsiTheme="minorHAnsi" w:cstheme="minorHAnsi"/>
        </w:rPr>
        <w:t xml:space="preserve"> οι οποίες π</w:t>
      </w:r>
      <w:r w:rsidR="00F8486F" w:rsidRPr="00F22A35">
        <w:rPr>
          <w:rFonts w:asciiTheme="minorHAnsi" w:hAnsiTheme="minorHAnsi" w:cstheme="minorHAnsi"/>
        </w:rPr>
        <w:t>λέον ενοποιούνται πλήρως ως θυγατρικές με τη μέθοδο της ολικής ενοποίησης</w:t>
      </w:r>
      <w:r w:rsidRPr="00F22A35">
        <w:rPr>
          <w:rFonts w:asciiTheme="minorHAnsi" w:hAnsiTheme="minorHAnsi" w:cstheme="minorHAnsi"/>
        </w:rPr>
        <w:t>.</w:t>
      </w:r>
      <w:r w:rsidR="00F8486F" w:rsidRPr="00F22A35">
        <w:rPr>
          <w:rFonts w:asciiTheme="minorHAnsi" w:hAnsiTheme="minorHAnsi" w:cstheme="minorHAnsi"/>
        </w:rPr>
        <w:t xml:space="preserve"> </w:t>
      </w:r>
    </w:p>
    <w:p w14:paraId="6D9C543C" w14:textId="77777777" w:rsidR="00DC617D" w:rsidRDefault="00DC617D" w:rsidP="00AB5A93">
      <w:pPr>
        <w:spacing w:before="240" w:after="120"/>
        <w:jc w:val="both"/>
        <w:rPr>
          <w:rFonts w:asciiTheme="minorHAnsi" w:eastAsia="Times New Roman" w:hAnsiTheme="minorHAnsi" w:cstheme="minorHAnsi"/>
          <w:b/>
          <w:bCs/>
          <w:u w:val="single"/>
        </w:rPr>
      </w:pPr>
    </w:p>
    <w:p w14:paraId="4821FFFE" w14:textId="438C04AE" w:rsidR="00EA6D5C" w:rsidRPr="00F22A35" w:rsidRDefault="00EA6D5C" w:rsidP="00AB5A93">
      <w:pPr>
        <w:spacing w:before="240" w:after="120"/>
        <w:jc w:val="both"/>
        <w:rPr>
          <w:rFonts w:asciiTheme="minorHAnsi" w:eastAsia="Times New Roman" w:hAnsiTheme="minorHAnsi" w:cstheme="minorHAnsi"/>
          <w:b/>
          <w:bCs/>
          <w:u w:val="single"/>
        </w:rPr>
      </w:pPr>
      <w:r w:rsidRPr="00F22A35">
        <w:rPr>
          <w:rFonts w:asciiTheme="minorHAnsi" w:eastAsia="Times New Roman" w:hAnsiTheme="minorHAnsi" w:cstheme="minorHAnsi"/>
          <w:b/>
          <w:bCs/>
          <w:u w:val="single"/>
        </w:rPr>
        <w:t>Πρ</w:t>
      </w:r>
      <w:r w:rsidR="006A489D" w:rsidRPr="00F22A35">
        <w:rPr>
          <w:rFonts w:asciiTheme="minorHAnsi" w:eastAsia="Times New Roman" w:hAnsiTheme="minorHAnsi" w:cstheme="minorHAnsi"/>
          <w:b/>
          <w:bCs/>
          <w:u w:val="single"/>
        </w:rPr>
        <w:t>ο</w:t>
      </w:r>
      <w:r w:rsidRPr="00F22A35">
        <w:rPr>
          <w:rFonts w:asciiTheme="minorHAnsi" w:eastAsia="Times New Roman" w:hAnsiTheme="minorHAnsi" w:cstheme="minorHAnsi"/>
          <w:b/>
          <w:bCs/>
          <w:u w:val="single"/>
        </w:rPr>
        <w:t xml:space="preserve">οπτικές / </w:t>
      </w:r>
      <w:r w:rsidRPr="00F22A35">
        <w:rPr>
          <w:rFonts w:asciiTheme="minorHAnsi" w:eastAsia="Times New Roman" w:hAnsiTheme="minorHAnsi" w:cstheme="minorHAnsi"/>
          <w:b/>
          <w:bCs/>
          <w:u w:val="single"/>
          <w:lang w:val="en-US"/>
        </w:rPr>
        <w:t>Outlook</w:t>
      </w:r>
    </w:p>
    <w:p w14:paraId="7A3D5E93" w14:textId="2F5C65B4" w:rsidR="00EA6D5C" w:rsidRPr="00F22A35" w:rsidRDefault="00EA6D5C" w:rsidP="00AB5A93">
      <w:pPr>
        <w:spacing w:before="240" w:after="120"/>
        <w:jc w:val="both"/>
        <w:rPr>
          <w:rFonts w:asciiTheme="minorHAnsi" w:eastAsia="Times New Roman" w:hAnsiTheme="minorHAnsi" w:cstheme="minorHAnsi"/>
        </w:rPr>
      </w:pPr>
      <w:r w:rsidRPr="00F22A35">
        <w:rPr>
          <w:rFonts w:asciiTheme="minorHAnsi" w:eastAsia="Times New Roman" w:hAnsiTheme="minorHAnsi" w:cstheme="minorHAnsi"/>
          <w:b/>
          <w:bCs/>
        </w:rPr>
        <w:t xml:space="preserve">Σε συνέχεια των </w:t>
      </w:r>
      <w:r w:rsidR="00E94677">
        <w:rPr>
          <w:rFonts w:asciiTheme="minorHAnsi" w:eastAsia="Times New Roman" w:hAnsiTheme="minorHAnsi" w:cstheme="minorHAnsi"/>
          <w:b/>
          <w:bCs/>
        </w:rPr>
        <w:t xml:space="preserve">ισχυρών αποτελεσμάτων για το 2022 ο Όμιλος ΓΕΚ ΤΕΡΝΑ προσβλέπει σε </w:t>
      </w:r>
      <w:r w:rsidR="00123043">
        <w:rPr>
          <w:rFonts w:asciiTheme="minorHAnsi" w:eastAsia="Times New Roman" w:hAnsiTheme="minorHAnsi" w:cstheme="minorHAnsi"/>
          <w:b/>
          <w:bCs/>
        </w:rPr>
        <w:t>περαιτέρω</w:t>
      </w:r>
      <w:r w:rsidR="00E94677">
        <w:rPr>
          <w:rFonts w:asciiTheme="minorHAnsi" w:eastAsia="Times New Roman" w:hAnsiTheme="minorHAnsi" w:cstheme="minorHAnsi"/>
          <w:b/>
          <w:bCs/>
        </w:rPr>
        <w:t xml:space="preserve"> θετικά αποτελέσματα για τις επόμενες περιόδους</w:t>
      </w:r>
      <w:r w:rsidR="00974329">
        <w:rPr>
          <w:rFonts w:asciiTheme="minorHAnsi" w:eastAsia="Times New Roman" w:hAnsiTheme="minorHAnsi" w:cstheme="minorHAnsi"/>
          <w:b/>
          <w:bCs/>
        </w:rPr>
        <w:t xml:space="preserve"> δεδομένου ότι ένας σημαντικός αριθμός έργων και επενδύσεων που βρίσκονται αυτή την στιγμή προς υλοποίηση αναμένεται να ωριμάσει και να ενισχύσει σημαντικά τα έσοδα και την κερδοφορία </w:t>
      </w:r>
      <w:r w:rsidRPr="00F22A35">
        <w:rPr>
          <w:rFonts w:asciiTheme="minorHAnsi" w:eastAsia="Times New Roman" w:hAnsiTheme="minorHAnsi" w:cstheme="minorHAnsi"/>
        </w:rPr>
        <w:t>. Πιο αναλυτικά:</w:t>
      </w:r>
    </w:p>
    <w:p w14:paraId="78F8FBE1" w14:textId="1D93E76F" w:rsidR="005E7B76" w:rsidRPr="00F22A35" w:rsidRDefault="00EA6D5C" w:rsidP="00AB5A93">
      <w:pPr>
        <w:pStyle w:val="ListParagraph"/>
        <w:numPr>
          <w:ilvl w:val="0"/>
          <w:numId w:val="22"/>
        </w:numPr>
        <w:spacing w:before="240" w:after="120" w:line="276" w:lineRule="auto"/>
        <w:ind w:left="714" w:hanging="357"/>
        <w:contextualSpacing/>
        <w:rPr>
          <w:rFonts w:asciiTheme="minorHAnsi" w:hAnsiTheme="minorHAnsi" w:cstheme="minorHAnsi"/>
          <w:sz w:val="22"/>
          <w:szCs w:val="22"/>
        </w:rPr>
      </w:pPr>
      <w:r w:rsidRPr="00F22A35">
        <w:rPr>
          <w:rFonts w:asciiTheme="minorHAnsi" w:hAnsiTheme="minorHAnsi" w:cstheme="minorHAnsi"/>
          <w:b/>
          <w:bCs/>
          <w:sz w:val="22"/>
          <w:szCs w:val="22"/>
        </w:rPr>
        <w:t xml:space="preserve">Στον τομέα </w:t>
      </w:r>
      <w:r w:rsidR="001A64E7" w:rsidRPr="00F22A35">
        <w:rPr>
          <w:rFonts w:asciiTheme="minorHAnsi" w:hAnsiTheme="minorHAnsi" w:cstheme="minorHAnsi"/>
          <w:b/>
          <w:bCs/>
          <w:sz w:val="22"/>
          <w:szCs w:val="22"/>
        </w:rPr>
        <w:t xml:space="preserve">της </w:t>
      </w:r>
      <w:r w:rsidRPr="00F22A35">
        <w:rPr>
          <w:rFonts w:asciiTheme="minorHAnsi" w:hAnsiTheme="minorHAnsi" w:cstheme="minorHAnsi"/>
          <w:b/>
          <w:bCs/>
          <w:sz w:val="22"/>
          <w:szCs w:val="22"/>
        </w:rPr>
        <w:t>κατασκευής</w:t>
      </w:r>
      <w:r w:rsidRPr="00F22A35">
        <w:rPr>
          <w:rFonts w:asciiTheme="minorHAnsi" w:hAnsiTheme="minorHAnsi" w:cstheme="minorHAnsi"/>
          <w:sz w:val="22"/>
          <w:szCs w:val="22"/>
        </w:rPr>
        <w:t xml:space="preserve"> η δραστηριότητα αναμένεται να </w:t>
      </w:r>
      <w:r w:rsidR="001A64E7" w:rsidRPr="00F22A35">
        <w:rPr>
          <w:rFonts w:asciiTheme="minorHAnsi" w:hAnsiTheme="minorHAnsi" w:cstheme="minorHAnsi"/>
          <w:sz w:val="22"/>
          <w:szCs w:val="22"/>
        </w:rPr>
        <w:t>ενισχυ</w:t>
      </w:r>
      <w:r w:rsidR="00E94677">
        <w:rPr>
          <w:rFonts w:asciiTheme="minorHAnsi" w:hAnsiTheme="minorHAnsi" w:cstheme="minorHAnsi"/>
          <w:sz w:val="22"/>
          <w:szCs w:val="22"/>
        </w:rPr>
        <w:t>θεί περ</w:t>
      </w:r>
      <w:r w:rsidR="00AE4E50">
        <w:rPr>
          <w:rFonts w:asciiTheme="minorHAnsi" w:hAnsiTheme="minorHAnsi" w:cstheme="minorHAnsi"/>
          <w:sz w:val="22"/>
          <w:szCs w:val="22"/>
        </w:rPr>
        <w:t>αι</w:t>
      </w:r>
      <w:r w:rsidR="00E94677">
        <w:rPr>
          <w:rFonts w:asciiTheme="minorHAnsi" w:hAnsiTheme="minorHAnsi" w:cstheme="minorHAnsi"/>
          <w:sz w:val="22"/>
          <w:szCs w:val="22"/>
        </w:rPr>
        <w:t>τ</w:t>
      </w:r>
      <w:r w:rsidR="00AE4E50">
        <w:rPr>
          <w:rFonts w:asciiTheme="minorHAnsi" w:hAnsiTheme="minorHAnsi" w:cstheme="minorHAnsi"/>
          <w:sz w:val="22"/>
          <w:szCs w:val="22"/>
        </w:rPr>
        <w:t>έ</w:t>
      </w:r>
      <w:r w:rsidR="00E94677">
        <w:rPr>
          <w:rFonts w:asciiTheme="minorHAnsi" w:hAnsiTheme="minorHAnsi" w:cstheme="minorHAnsi"/>
          <w:sz w:val="22"/>
          <w:szCs w:val="22"/>
        </w:rPr>
        <w:t xml:space="preserve">ρω </w:t>
      </w:r>
      <w:r w:rsidR="001A64E7" w:rsidRPr="00F22A35">
        <w:rPr>
          <w:rFonts w:asciiTheme="minorHAnsi" w:hAnsiTheme="minorHAnsi" w:cstheme="minorHAnsi"/>
          <w:sz w:val="22"/>
          <w:szCs w:val="22"/>
        </w:rPr>
        <w:t>με βάση τα έργα που έχουν ήδη δημοπρατηθεί</w:t>
      </w:r>
      <w:r w:rsidR="00AE4E50">
        <w:rPr>
          <w:rFonts w:asciiTheme="minorHAnsi" w:hAnsiTheme="minorHAnsi" w:cstheme="minorHAnsi"/>
          <w:sz w:val="22"/>
          <w:szCs w:val="22"/>
        </w:rPr>
        <w:t xml:space="preserve"> και αναμένεται η υπογραφή τους</w:t>
      </w:r>
      <w:r w:rsidR="001A64E7" w:rsidRPr="00F22A35">
        <w:rPr>
          <w:rFonts w:asciiTheme="minorHAnsi" w:hAnsiTheme="minorHAnsi" w:cstheme="minorHAnsi"/>
          <w:sz w:val="22"/>
          <w:szCs w:val="22"/>
        </w:rPr>
        <w:t>,</w:t>
      </w:r>
      <w:r w:rsidRPr="00F22A35">
        <w:rPr>
          <w:rFonts w:asciiTheme="minorHAnsi" w:hAnsiTheme="minorHAnsi" w:cstheme="minorHAnsi"/>
          <w:sz w:val="22"/>
          <w:szCs w:val="22"/>
        </w:rPr>
        <w:t xml:space="preserve"> αλλά και από την εκκίνηση νέων έργων τις επόμενες περιόδους. </w:t>
      </w:r>
      <w:r w:rsidR="00630250" w:rsidRPr="00F22A35">
        <w:rPr>
          <w:rFonts w:asciiTheme="minorHAnsi" w:hAnsiTheme="minorHAnsi" w:cstheme="minorHAnsi"/>
          <w:sz w:val="22"/>
          <w:szCs w:val="22"/>
        </w:rPr>
        <w:t>Το διαφοροποιημένο χαρτοφυλάκιο</w:t>
      </w:r>
      <w:r w:rsidR="005E7B76" w:rsidRPr="00F22A35">
        <w:rPr>
          <w:rFonts w:asciiTheme="minorHAnsi" w:hAnsiTheme="minorHAnsi" w:cstheme="minorHAnsi"/>
          <w:sz w:val="22"/>
          <w:szCs w:val="22"/>
        </w:rPr>
        <w:t xml:space="preserve"> </w:t>
      </w:r>
      <w:r w:rsidR="00630250" w:rsidRPr="00F22A35">
        <w:rPr>
          <w:rFonts w:asciiTheme="minorHAnsi" w:hAnsiTheme="minorHAnsi" w:cstheme="minorHAnsi"/>
          <w:sz w:val="22"/>
          <w:szCs w:val="22"/>
        </w:rPr>
        <w:t xml:space="preserve">επιλεγμένων </w:t>
      </w:r>
      <w:r w:rsidR="005E7B76" w:rsidRPr="00F22A35">
        <w:rPr>
          <w:rFonts w:asciiTheme="minorHAnsi" w:hAnsiTheme="minorHAnsi" w:cstheme="minorHAnsi"/>
          <w:sz w:val="22"/>
          <w:szCs w:val="22"/>
        </w:rPr>
        <w:t>έργων</w:t>
      </w:r>
      <w:r w:rsidR="00A270B5" w:rsidRPr="00F22A35">
        <w:rPr>
          <w:rFonts w:asciiTheme="minorHAnsi" w:hAnsiTheme="minorHAnsi" w:cstheme="minorHAnsi"/>
          <w:sz w:val="22"/>
          <w:szCs w:val="22"/>
        </w:rPr>
        <w:t>,</w:t>
      </w:r>
      <w:r w:rsidR="005E7B76" w:rsidRPr="00F22A35">
        <w:rPr>
          <w:rFonts w:asciiTheme="minorHAnsi" w:hAnsiTheme="minorHAnsi" w:cstheme="minorHAnsi"/>
          <w:sz w:val="22"/>
          <w:szCs w:val="22"/>
        </w:rPr>
        <w:t xml:space="preserve"> αλλά και η προσεκτική εκτέλεση και συνεχής παρακολούθηση αναμένεται να διατηρήσουν την κερδοφορία σε </w:t>
      </w:r>
      <w:r w:rsidR="00086EA9" w:rsidRPr="00F22A35">
        <w:rPr>
          <w:rFonts w:asciiTheme="minorHAnsi" w:hAnsiTheme="minorHAnsi" w:cstheme="minorHAnsi"/>
          <w:sz w:val="22"/>
          <w:szCs w:val="22"/>
        </w:rPr>
        <w:t xml:space="preserve">υγιή </w:t>
      </w:r>
      <w:r w:rsidR="005E7B76" w:rsidRPr="00F22A35">
        <w:rPr>
          <w:rFonts w:asciiTheme="minorHAnsi" w:hAnsiTheme="minorHAnsi" w:cstheme="minorHAnsi"/>
          <w:sz w:val="22"/>
          <w:szCs w:val="22"/>
        </w:rPr>
        <w:t>επίπεδα.</w:t>
      </w:r>
    </w:p>
    <w:p w14:paraId="2B3F3238" w14:textId="5B32EB96" w:rsidR="00630250" w:rsidRPr="00F22A35" w:rsidRDefault="005E7B76" w:rsidP="00AB5A93">
      <w:pPr>
        <w:pStyle w:val="ListParagraph"/>
        <w:numPr>
          <w:ilvl w:val="0"/>
          <w:numId w:val="22"/>
        </w:numPr>
        <w:spacing w:after="120" w:line="276" w:lineRule="auto"/>
        <w:ind w:left="714" w:hanging="357"/>
        <w:contextualSpacing/>
        <w:rPr>
          <w:rFonts w:asciiTheme="minorHAnsi" w:hAnsiTheme="minorHAnsi" w:cstheme="minorHAnsi"/>
          <w:sz w:val="22"/>
          <w:szCs w:val="22"/>
        </w:rPr>
      </w:pPr>
      <w:r w:rsidRPr="00F22A35">
        <w:rPr>
          <w:rFonts w:asciiTheme="minorHAnsi" w:hAnsiTheme="minorHAnsi" w:cstheme="minorHAnsi"/>
          <w:b/>
          <w:bCs/>
          <w:sz w:val="22"/>
          <w:szCs w:val="22"/>
        </w:rPr>
        <w:t>Στον τομέα των παραχωρήσεων,</w:t>
      </w:r>
      <w:r w:rsidR="00630250" w:rsidRPr="00F22A35">
        <w:rPr>
          <w:rFonts w:asciiTheme="minorHAnsi" w:hAnsiTheme="minorHAnsi" w:cstheme="minorHAnsi"/>
          <w:sz w:val="22"/>
          <w:szCs w:val="22"/>
        </w:rPr>
        <w:t xml:space="preserve"> αναμένεται </w:t>
      </w:r>
      <w:r w:rsidR="009D7ACE" w:rsidRPr="00F22A35">
        <w:rPr>
          <w:rFonts w:asciiTheme="minorHAnsi" w:hAnsiTheme="minorHAnsi" w:cstheme="minorHAnsi"/>
          <w:sz w:val="22"/>
          <w:szCs w:val="22"/>
        </w:rPr>
        <w:t xml:space="preserve">σημαντική ενίσχυση </w:t>
      </w:r>
      <w:r w:rsidR="00630250" w:rsidRPr="00F22A35">
        <w:rPr>
          <w:rFonts w:asciiTheme="minorHAnsi" w:hAnsiTheme="minorHAnsi" w:cstheme="minorHAnsi"/>
          <w:sz w:val="22"/>
          <w:szCs w:val="22"/>
        </w:rPr>
        <w:t>τ</w:t>
      </w:r>
      <w:r w:rsidR="00A270B5" w:rsidRPr="00F22A35">
        <w:rPr>
          <w:rFonts w:asciiTheme="minorHAnsi" w:hAnsiTheme="minorHAnsi" w:cstheme="minorHAnsi"/>
          <w:sz w:val="22"/>
          <w:szCs w:val="22"/>
        </w:rPr>
        <w:t>ι</w:t>
      </w:r>
      <w:r w:rsidR="00630250" w:rsidRPr="00F22A35">
        <w:rPr>
          <w:rFonts w:asciiTheme="minorHAnsi" w:hAnsiTheme="minorHAnsi" w:cstheme="minorHAnsi"/>
          <w:sz w:val="22"/>
          <w:szCs w:val="22"/>
        </w:rPr>
        <w:t>ς επόμενες περιόδους</w:t>
      </w:r>
      <w:r w:rsidR="00A270B5" w:rsidRPr="00F22A35">
        <w:rPr>
          <w:rFonts w:asciiTheme="minorHAnsi" w:hAnsiTheme="minorHAnsi" w:cstheme="minorHAnsi"/>
          <w:sz w:val="22"/>
          <w:szCs w:val="22"/>
        </w:rPr>
        <w:t>,</w:t>
      </w:r>
      <w:r w:rsidR="00630250" w:rsidRPr="00F22A35">
        <w:rPr>
          <w:rFonts w:asciiTheme="minorHAnsi" w:hAnsiTheme="minorHAnsi" w:cstheme="minorHAnsi"/>
          <w:sz w:val="22"/>
          <w:szCs w:val="22"/>
        </w:rPr>
        <w:t xml:space="preserve"> καθώς προχωράει η υλοποίηση του επενδυτικού πλάνου συνολικού ύψους </w:t>
      </w:r>
      <w:r w:rsidR="00673E2D" w:rsidRPr="00F22A35">
        <w:rPr>
          <w:rFonts w:asciiTheme="minorHAnsi" w:hAnsiTheme="minorHAnsi" w:cstheme="minorHAnsi"/>
          <w:sz w:val="22"/>
          <w:szCs w:val="22"/>
        </w:rPr>
        <w:t xml:space="preserve">€ </w:t>
      </w:r>
      <w:r w:rsidR="00630250" w:rsidRPr="00F22A35">
        <w:rPr>
          <w:rFonts w:asciiTheme="minorHAnsi" w:hAnsiTheme="minorHAnsi" w:cstheme="minorHAnsi"/>
          <w:sz w:val="22"/>
          <w:szCs w:val="22"/>
        </w:rPr>
        <w:t>4,5 δι</w:t>
      </w:r>
      <w:r w:rsidR="00A270B5" w:rsidRPr="00F22A35">
        <w:rPr>
          <w:rFonts w:asciiTheme="minorHAnsi" w:hAnsiTheme="minorHAnsi" w:cstheme="minorHAnsi"/>
          <w:sz w:val="22"/>
          <w:szCs w:val="22"/>
        </w:rPr>
        <w:t>σ.</w:t>
      </w:r>
      <w:r w:rsidR="00AE4E50">
        <w:rPr>
          <w:rFonts w:asciiTheme="minorHAnsi" w:hAnsiTheme="minorHAnsi" w:cstheme="minorHAnsi"/>
          <w:sz w:val="22"/>
          <w:szCs w:val="22"/>
        </w:rPr>
        <w:t xml:space="preserve">. </w:t>
      </w:r>
      <w:r w:rsidR="00123043">
        <w:rPr>
          <w:rFonts w:asciiTheme="minorHAnsi" w:hAnsiTheme="minorHAnsi" w:cstheme="minorHAnsi"/>
          <w:sz w:val="22"/>
          <w:szCs w:val="22"/>
        </w:rPr>
        <w:t>Ακόμα ο Όμιλος</w:t>
      </w:r>
      <w:r w:rsidR="005F5DBB">
        <w:rPr>
          <w:rFonts w:asciiTheme="minorHAnsi" w:hAnsiTheme="minorHAnsi" w:cstheme="minorHAnsi"/>
          <w:sz w:val="22"/>
          <w:szCs w:val="22"/>
        </w:rPr>
        <w:t xml:space="preserve">, </w:t>
      </w:r>
      <w:r w:rsidR="005F5DBB" w:rsidRPr="005F5DBB">
        <w:rPr>
          <w:rFonts w:asciiTheme="minorHAnsi" w:hAnsiTheme="minorHAnsi" w:cstheme="minorHAnsi"/>
          <w:sz w:val="22"/>
          <w:szCs w:val="22"/>
        </w:rPr>
        <w:t>συμμετέχει στη διαγωνιστική διαδικασία εμβληματικών έργων παραχώρησης</w:t>
      </w:r>
      <w:r w:rsidR="00123043">
        <w:rPr>
          <w:rFonts w:asciiTheme="minorHAnsi" w:hAnsiTheme="minorHAnsi" w:cstheme="minorHAnsi"/>
          <w:sz w:val="22"/>
          <w:szCs w:val="22"/>
        </w:rPr>
        <w:t xml:space="preserve"> </w:t>
      </w:r>
      <w:r w:rsidR="005F5DBB">
        <w:rPr>
          <w:rFonts w:asciiTheme="minorHAnsi" w:hAnsiTheme="minorHAnsi" w:cstheme="minorHAnsi"/>
          <w:sz w:val="22"/>
          <w:szCs w:val="22"/>
        </w:rPr>
        <w:t xml:space="preserve">και </w:t>
      </w:r>
      <w:r w:rsidR="00123043">
        <w:rPr>
          <w:rFonts w:asciiTheme="minorHAnsi" w:hAnsiTheme="minorHAnsi" w:cstheme="minorHAnsi"/>
          <w:sz w:val="22"/>
          <w:szCs w:val="22"/>
        </w:rPr>
        <w:t>είναι κατάλληλα τοποθετημένος</w:t>
      </w:r>
      <w:r w:rsidR="00CF008F">
        <w:rPr>
          <w:rFonts w:asciiTheme="minorHAnsi" w:hAnsiTheme="minorHAnsi" w:cstheme="minorHAnsi"/>
          <w:sz w:val="22"/>
          <w:szCs w:val="22"/>
        </w:rPr>
        <w:t>,</w:t>
      </w:r>
      <w:r w:rsidR="00123043">
        <w:rPr>
          <w:rFonts w:asciiTheme="minorHAnsi" w:hAnsiTheme="minorHAnsi" w:cstheme="minorHAnsi"/>
          <w:sz w:val="22"/>
          <w:szCs w:val="22"/>
        </w:rPr>
        <w:t xml:space="preserve"> ώστε να εκμεταλλευτεί τις ευκαιρίες που παρουσιάζει η αγορά ως προς την εξασφάλιση </w:t>
      </w:r>
      <w:r w:rsidR="00A270B5" w:rsidRPr="00123043">
        <w:rPr>
          <w:rFonts w:asciiTheme="minorHAnsi" w:hAnsiTheme="minorHAnsi" w:cstheme="minorHAnsi"/>
          <w:sz w:val="22"/>
          <w:szCs w:val="22"/>
        </w:rPr>
        <w:t xml:space="preserve">νέων </w:t>
      </w:r>
      <w:r w:rsidR="00123043" w:rsidRPr="00123043">
        <w:rPr>
          <w:rFonts w:asciiTheme="minorHAnsi" w:hAnsiTheme="minorHAnsi" w:cstheme="minorHAnsi"/>
          <w:sz w:val="22"/>
          <w:szCs w:val="22"/>
        </w:rPr>
        <w:t xml:space="preserve">προσοδοφόρων </w:t>
      </w:r>
      <w:r w:rsidR="00A270B5" w:rsidRPr="00123043">
        <w:rPr>
          <w:rFonts w:asciiTheme="minorHAnsi" w:hAnsiTheme="minorHAnsi" w:cstheme="minorHAnsi"/>
          <w:sz w:val="22"/>
          <w:szCs w:val="22"/>
        </w:rPr>
        <w:t>έργων</w:t>
      </w:r>
      <w:r w:rsidR="00630250" w:rsidRPr="00123043">
        <w:rPr>
          <w:rFonts w:asciiTheme="minorHAnsi" w:hAnsiTheme="minorHAnsi" w:cstheme="minorHAnsi"/>
          <w:sz w:val="22"/>
          <w:szCs w:val="22"/>
        </w:rPr>
        <w:t>.</w:t>
      </w:r>
    </w:p>
    <w:p w14:paraId="0014EC0D" w14:textId="4B84C3BD" w:rsidR="00BE29BF" w:rsidRPr="00F22A35" w:rsidRDefault="00630250" w:rsidP="00AB5A93">
      <w:pPr>
        <w:pStyle w:val="ListParagraph"/>
        <w:numPr>
          <w:ilvl w:val="0"/>
          <w:numId w:val="22"/>
        </w:numPr>
        <w:spacing w:before="240" w:after="120" w:line="276" w:lineRule="auto"/>
        <w:contextualSpacing/>
        <w:rPr>
          <w:sz w:val="22"/>
          <w:szCs w:val="22"/>
        </w:rPr>
      </w:pPr>
      <w:r w:rsidRPr="00F22A35">
        <w:rPr>
          <w:rFonts w:asciiTheme="minorHAnsi" w:hAnsiTheme="minorHAnsi" w:cstheme="minorHAnsi"/>
          <w:b/>
          <w:bCs/>
          <w:sz w:val="22"/>
          <w:szCs w:val="22"/>
        </w:rPr>
        <w:t xml:space="preserve">Στον τομέα </w:t>
      </w:r>
      <w:r w:rsidR="00A270B5" w:rsidRPr="00F22A35">
        <w:rPr>
          <w:rFonts w:asciiTheme="minorHAnsi" w:hAnsiTheme="minorHAnsi" w:cstheme="minorHAnsi"/>
          <w:b/>
          <w:bCs/>
          <w:sz w:val="22"/>
          <w:szCs w:val="22"/>
        </w:rPr>
        <w:t xml:space="preserve">της </w:t>
      </w:r>
      <w:r w:rsidR="00E96F11" w:rsidRPr="00F22A35">
        <w:rPr>
          <w:rFonts w:asciiTheme="minorHAnsi" w:hAnsiTheme="minorHAnsi" w:cstheme="minorHAnsi"/>
          <w:b/>
          <w:bCs/>
          <w:sz w:val="22"/>
          <w:szCs w:val="22"/>
        </w:rPr>
        <w:t xml:space="preserve">παραγωγής και εμπορίας ενέργειας (ηλεκτρισμού και φυσικού αερίου) στην Ελλάδα και το </w:t>
      </w:r>
      <w:r w:rsidR="00A270B5" w:rsidRPr="00F22A35">
        <w:rPr>
          <w:rFonts w:asciiTheme="minorHAnsi" w:hAnsiTheme="minorHAnsi" w:cstheme="minorHAnsi"/>
          <w:b/>
          <w:bCs/>
          <w:sz w:val="22"/>
          <w:szCs w:val="22"/>
        </w:rPr>
        <w:t>ε</w:t>
      </w:r>
      <w:r w:rsidR="00E96F11" w:rsidRPr="00F22A35">
        <w:rPr>
          <w:rFonts w:asciiTheme="minorHAnsi" w:hAnsiTheme="minorHAnsi" w:cstheme="minorHAnsi"/>
          <w:b/>
          <w:bCs/>
          <w:sz w:val="22"/>
          <w:szCs w:val="22"/>
        </w:rPr>
        <w:t>ξωτερικό</w:t>
      </w:r>
      <w:r w:rsidRPr="00F22A35">
        <w:rPr>
          <w:rFonts w:asciiTheme="minorHAnsi" w:hAnsiTheme="minorHAnsi" w:cstheme="minorHAnsi"/>
          <w:b/>
          <w:bCs/>
          <w:sz w:val="22"/>
          <w:szCs w:val="22"/>
        </w:rPr>
        <w:t>,</w:t>
      </w:r>
      <w:r w:rsidRPr="00F22A35">
        <w:rPr>
          <w:rFonts w:asciiTheme="minorHAnsi" w:hAnsiTheme="minorHAnsi" w:cstheme="minorHAnsi"/>
          <w:sz w:val="22"/>
          <w:szCs w:val="22"/>
        </w:rPr>
        <w:t xml:space="preserve"> η </w:t>
      </w:r>
      <w:r w:rsidR="00086EA9" w:rsidRPr="00F22A35">
        <w:rPr>
          <w:rFonts w:asciiTheme="minorHAnsi" w:hAnsiTheme="minorHAnsi" w:cstheme="minorHAnsi"/>
          <w:sz w:val="22"/>
          <w:szCs w:val="22"/>
        </w:rPr>
        <w:t xml:space="preserve">υλοποίηση </w:t>
      </w:r>
      <w:r w:rsidRPr="00F22A35">
        <w:rPr>
          <w:rFonts w:asciiTheme="minorHAnsi" w:hAnsiTheme="minorHAnsi" w:cstheme="minorHAnsi"/>
          <w:sz w:val="22"/>
          <w:szCs w:val="22"/>
        </w:rPr>
        <w:t xml:space="preserve">του επενδυτικού σχεδίου στις ΑΠΕ συνεχίζεται </w:t>
      </w:r>
      <w:r w:rsidR="00A774A1">
        <w:rPr>
          <w:rFonts w:asciiTheme="minorHAnsi" w:hAnsiTheme="minorHAnsi" w:cstheme="minorHAnsi"/>
          <w:sz w:val="22"/>
          <w:szCs w:val="22"/>
        </w:rPr>
        <w:t xml:space="preserve">με </w:t>
      </w:r>
      <w:r w:rsidR="00E94677">
        <w:rPr>
          <w:rFonts w:asciiTheme="minorHAnsi" w:hAnsiTheme="minorHAnsi" w:cstheme="minorHAnsi"/>
          <w:sz w:val="22"/>
          <w:szCs w:val="22"/>
        </w:rPr>
        <w:t xml:space="preserve">2,0 </w:t>
      </w:r>
      <w:r w:rsidR="00E94677">
        <w:rPr>
          <w:rFonts w:asciiTheme="minorHAnsi" w:hAnsiTheme="minorHAnsi" w:cstheme="minorHAnsi"/>
          <w:sz w:val="22"/>
          <w:szCs w:val="22"/>
          <w:lang w:val="en-GB"/>
        </w:rPr>
        <w:t>GW</w:t>
      </w:r>
      <w:r w:rsidR="00E94677" w:rsidRPr="00E94677">
        <w:rPr>
          <w:rFonts w:asciiTheme="minorHAnsi" w:hAnsiTheme="minorHAnsi" w:cstheme="minorHAnsi"/>
          <w:sz w:val="22"/>
          <w:szCs w:val="22"/>
        </w:rPr>
        <w:t xml:space="preserve"> </w:t>
      </w:r>
      <w:r w:rsidR="00E94677">
        <w:rPr>
          <w:rFonts w:asciiTheme="minorHAnsi" w:hAnsiTheme="minorHAnsi" w:cstheme="minorHAnsi"/>
          <w:sz w:val="22"/>
          <w:szCs w:val="22"/>
        </w:rPr>
        <w:t>έργων να βρίσκονται πλέον σε λειτουργία, υπό κατασκευή ή έτοιμα προς κατασκευή</w:t>
      </w:r>
      <w:r w:rsidRPr="00F22A35">
        <w:rPr>
          <w:rFonts w:asciiTheme="minorHAnsi" w:hAnsiTheme="minorHAnsi" w:cstheme="minorHAnsi"/>
          <w:sz w:val="22"/>
          <w:szCs w:val="22"/>
        </w:rPr>
        <w:t>. Στο</w:t>
      </w:r>
      <w:r w:rsidR="00A774A1">
        <w:rPr>
          <w:rFonts w:asciiTheme="minorHAnsi" w:hAnsiTheme="minorHAnsi" w:cstheme="minorHAnsi"/>
          <w:sz w:val="22"/>
          <w:szCs w:val="22"/>
        </w:rPr>
        <w:t>ν τομέα</w:t>
      </w:r>
      <w:r w:rsidRPr="00F22A35">
        <w:rPr>
          <w:rFonts w:asciiTheme="minorHAnsi" w:hAnsiTheme="minorHAnsi" w:cstheme="minorHAnsi"/>
          <w:sz w:val="22"/>
          <w:szCs w:val="22"/>
        </w:rPr>
        <w:t xml:space="preserve"> της θερμικής παραγωγής και εμπορίας</w:t>
      </w:r>
      <w:r w:rsidR="00A270B5" w:rsidRPr="00F22A35">
        <w:rPr>
          <w:rFonts w:asciiTheme="minorHAnsi" w:hAnsiTheme="minorHAnsi" w:cstheme="minorHAnsi"/>
          <w:sz w:val="22"/>
          <w:szCs w:val="22"/>
        </w:rPr>
        <w:t xml:space="preserve"> ηλεκτρισμού</w:t>
      </w:r>
      <w:r w:rsidRPr="00F22A35">
        <w:rPr>
          <w:rFonts w:asciiTheme="minorHAnsi" w:hAnsiTheme="minorHAnsi" w:cstheme="minorHAnsi"/>
          <w:sz w:val="22"/>
          <w:szCs w:val="22"/>
        </w:rPr>
        <w:t xml:space="preserve"> οι συνθήκες της αγοράς παραμένουν ευμετάβλητες με τον Όμιλο να</w:t>
      </w:r>
      <w:r w:rsidR="004C3D7E" w:rsidRPr="00F22A35">
        <w:rPr>
          <w:rFonts w:asciiTheme="minorHAnsi" w:hAnsiTheme="minorHAnsi" w:cstheme="minorHAnsi"/>
          <w:sz w:val="22"/>
          <w:szCs w:val="22"/>
        </w:rPr>
        <w:t xml:space="preserve"> </w:t>
      </w:r>
      <w:r w:rsidRPr="00F22A35">
        <w:rPr>
          <w:rFonts w:asciiTheme="minorHAnsi" w:hAnsiTheme="minorHAnsi" w:cstheme="minorHAnsi"/>
          <w:sz w:val="22"/>
          <w:szCs w:val="22"/>
        </w:rPr>
        <w:t>παρακολουθεί στενά τις εξελ</w:t>
      </w:r>
      <w:r w:rsidR="00A270B5" w:rsidRPr="00F22A35">
        <w:rPr>
          <w:rFonts w:asciiTheme="minorHAnsi" w:hAnsiTheme="minorHAnsi" w:cstheme="minorHAnsi"/>
          <w:sz w:val="22"/>
          <w:szCs w:val="22"/>
        </w:rPr>
        <w:t>ί</w:t>
      </w:r>
      <w:r w:rsidRPr="00F22A35">
        <w:rPr>
          <w:rFonts w:asciiTheme="minorHAnsi" w:hAnsiTheme="minorHAnsi" w:cstheme="minorHAnsi"/>
          <w:sz w:val="22"/>
          <w:szCs w:val="22"/>
        </w:rPr>
        <w:t xml:space="preserve">ξεις.   </w:t>
      </w:r>
      <w:r w:rsidR="00EA6D5C" w:rsidRPr="00F22A35">
        <w:rPr>
          <w:rFonts w:asciiTheme="minorHAnsi" w:hAnsiTheme="minorHAnsi" w:cstheme="minorHAnsi"/>
          <w:sz w:val="22"/>
          <w:szCs w:val="22"/>
        </w:rPr>
        <w:t xml:space="preserve"> </w:t>
      </w:r>
    </w:p>
    <w:p w14:paraId="2C32015D" w14:textId="77777777" w:rsidR="00890BF8" w:rsidRDefault="00890BF8" w:rsidP="00AB5A93">
      <w:pPr>
        <w:jc w:val="both"/>
        <w:rPr>
          <w:rFonts w:eastAsia="Times New Roman" w:cs="Calibri"/>
          <w:b/>
          <w:i/>
          <w:sz w:val="18"/>
          <w:szCs w:val="18"/>
          <w:u w:val="single"/>
        </w:rPr>
      </w:pPr>
    </w:p>
    <w:p w14:paraId="59ED9DDA" w14:textId="77777777" w:rsidR="00DC617D" w:rsidRDefault="00DC617D" w:rsidP="00AB5A93">
      <w:pPr>
        <w:jc w:val="both"/>
        <w:rPr>
          <w:rFonts w:eastAsia="Times New Roman" w:cs="Calibri"/>
          <w:b/>
          <w:i/>
          <w:sz w:val="18"/>
          <w:szCs w:val="18"/>
          <w:u w:val="single"/>
        </w:rPr>
      </w:pPr>
    </w:p>
    <w:p w14:paraId="6902531A" w14:textId="77777777" w:rsidR="00DC617D" w:rsidRDefault="00DC617D" w:rsidP="00AB5A93">
      <w:pPr>
        <w:jc w:val="both"/>
        <w:rPr>
          <w:rFonts w:eastAsia="Times New Roman" w:cs="Calibri"/>
          <w:b/>
          <w:i/>
          <w:sz w:val="18"/>
          <w:szCs w:val="18"/>
          <w:u w:val="single"/>
        </w:rPr>
      </w:pPr>
    </w:p>
    <w:p w14:paraId="06788F7A" w14:textId="77777777" w:rsidR="00DC617D" w:rsidRDefault="00DC617D" w:rsidP="00AB5A93">
      <w:pPr>
        <w:jc w:val="both"/>
        <w:rPr>
          <w:rFonts w:eastAsia="Times New Roman" w:cs="Calibri"/>
          <w:b/>
          <w:i/>
          <w:sz w:val="18"/>
          <w:szCs w:val="18"/>
          <w:u w:val="single"/>
        </w:rPr>
      </w:pPr>
    </w:p>
    <w:p w14:paraId="54D30653" w14:textId="77777777" w:rsidR="00DC617D" w:rsidRDefault="00DC617D" w:rsidP="00AB5A93">
      <w:pPr>
        <w:jc w:val="both"/>
        <w:rPr>
          <w:rFonts w:eastAsia="Times New Roman" w:cs="Calibri"/>
          <w:b/>
          <w:i/>
          <w:sz w:val="18"/>
          <w:szCs w:val="18"/>
          <w:u w:val="single"/>
        </w:rPr>
      </w:pPr>
    </w:p>
    <w:p w14:paraId="5BE9FD56" w14:textId="0BA0A04B" w:rsidR="00505C70" w:rsidRPr="00E93504" w:rsidRDefault="00505C70" w:rsidP="00AB5A93">
      <w:pPr>
        <w:jc w:val="both"/>
        <w:rPr>
          <w:rFonts w:eastAsia="Times New Roman" w:cs="Calibri"/>
          <w:b/>
          <w:i/>
          <w:sz w:val="18"/>
          <w:szCs w:val="18"/>
          <w:u w:val="single"/>
        </w:rPr>
      </w:pPr>
      <w:r w:rsidRPr="00E93504">
        <w:rPr>
          <w:rFonts w:eastAsia="Times New Roman" w:cs="Calibri"/>
          <w:b/>
          <w:i/>
          <w:sz w:val="18"/>
          <w:szCs w:val="18"/>
          <w:u w:val="single"/>
        </w:rPr>
        <w:t xml:space="preserve">Πληροφορίες: </w:t>
      </w:r>
    </w:p>
    <w:p w14:paraId="3AA8ABB4" w14:textId="261B4EDC" w:rsidR="00505C70" w:rsidRPr="00E93504" w:rsidRDefault="00505C70" w:rsidP="00AB5A93">
      <w:pPr>
        <w:jc w:val="both"/>
        <w:rPr>
          <w:rFonts w:cs="Calibri"/>
          <w:sz w:val="18"/>
          <w:szCs w:val="18"/>
        </w:rPr>
      </w:pPr>
      <w:r w:rsidRPr="00E93504">
        <w:rPr>
          <w:rFonts w:cs="Calibri"/>
          <w:noProof/>
          <w:sz w:val="18"/>
          <w:szCs w:val="18"/>
          <w:lang w:eastAsia="el-GR"/>
        </w:rPr>
        <mc:AlternateContent>
          <mc:Choice Requires="wps">
            <w:drawing>
              <wp:anchor distT="0" distB="0" distL="114300" distR="114300" simplePos="0" relativeHeight="251662336" behindDoc="0" locked="0" layoutInCell="1" allowOverlap="1" wp14:anchorId="793FBA10" wp14:editId="44D1223D">
                <wp:simplePos x="0" y="0"/>
                <wp:positionH relativeFrom="column">
                  <wp:posOffset>-65405</wp:posOffset>
                </wp:positionH>
                <wp:positionV relativeFrom="paragraph">
                  <wp:posOffset>9466580</wp:posOffset>
                </wp:positionV>
                <wp:extent cx="1334770" cy="2940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38E6C955"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BA10" id="_x0000_t202" coordsize="21600,21600" o:spt="202" path="m,l,21600r21600,l21600,xe">
                <v:stroke joinstyle="miter"/>
                <v:path gradientshapeok="t" o:connecttype="rect"/>
              </v:shapetype>
              <v:shape id="Text Box 5" o:spid="_x0000_s1026" type="#_x0000_t202" style="position:absolute;left:0;text-align:left;margin-left:-5.15pt;margin-top:745.4pt;width:105.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" filled="f" stroked="f">
                <v:textbox>
                  <w:txbxContent>
                    <w:p w14:paraId="38E6C955"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r w:rsidRPr="00E93504">
        <w:rPr>
          <w:rFonts w:eastAsia="Times New Roman" w:cs="Calibri"/>
          <w:i/>
          <w:sz w:val="18"/>
          <w:szCs w:val="18"/>
          <w:u w:val="single"/>
        </w:rPr>
        <w:t>Γραφείο Τύπου</w:t>
      </w:r>
      <w:r w:rsidRPr="00E93504">
        <w:rPr>
          <w:rFonts w:eastAsia="Times New Roman" w:cs="Calibri"/>
          <w:i/>
          <w:sz w:val="18"/>
          <w:szCs w:val="18"/>
        </w:rPr>
        <w:t xml:space="preserve">: Μαίρη Ανδρεάδη, </w:t>
      </w:r>
      <w:proofErr w:type="spellStart"/>
      <w:r w:rsidRPr="00E93504">
        <w:rPr>
          <w:rFonts w:eastAsia="Times New Roman" w:cs="Calibri"/>
          <w:i/>
          <w:sz w:val="18"/>
          <w:szCs w:val="18"/>
        </w:rPr>
        <w:t>τηλ</w:t>
      </w:r>
      <w:proofErr w:type="spellEnd"/>
      <w:r w:rsidRPr="00E93504">
        <w:rPr>
          <w:rFonts w:eastAsia="Times New Roman" w:cs="Calibri"/>
          <w:i/>
          <w:sz w:val="18"/>
          <w:szCs w:val="18"/>
        </w:rPr>
        <w:t>. 210 69 68 000,</w:t>
      </w:r>
      <w:r w:rsidRPr="00E93504">
        <w:rPr>
          <w:rFonts w:cs="Calibri"/>
          <w:noProof/>
          <w:sz w:val="18"/>
          <w:szCs w:val="18"/>
          <w:lang w:eastAsia="el-GR"/>
        </w:rPr>
        <mc:AlternateContent>
          <mc:Choice Requires="wps">
            <w:drawing>
              <wp:anchor distT="0" distB="0" distL="114300" distR="114300" simplePos="0" relativeHeight="251661312" behindDoc="0" locked="0" layoutInCell="1" allowOverlap="1" wp14:anchorId="1CD1FC5D" wp14:editId="0C299A4C">
                <wp:simplePos x="0" y="0"/>
                <wp:positionH relativeFrom="column">
                  <wp:posOffset>-65405</wp:posOffset>
                </wp:positionH>
                <wp:positionV relativeFrom="paragraph">
                  <wp:posOffset>9466580</wp:posOffset>
                </wp:positionV>
                <wp:extent cx="1334770" cy="294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426580A7"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1FC5D" id="Text Box 4" o:spid="_x0000_s1027" type="#_x0000_t202" style="position:absolute;left:0;text-align:left;margin-left:-5.15pt;margin-top:745.4pt;width:105.1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" filled="f" stroked="f">
                <v:textbox>
                  <w:txbxContent>
                    <w:p w14:paraId="426580A7"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r w:rsidRPr="00E93504">
        <w:rPr>
          <w:rFonts w:eastAsia="Times New Roman" w:cs="Calibri"/>
          <w:i/>
          <w:sz w:val="18"/>
          <w:szCs w:val="18"/>
        </w:rPr>
        <w:t xml:space="preserve"> </w:t>
      </w:r>
      <w:hyperlink r:id="rId8" w:history="1">
        <w:r w:rsidRPr="00E93504">
          <w:rPr>
            <w:rStyle w:val="Hyperlink"/>
            <w:rFonts w:eastAsia="Times New Roman" w:cs="Calibri"/>
            <w:i/>
            <w:color w:val="auto"/>
            <w:sz w:val="18"/>
            <w:szCs w:val="18"/>
            <w:lang w:val="en-US"/>
          </w:rPr>
          <w:t>pressoffice</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gekterna</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com</w:t>
        </w:r>
      </w:hyperlink>
      <w:r w:rsidRPr="00E93504">
        <w:rPr>
          <w:rFonts w:cs="Calibri"/>
          <w:noProof/>
          <w:sz w:val="18"/>
          <w:szCs w:val="18"/>
          <w:lang w:eastAsia="el-GR"/>
        </w:rPr>
        <mc:AlternateContent>
          <mc:Choice Requires="wps">
            <w:drawing>
              <wp:anchor distT="0" distB="0" distL="114300" distR="114300" simplePos="0" relativeHeight="251660288" behindDoc="0" locked="0" layoutInCell="1" allowOverlap="1" wp14:anchorId="3ECB3BB3" wp14:editId="5167DA08">
                <wp:simplePos x="0" y="0"/>
                <wp:positionH relativeFrom="column">
                  <wp:posOffset>-65405</wp:posOffset>
                </wp:positionH>
                <wp:positionV relativeFrom="paragraph">
                  <wp:posOffset>9466580</wp:posOffset>
                </wp:positionV>
                <wp:extent cx="1334770" cy="294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2554AF6E"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3BB3" id="Text Box 2" o:spid="_x0000_s1028" type="#_x0000_t202" style="position:absolute;left:0;text-align:left;margin-left:-5.15pt;margin-top:745.4pt;width:105.1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" filled="f" stroked="f">
                <v:textbox>
                  <w:txbxContent>
                    <w:p w14:paraId="2554AF6E"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p>
    <w:p w14:paraId="1526F1D2" w14:textId="617831D8" w:rsidR="00A1137B" w:rsidRPr="00E93504" w:rsidRDefault="00505C70" w:rsidP="00AB5A93">
      <w:pPr>
        <w:jc w:val="both"/>
        <w:rPr>
          <w:rFonts w:asciiTheme="minorHAnsi" w:eastAsia="Times New Roman" w:hAnsiTheme="minorHAnsi" w:cstheme="minorHAnsi"/>
        </w:rPr>
      </w:pPr>
      <w:r w:rsidRPr="00E93504">
        <w:rPr>
          <w:rFonts w:eastAsia="Times New Roman" w:cs="Calibri"/>
          <w:i/>
          <w:sz w:val="18"/>
          <w:szCs w:val="18"/>
          <w:u w:val="single"/>
        </w:rPr>
        <w:t>Διεύθυνση Επενδυτικών Σχέσεων:</w:t>
      </w:r>
      <w:r w:rsidRPr="00CF684A">
        <w:rPr>
          <w:rFonts w:eastAsia="Times New Roman" w:cs="Calibri"/>
          <w:i/>
          <w:sz w:val="18"/>
          <w:szCs w:val="18"/>
        </w:rPr>
        <w:t xml:space="preserve"> </w:t>
      </w:r>
      <w:r w:rsidRPr="00E93504">
        <w:rPr>
          <w:rFonts w:eastAsia="Times New Roman" w:cs="Calibri"/>
          <w:i/>
          <w:sz w:val="18"/>
          <w:szCs w:val="18"/>
        </w:rPr>
        <w:t xml:space="preserve">Αργύρης </w:t>
      </w:r>
      <w:proofErr w:type="spellStart"/>
      <w:r w:rsidRPr="00E93504">
        <w:rPr>
          <w:rFonts w:eastAsia="Times New Roman" w:cs="Calibri"/>
          <w:i/>
          <w:sz w:val="18"/>
          <w:szCs w:val="18"/>
        </w:rPr>
        <w:t>Γκόνης</w:t>
      </w:r>
      <w:proofErr w:type="spellEnd"/>
      <w:r w:rsidRPr="00E93504">
        <w:rPr>
          <w:rFonts w:eastAsia="Times New Roman" w:cs="Calibri"/>
          <w:i/>
          <w:sz w:val="18"/>
          <w:szCs w:val="18"/>
        </w:rPr>
        <w:t xml:space="preserve">, </w:t>
      </w:r>
      <w:proofErr w:type="spellStart"/>
      <w:r w:rsidRPr="00E93504">
        <w:rPr>
          <w:rFonts w:eastAsia="Times New Roman" w:cs="Calibri"/>
          <w:i/>
          <w:sz w:val="18"/>
          <w:szCs w:val="18"/>
        </w:rPr>
        <w:t>τηλ</w:t>
      </w:r>
      <w:proofErr w:type="spellEnd"/>
      <w:r w:rsidRPr="00E93504">
        <w:rPr>
          <w:rFonts w:eastAsia="Times New Roman" w:cs="Calibri"/>
          <w:i/>
          <w:sz w:val="18"/>
          <w:szCs w:val="18"/>
        </w:rPr>
        <w:t>. 210 69 68 000,</w:t>
      </w:r>
      <w:r w:rsidRPr="00E93504">
        <w:rPr>
          <w:rFonts w:cs="Calibri"/>
          <w:noProof/>
          <w:sz w:val="18"/>
          <w:szCs w:val="18"/>
          <w:lang w:eastAsia="el-GR"/>
        </w:rPr>
        <mc:AlternateContent>
          <mc:Choice Requires="wps">
            <w:drawing>
              <wp:anchor distT="0" distB="0" distL="114300" distR="114300" simplePos="0" relativeHeight="251659264" behindDoc="0" locked="0" layoutInCell="1" allowOverlap="1" wp14:anchorId="15BE198C" wp14:editId="720208DE">
                <wp:simplePos x="0" y="0"/>
                <wp:positionH relativeFrom="column">
                  <wp:posOffset>-65405</wp:posOffset>
                </wp:positionH>
                <wp:positionV relativeFrom="paragraph">
                  <wp:posOffset>9466580</wp:posOffset>
                </wp:positionV>
                <wp:extent cx="1334770" cy="294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94005"/>
                        </a:xfrm>
                        <a:prstGeom prst="rect">
                          <a:avLst/>
                        </a:prstGeom>
                        <a:noFill/>
                        <a:ln>
                          <a:noFill/>
                        </a:ln>
                      </wps:spPr>
                      <wps:txbx>
                        <w:txbxContent>
                          <w:p w14:paraId="333C0800"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198C" id="Text Box 1" o:spid="_x0000_s1029" type="#_x0000_t202" style="position:absolute;left:0;text-align:left;margin-left:-5.15pt;margin-top:745.4pt;width:105.1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" filled="f" stroked="f">
                <v:textbox>
                  <w:txbxContent>
                    <w:p w14:paraId="333C0800" w14:textId="77777777" w:rsidR="00C21681" w:rsidRPr="004215BF" w:rsidRDefault="00C21681" w:rsidP="00505C70">
                      <w:pPr>
                        <w:rPr>
                          <w:color w:val="FFFFFF"/>
                          <w:sz w:val="18"/>
                          <w:szCs w:val="18"/>
                          <w:lang w:val="en-US"/>
                        </w:rPr>
                      </w:pPr>
                      <w:r w:rsidRPr="004215BF">
                        <w:rPr>
                          <w:color w:val="FFFFFF"/>
                          <w:sz w:val="18"/>
                          <w:szCs w:val="18"/>
                          <w:lang w:val="en-US"/>
                        </w:rPr>
                        <w:t>www.terna-energy.com</w:t>
                      </w:r>
                    </w:p>
                  </w:txbxContent>
                </v:textbox>
              </v:shape>
            </w:pict>
          </mc:Fallback>
        </mc:AlternateContent>
      </w:r>
      <w:r w:rsidRPr="00E93504">
        <w:rPr>
          <w:rFonts w:eastAsia="Times New Roman" w:cs="Calibri"/>
          <w:i/>
          <w:sz w:val="18"/>
          <w:szCs w:val="18"/>
        </w:rPr>
        <w:t xml:space="preserve"> </w:t>
      </w:r>
      <w:hyperlink r:id="rId9" w:history="1">
        <w:r w:rsidRPr="00E93504">
          <w:rPr>
            <w:rStyle w:val="Hyperlink"/>
            <w:rFonts w:eastAsia="Times New Roman" w:cs="Calibri"/>
            <w:i/>
            <w:color w:val="auto"/>
            <w:sz w:val="18"/>
            <w:szCs w:val="18"/>
            <w:lang w:val="en-US"/>
          </w:rPr>
          <w:t>agkonis</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gekterna</w:t>
        </w:r>
        <w:r w:rsidRPr="00E93504">
          <w:rPr>
            <w:rStyle w:val="Hyperlink"/>
            <w:rFonts w:eastAsia="Times New Roman" w:cs="Calibri"/>
            <w:i/>
            <w:color w:val="auto"/>
            <w:sz w:val="18"/>
            <w:szCs w:val="18"/>
          </w:rPr>
          <w:t>.</w:t>
        </w:r>
        <w:r w:rsidRPr="00E93504">
          <w:rPr>
            <w:rStyle w:val="Hyperlink"/>
            <w:rFonts w:eastAsia="Times New Roman" w:cs="Calibri"/>
            <w:i/>
            <w:color w:val="auto"/>
            <w:sz w:val="18"/>
            <w:szCs w:val="18"/>
            <w:lang w:val="en-US"/>
          </w:rPr>
          <w:t>com</w:t>
        </w:r>
      </w:hyperlink>
      <w:r w:rsidRPr="00E93504">
        <w:rPr>
          <w:noProof/>
        </w:rPr>
        <w:t xml:space="preserve"> </w:t>
      </w:r>
    </w:p>
    <w:sectPr w:rsidR="00A1137B" w:rsidRPr="00E93504" w:rsidSect="009D224B">
      <w:headerReference w:type="default" r:id="rId10"/>
      <w:footerReference w:type="default" r:id="rId11"/>
      <w:headerReference w:type="first" r:id="rId12"/>
      <w:footerReference w:type="first" r:id="rId13"/>
      <w:pgSz w:w="11906" w:h="16838"/>
      <w:pgMar w:top="1440" w:right="1134" w:bottom="993" w:left="113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D545C" w14:textId="77777777" w:rsidR="00C21681" w:rsidRDefault="00C21681" w:rsidP="006352B5">
      <w:pPr>
        <w:spacing w:after="0" w:line="240" w:lineRule="auto"/>
      </w:pPr>
      <w:r>
        <w:separator/>
      </w:r>
    </w:p>
  </w:endnote>
  <w:endnote w:type="continuationSeparator" w:id="0">
    <w:p w14:paraId="55911DB7" w14:textId="77777777" w:rsidR="00C21681" w:rsidRDefault="00C21681" w:rsidP="006352B5">
      <w:pPr>
        <w:spacing w:after="0" w:line="240" w:lineRule="auto"/>
      </w:pPr>
      <w:r>
        <w:continuationSeparator/>
      </w:r>
    </w:p>
  </w:endnote>
  <w:endnote w:type="continuationNotice" w:id="1">
    <w:p w14:paraId="69ECD223" w14:textId="77777777" w:rsidR="00C21681" w:rsidRDefault="00C21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840081"/>
      <w:docPartObj>
        <w:docPartGallery w:val="Page Numbers (Bottom of Page)"/>
        <w:docPartUnique/>
      </w:docPartObj>
    </w:sdtPr>
    <w:sdtEndPr>
      <w:rPr>
        <w:noProof/>
      </w:rPr>
    </w:sdtEndPr>
    <w:sdtContent>
      <w:p w14:paraId="6059DE95" w14:textId="1B3D6DEE" w:rsidR="00115F30" w:rsidRDefault="00115F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156B4A" w14:textId="77777777" w:rsidR="00C21681" w:rsidRPr="001B73CE" w:rsidRDefault="00C21681">
    <w:pPr>
      <w:pStyle w:val="Footer"/>
      <w:rPr>
        <w:color w:val="2B447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E789" w14:textId="77777777" w:rsidR="00C21681" w:rsidRDefault="00C21681">
    <w:pPr>
      <w:pStyle w:val="Footer"/>
    </w:pPr>
    <w:r>
      <w:rPr>
        <w:noProof/>
        <w:lang w:eastAsia="el-GR"/>
      </w:rPr>
      <mc:AlternateContent>
        <mc:Choice Requires="wps">
          <w:drawing>
            <wp:anchor distT="0" distB="0" distL="114300" distR="114300" simplePos="0" relativeHeight="251658240" behindDoc="0" locked="0" layoutInCell="1" allowOverlap="1" wp14:anchorId="4181B1DF" wp14:editId="279198F9">
              <wp:simplePos x="0" y="0"/>
              <wp:positionH relativeFrom="column">
                <wp:posOffset>-224790</wp:posOffset>
              </wp:positionH>
              <wp:positionV relativeFrom="paragraph">
                <wp:posOffset>9922510</wp:posOffset>
              </wp:positionV>
              <wp:extent cx="8168005" cy="294005"/>
              <wp:effectExtent l="13970" t="698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005" cy="294005"/>
                      </a:xfrm>
                      <a:prstGeom prst="rect">
                        <a:avLst/>
                      </a:prstGeom>
                      <a:solidFill>
                        <a:srgbClr val="2B447E"/>
                      </a:solidFill>
                      <a:ln w="9525">
                        <a:solidFill>
                          <a:srgbClr val="2B447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B44A0" id="Rectangle 3" o:spid="_x0000_s1026" style="position:absolute;margin-left:-17.7pt;margin-top:781.3pt;width:643.1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" fillcolor="#2b447e" strokecolor="#2b447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EC49" w14:textId="77777777" w:rsidR="00C21681" w:rsidRDefault="00C21681" w:rsidP="006352B5">
      <w:pPr>
        <w:spacing w:after="0" w:line="240" w:lineRule="auto"/>
      </w:pPr>
      <w:r>
        <w:separator/>
      </w:r>
    </w:p>
  </w:footnote>
  <w:footnote w:type="continuationSeparator" w:id="0">
    <w:p w14:paraId="5F97039B" w14:textId="77777777" w:rsidR="00C21681" w:rsidRDefault="00C21681" w:rsidP="006352B5">
      <w:pPr>
        <w:spacing w:after="0" w:line="240" w:lineRule="auto"/>
      </w:pPr>
      <w:r>
        <w:continuationSeparator/>
      </w:r>
    </w:p>
  </w:footnote>
  <w:footnote w:type="continuationNotice" w:id="1">
    <w:p w14:paraId="19FC81D5" w14:textId="77777777" w:rsidR="00C21681" w:rsidRDefault="00C21681">
      <w:pPr>
        <w:spacing w:after="0" w:line="240" w:lineRule="auto"/>
      </w:pPr>
    </w:p>
  </w:footnote>
  <w:footnote w:id="2">
    <w:p w14:paraId="3D5AF959" w14:textId="25DE969C" w:rsidR="006E5D38" w:rsidRPr="006E5D38" w:rsidRDefault="006E5D38">
      <w:pPr>
        <w:pStyle w:val="FootnoteText"/>
      </w:pPr>
      <w:r>
        <w:rPr>
          <w:rStyle w:val="FootnoteReference"/>
        </w:rPr>
        <w:footnoteRef/>
      </w:r>
      <w:r>
        <w:t xml:space="preserve"> </w:t>
      </w:r>
      <w:r w:rsidRPr="0015496A">
        <w:rPr>
          <w:rFonts w:asciiTheme="minorHAnsi" w:hAnsiTheme="minorHAnsi" w:cstheme="minorHAnsi"/>
          <w:i/>
          <w:iCs/>
          <w:sz w:val="12"/>
          <w:szCs w:val="12"/>
        </w:rPr>
        <w:t xml:space="preserve">Οι εναλλακτικοί δείκτες μέτρησης ΕΔΜΑ προσδιορίζονται στην ενότητα ΣΤ της Έκθεσης Διαχείρισης του Διοικητικού Συμβουλίου, στην Εξαμηνιαία Οικονομική Έκθεση της περιόδου που λήγει την </w:t>
      </w:r>
      <w:r w:rsidRPr="0000504B">
        <w:rPr>
          <w:rFonts w:asciiTheme="minorHAnsi" w:hAnsiTheme="minorHAnsi" w:cstheme="minorHAnsi"/>
          <w:i/>
          <w:iCs/>
          <w:sz w:val="12"/>
          <w:szCs w:val="12"/>
        </w:rPr>
        <w:t>31</w:t>
      </w:r>
      <w:r w:rsidRPr="0015496A">
        <w:rPr>
          <w:rFonts w:asciiTheme="minorHAnsi" w:hAnsiTheme="minorHAnsi" w:cstheme="minorHAnsi"/>
          <w:i/>
          <w:iCs/>
          <w:sz w:val="12"/>
          <w:szCs w:val="12"/>
        </w:rPr>
        <w:t>.</w:t>
      </w:r>
      <w:r w:rsidR="00AA5D5B">
        <w:rPr>
          <w:rFonts w:asciiTheme="minorHAnsi" w:hAnsiTheme="minorHAnsi" w:cstheme="minorHAnsi"/>
          <w:i/>
          <w:iCs/>
          <w:sz w:val="12"/>
          <w:szCs w:val="12"/>
        </w:rPr>
        <w:t>12</w:t>
      </w:r>
      <w:r w:rsidRPr="0015496A">
        <w:rPr>
          <w:rFonts w:asciiTheme="minorHAnsi" w:hAnsiTheme="minorHAnsi" w:cstheme="minorHAnsi"/>
          <w:i/>
          <w:iCs/>
          <w:sz w:val="12"/>
          <w:szCs w:val="12"/>
        </w:rPr>
        <w:t>.2022.</w:t>
      </w:r>
    </w:p>
  </w:footnote>
  <w:footnote w:id="3">
    <w:p w14:paraId="41EB9F1F" w14:textId="277CC5BE" w:rsidR="006E5D38" w:rsidRPr="006E5D38" w:rsidRDefault="006E5D38">
      <w:pPr>
        <w:pStyle w:val="FootnoteText"/>
      </w:pPr>
      <w:r>
        <w:rPr>
          <w:rStyle w:val="FootnoteReference"/>
        </w:rPr>
        <w:footnoteRef/>
      </w:r>
      <w:r>
        <w:t xml:space="preserve"> </w:t>
      </w:r>
      <w:r w:rsidRPr="00065030">
        <w:rPr>
          <w:rFonts w:asciiTheme="minorHAnsi" w:eastAsia="Times New Roman" w:hAnsiTheme="minorHAnsi" w:cstheme="minorHAnsi"/>
          <w:sz w:val="12"/>
          <w:szCs w:val="12"/>
        </w:rPr>
        <w:t>Σημειώνεται ότι, στα αποτελέσματα της τρέχουσας περιόδου έχουν συμπεριληφθεί και γεγονότα που έχουν τον χαρακτηρισμό  του</w:t>
      </w:r>
      <w:r w:rsidR="00AA5D5B">
        <w:rPr>
          <w:rFonts w:asciiTheme="minorHAnsi" w:eastAsia="Times New Roman" w:hAnsiTheme="minorHAnsi" w:cstheme="minorHAnsi"/>
          <w:sz w:val="12"/>
          <w:szCs w:val="12"/>
        </w:rPr>
        <w:t xml:space="preserve"> μη </w:t>
      </w:r>
      <w:r w:rsidRPr="00065030">
        <w:rPr>
          <w:rFonts w:asciiTheme="minorHAnsi" w:eastAsia="Times New Roman" w:hAnsiTheme="minorHAnsi" w:cstheme="minorHAnsi"/>
          <w:sz w:val="12"/>
          <w:szCs w:val="12"/>
        </w:rPr>
        <w:t>λειτουργικού αποτελέσματος: α) κέρδος 21,7 εκατ. ευρώ, το οποίο αναγνωρίσθηκε συνεπεία της απόκτησης του ελέγχου της ΗΡΩΝ ΕΝΕΡΓΕΙΑΚΗ Μ.Α.Ε., έναντι 60,9 εκατ. ευρώ την αντίστοιχη περίοδο του 2021 και β) ζημία  76,3 εκατ. ευρώ έναντι  11,9 εκατ. ευρώ την αντίστοιχη περίοδο του 2021, από την μείωση κυρίως της εύλογης αξίας του ενσωματωμένου παραγώγου, το οποίο έχει αναγνωριστεί στο πλαίσιο λειτουργίας της θυγατρικής εταιρείας Παραχώρησης ΑΥΤΟΚΙΝΗΤΟΔΡΟΜΟΣ ΚΕΝΤΡΙΚΗΣ ΕΛΛΑΔΑΣ Α.Ε.</w:t>
      </w:r>
    </w:p>
  </w:footnote>
  <w:footnote w:id="4">
    <w:p w14:paraId="6C33F7C2" w14:textId="1C5DB90E" w:rsidR="009D7ACE" w:rsidRPr="00E93504" w:rsidRDefault="009D7ACE" w:rsidP="009D7ACE">
      <w:pPr>
        <w:jc w:val="both"/>
        <w:rPr>
          <w:rFonts w:asciiTheme="minorHAnsi" w:eastAsia="Times New Roman" w:hAnsiTheme="minorHAnsi" w:cstheme="minorHAnsi"/>
        </w:rPr>
      </w:pPr>
      <w:r>
        <w:rPr>
          <w:rStyle w:val="FootnoteReference"/>
        </w:rPr>
        <w:footnoteRef/>
      </w:r>
      <w:r>
        <w:t xml:space="preserve"> </w:t>
      </w:r>
      <w:r w:rsidR="00065030" w:rsidRPr="00065030">
        <w:rPr>
          <w:rFonts w:asciiTheme="minorHAnsi" w:eastAsia="Times New Roman" w:hAnsiTheme="minorHAnsi" w:cstheme="minorHAnsi"/>
          <w:sz w:val="12"/>
          <w:szCs w:val="12"/>
        </w:rPr>
        <w:t>Σημειώνεται ότι, στα αποτελέσματα της τρέχουσας περιόδου έχουν συμπεριληφθεί και γεγονότα που έχουν τον χαρακτηρισμό  του μη λειτουργικού αποτελέσματος: α) κέρδος 21,7 εκατ. ευρώ, το οποίο αναγνωρίσθηκε συνεπεία της απόκτησης του ελέγχου της ΗΡΩΝ ΕΝΕΡΓΕΙΑΚΗ Μ.Α.Ε., έναντι 60,9 εκατ. ευρώ την αντίστοιχη περίοδο του 2021 και β) ζημία  76,3 εκατ. ευρώ έναντι  11,9 εκατ. ευρώ την αντίστοιχη περίοδο του 2021, από την μείωση κυρίως της εύλογης αξίας του ενσωματωμένου παραγώγου, το οποίο έχει αναγνωριστεί στο πλαίσιο λειτουργίας της θυγατρικής εταιρείας Παραχώρησης ΑΥΤΟΚΙΝΗΤΟΔΡΟΜΟΣ ΚΕΝΤΡΙΚΗΣ ΕΛΛΑΔΑΣ Α.Ε.</w:t>
      </w:r>
    </w:p>
    <w:p w14:paraId="3567F42C" w14:textId="20B4AF7C" w:rsidR="009D7ACE" w:rsidRPr="009D7ACE" w:rsidRDefault="009D7A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F49B" w14:textId="77777777" w:rsidR="00C21681" w:rsidRDefault="00C21681">
    <w:pPr>
      <w:pStyle w:val="Header"/>
      <w:rPr>
        <w:lang w:val="en-US"/>
      </w:rPr>
    </w:pPr>
    <w:r>
      <w:rPr>
        <w:noProof/>
        <w:lang w:eastAsia="el-GR"/>
      </w:rPr>
      <w:drawing>
        <wp:inline distT="0" distB="0" distL="0" distR="0" wp14:anchorId="3822B7D3" wp14:editId="26F2E389">
          <wp:extent cx="1030605" cy="375285"/>
          <wp:effectExtent l="0" t="0" r="0" b="5715"/>
          <wp:docPr id="12" name="Picture 12" descr="GEK_TERN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K_TERNA_GR.jpg"/>
                  <pic:cNvPicPr>
                    <a:picLocks noChangeAspect="1" noChangeArrowheads="1"/>
                  </pic:cNvPicPr>
                </pic:nvPicPr>
                <pic:blipFill>
                  <a:blip r:embed="rId1">
                    <a:extLst>
                      <a:ext uri="{28A0092B-C50C-407E-A947-70E740481C1C}">
                        <a14:useLocalDpi xmlns:a14="http://schemas.microsoft.com/office/drawing/2010/main" val="0"/>
                      </a:ext>
                    </a:extLst>
                  </a:blip>
                  <a:srcRect l="6085"/>
                  <a:stretch>
                    <a:fillRect/>
                  </a:stretch>
                </pic:blipFill>
                <pic:spPr bwMode="auto">
                  <a:xfrm>
                    <a:off x="0" y="0"/>
                    <a:ext cx="1030605" cy="375285"/>
                  </a:xfrm>
                  <a:prstGeom prst="rect">
                    <a:avLst/>
                  </a:prstGeom>
                  <a:noFill/>
                  <a:ln>
                    <a:noFill/>
                  </a:ln>
                </pic:spPr>
              </pic:pic>
            </a:graphicData>
          </a:graphic>
        </wp:inline>
      </w:drawing>
    </w:r>
  </w:p>
  <w:p w14:paraId="4DFCCC74" w14:textId="77777777" w:rsidR="00C21681" w:rsidRPr="00EE0C0E" w:rsidRDefault="00C2168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2BD5" w14:textId="77777777" w:rsidR="00C21681" w:rsidRDefault="00C21681">
    <w:pPr>
      <w:pStyle w:val="Header"/>
      <w:rPr>
        <w:lang w:val="en-US"/>
      </w:rPr>
    </w:pPr>
    <w:r>
      <w:rPr>
        <w:noProof/>
        <w:lang w:eastAsia="el-GR"/>
      </w:rPr>
      <w:drawing>
        <wp:inline distT="0" distB="0" distL="0" distR="0" wp14:anchorId="4F0FB5FE" wp14:editId="28C5A618">
          <wp:extent cx="1528445" cy="573405"/>
          <wp:effectExtent l="0" t="0" r="0" b="0"/>
          <wp:docPr id="13" name="Picture 13" descr="GEK_TERNA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K_TERNA_GR.jpg"/>
                  <pic:cNvPicPr>
                    <a:picLocks noChangeAspect="1" noChangeArrowheads="1"/>
                  </pic:cNvPicPr>
                </pic:nvPicPr>
                <pic:blipFill>
                  <a:blip r:embed="rId1">
                    <a:extLst>
                      <a:ext uri="{28A0092B-C50C-407E-A947-70E740481C1C}">
                        <a14:useLocalDpi xmlns:a14="http://schemas.microsoft.com/office/drawing/2010/main" val="0"/>
                      </a:ext>
                    </a:extLst>
                  </a:blip>
                  <a:srcRect l="6085" r="2654"/>
                  <a:stretch>
                    <a:fillRect/>
                  </a:stretch>
                </pic:blipFill>
                <pic:spPr bwMode="auto">
                  <a:xfrm>
                    <a:off x="0" y="0"/>
                    <a:ext cx="1528445" cy="573405"/>
                  </a:xfrm>
                  <a:prstGeom prst="rect">
                    <a:avLst/>
                  </a:prstGeom>
                  <a:noFill/>
                  <a:ln>
                    <a:noFill/>
                  </a:ln>
                </pic:spPr>
              </pic:pic>
            </a:graphicData>
          </a:graphic>
        </wp:inline>
      </w:drawing>
    </w:r>
  </w:p>
  <w:p w14:paraId="5DD54DD0" w14:textId="77777777" w:rsidR="00C21681" w:rsidRPr="004A2D2E" w:rsidRDefault="00C2168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1E2"/>
    <w:multiLevelType w:val="hybridMultilevel"/>
    <w:tmpl w:val="DD548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29796E"/>
    <w:multiLevelType w:val="hybridMultilevel"/>
    <w:tmpl w:val="553A297A"/>
    <w:lvl w:ilvl="0" w:tplc="3F7C02A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CE79EB"/>
    <w:multiLevelType w:val="hybridMultilevel"/>
    <w:tmpl w:val="17DCA37C"/>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3" w15:restartNumberingAfterBreak="0">
    <w:nsid w:val="17CF1C83"/>
    <w:multiLevelType w:val="hybridMultilevel"/>
    <w:tmpl w:val="1B6E97C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963EC2"/>
    <w:multiLevelType w:val="hybridMultilevel"/>
    <w:tmpl w:val="647EA832"/>
    <w:lvl w:ilvl="0" w:tplc="1ACA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50CAC"/>
    <w:multiLevelType w:val="hybridMultilevel"/>
    <w:tmpl w:val="A252C4C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4127E01"/>
    <w:multiLevelType w:val="hybridMultilevel"/>
    <w:tmpl w:val="99B6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71654"/>
    <w:multiLevelType w:val="hybridMultilevel"/>
    <w:tmpl w:val="B3928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F909D0"/>
    <w:multiLevelType w:val="hybridMultilevel"/>
    <w:tmpl w:val="4970A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D6E596B"/>
    <w:multiLevelType w:val="hybridMultilevel"/>
    <w:tmpl w:val="27402B26"/>
    <w:lvl w:ilvl="0" w:tplc="93AA8624">
      <w:start w:val="1"/>
      <w:numFmt w:val="bullet"/>
      <w:lvlText w:val=""/>
      <w:lvlJc w:val="left"/>
      <w:pPr>
        <w:ind w:left="720" w:hanging="360"/>
      </w:pPr>
      <w:rPr>
        <w:rFonts w:ascii="Symbol" w:hAnsi="Symbol" w:hint="default"/>
      </w:rPr>
    </w:lvl>
    <w:lvl w:ilvl="1" w:tplc="B366E7AA" w:tentative="1">
      <w:start w:val="1"/>
      <w:numFmt w:val="bullet"/>
      <w:lvlText w:val="o"/>
      <w:lvlJc w:val="left"/>
      <w:pPr>
        <w:ind w:left="1440" w:hanging="360"/>
      </w:pPr>
      <w:rPr>
        <w:rFonts w:ascii="Courier New" w:hAnsi="Courier New" w:cs="Courier New" w:hint="default"/>
      </w:rPr>
    </w:lvl>
    <w:lvl w:ilvl="2" w:tplc="EA6844DA" w:tentative="1">
      <w:start w:val="1"/>
      <w:numFmt w:val="bullet"/>
      <w:lvlText w:val=""/>
      <w:lvlJc w:val="left"/>
      <w:pPr>
        <w:ind w:left="2160" w:hanging="360"/>
      </w:pPr>
      <w:rPr>
        <w:rFonts w:ascii="Wingdings" w:hAnsi="Wingdings" w:hint="default"/>
      </w:rPr>
    </w:lvl>
    <w:lvl w:ilvl="3" w:tplc="D6B2FBB0" w:tentative="1">
      <w:start w:val="1"/>
      <w:numFmt w:val="bullet"/>
      <w:lvlText w:val=""/>
      <w:lvlJc w:val="left"/>
      <w:pPr>
        <w:ind w:left="2880" w:hanging="360"/>
      </w:pPr>
      <w:rPr>
        <w:rFonts w:ascii="Symbol" w:hAnsi="Symbol" w:hint="default"/>
      </w:rPr>
    </w:lvl>
    <w:lvl w:ilvl="4" w:tplc="25C0B424" w:tentative="1">
      <w:start w:val="1"/>
      <w:numFmt w:val="bullet"/>
      <w:lvlText w:val="o"/>
      <w:lvlJc w:val="left"/>
      <w:pPr>
        <w:ind w:left="3600" w:hanging="360"/>
      </w:pPr>
      <w:rPr>
        <w:rFonts w:ascii="Courier New" w:hAnsi="Courier New" w:cs="Courier New" w:hint="default"/>
      </w:rPr>
    </w:lvl>
    <w:lvl w:ilvl="5" w:tplc="6B9C998C" w:tentative="1">
      <w:start w:val="1"/>
      <w:numFmt w:val="bullet"/>
      <w:lvlText w:val=""/>
      <w:lvlJc w:val="left"/>
      <w:pPr>
        <w:ind w:left="4320" w:hanging="360"/>
      </w:pPr>
      <w:rPr>
        <w:rFonts w:ascii="Wingdings" w:hAnsi="Wingdings" w:hint="default"/>
      </w:rPr>
    </w:lvl>
    <w:lvl w:ilvl="6" w:tplc="2D12782A" w:tentative="1">
      <w:start w:val="1"/>
      <w:numFmt w:val="bullet"/>
      <w:lvlText w:val=""/>
      <w:lvlJc w:val="left"/>
      <w:pPr>
        <w:ind w:left="5040" w:hanging="360"/>
      </w:pPr>
      <w:rPr>
        <w:rFonts w:ascii="Symbol" w:hAnsi="Symbol" w:hint="default"/>
      </w:rPr>
    </w:lvl>
    <w:lvl w:ilvl="7" w:tplc="6BD64FFA" w:tentative="1">
      <w:start w:val="1"/>
      <w:numFmt w:val="bullet"/>
      <w:lvlText w:val="o"/>
      <w:lvlJc w:val="left"/>
      <w:pPr>
        <w:ind w:left="5760" w:hanging="360"/>
      </w:pPr>
      <w:rPr>
        <w:rFonts w:ascii="Courier New" w:hAnsi="Courier New" w:cs="Courier New" w:hint="default"/>
      </w:rPr>
    </w:lvl>
    <w:lvl w:ilvl="8" w:tplc="84BED674" w:tentative="1">
      <w:start w:val="1"/>
      <w:numFmt w:val="bullet"/>
      <w:lvlText w:val=""/>
      <w:lvlJc w:val="left"/>
      <w:pPr>
        <w:ind w:left="6480" w:hanging="360"/>
      </w:pPr>
      <w:rPr>
        <w:rFonts w:ascii="Wingdings" w:hAnsi="Wingdings" w:hint="default"/>
      </w:rPr>
    </w:lvl>
  </w:abstractNum>
  <w:abstractNum w:abstractNumId="10" w15:restartNumberingAfterBreak="0">
    <w:nsid w:val="40663F24"/>
    <w:multiLevelType w:val="hybridMultilevel"/>
    <w:tmpl w:val="F7AAF216"/>
    <w:lvl w:ilvl="0" w:tplc="D5AE25D8">
      <w:start w:val="1"/>
      <w:numFmt w:val="decimal"/>
      <w:lvlText w:val="%1."/>
      <w:lvlJc w:val="left"/>
      <w:pPr>
        <w:tabs>
          <w:tab w:val="num" w:pos="720"/>
        </w:tabs>
        <w:ind w:left="720" w:hanging="360"/>
      </w:pPr>
    </w:lvl>
    <w:lvl w:ilvl="1" w:tplc="2C82C448" w:tentative="1">
      <w:start w:val="1"/>
      <w:numFmt w:val="decimal"/>
      <w:lvlText w:val="%2."/>
      <w:lvlJc w:val="left"/>
      <w:pPr>
        <w:tabs>
          <w:tab w:val="num" w:pos="1440"/>
        </w:tabs>
        <w:ind w:left="1440" w:hanging="360"/>
      </w:pPr>
    </w:lvl>
    <w:lvl w:ilvl="2" w:tplc="93103350" w:tentative="1">
      <w:start w:val="1"/>
      <w:numFmt w:val="decimal"/>
      <w:lvlText w:val="%3."/>
      <w:lvlJc w:val="left"/>
      <w:pPr>
        <w:tabs>
          <w:tab w:val="num" w:pos="2160"/>
        </w:tabs>
        <w:ind w:left="2160" w:hanging="360"/>
      </w:pPr>
    </w:lvl>
    <w:lvl w:ilvl="3" w:tplc="F92238DA" w:tentative="1">
      <w:start w:val="1"/>
      <w:numFmt w:val="decimal"/>
      <w:lvlText w:val="%4."/>
      <w:lvlJc w:val="left"/>
      <w:pPr>
        <w:tabs>
          <w:tab w:val="num" w:pos="2880"/>
        </w:tabs>
        <w:ind w:left="2880" w:hanging="360"/>
      </w:pPr>
    </w:lvl>
    <w:lvl w:ilvl="4" w:tplc="5BCAD1E4" w:tentative="1">
      <w:start w:val="1"/>
      <w:numFmt w:val="decimal"/>
      <w:lvlText w:val="%5."/>
      <w:lvlJc w:val="left"/>
      <w:pPr>
        <w:tabs>
          <w:tab w:val="num" w:pos="3600"/>
        </w:tabs>
        <w:ind w:left="3600" w:hanging="360"/>
      </w:pPr>
    </w:lvl>
    <w:lvl w:ilvl="5" w:tplc="ACD610FE" w:tentative="1">
      <w:start w:val="1"/>
      <w:numFmt w:val="decimal"/>
      <w:lvlText w:val="%6."/>
      <w:lvlJc w:val="left"/>
      <w:pPr>
        <w:tabs>
          <w:tab w:val="num" w:pos="4320"/>
        </w:tabs>
        <w:ind w:left="4320" w:hanging="360"/>
      </w:pPr>
    </w:lvl>
    <w:lvl w:ilvl="6" w:tplc="4EDA850E" w:tentative="1">
      <w:start w:val="1"/>
      <w:numFmt w:val="decimal"/>
      <w:lvlText w:val="%7."/>
      <w:lvlJc w:val="left"/>
      <w:pPr>
        <w:tabs>
          <w:tab w:val="num" w:pos="5040"/>
        </w:tabs>
        <w:ind w:left="5040" w:hanging="360"/>
      </w:pPr>
    </w:lvl>
    <w:lvl w:ilvl="7" w:tplc="D18C8162" w:tentative="1">
      <w:start w:val="1"/>
      <w:numFmt w:val="decimal"/>
      <w:lvlText w:val="%8."/>
      <w:lvlJc w:val="left"/>
      <w:pPr>
        <w:tabs>
          <w:tab w:val="num" w:pos="5760"/>
        </w:tabs>
        <w:ind w:left="5760" w:hanging="360"/>
      </w:pPr>
    </w:lvl>
    <w:lvl w:ilvl="8" w:tplc="25800F0E" w:tentative="1">
      <w:start w:val="1"/>
      <w:numFmt w:val="decimal"/>
      <w:lvlText w:val="%9."/>
      <w:lvlJc w:val="left"/>
      <w:pPr>
        <w:tabs>
          <w:tab w:val="num" w:pos="6480"/>
        </w:tabs>
        <w:ind w:left="6480" w:hanging="360"/>
      </w:pPr>
    </w:lvl>
  </w:abstractNum>
  <w:abstractNum w:abstractNumId="11" w15:restartNumberingAfterBreak="0">
    <w:nsid w:val="42004073"/>
    <w:multiLevelType w:val="hybridMultilevel"/>
    <w:tmpl w:val="42925850"/>
    <w:lvl w:ilvl="0" w:tplc="5B8469B6">
      <w:start w:val="1"/>
      <w:numFmt w:val="bullet"/>
      <w:lvlText w:val=""/>
      <w:lvlJc w:val="left"/>
      <w:pPr>
        <w:ind w:left="1440" w:hanging="360"/>
      </w:pPr>
      <w:rPr>
        <w:rFonts w:ascii="Symbol" w:hAnsi="Symbol" w:hint="default"/>
        <w:lang w:val="el-GR"/>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F4308"/>
    <w:multiLevelType w:val="hybridMultilevel"/>
    <w:tmpl w:val="73307A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C6090"/>
    <w:multiLevelType w:val="hybridMultilevel"/>
    <w:tmpl w:val="7EACE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FB4438"/>
    <w:multiLevelType w:val="hybridMultilevel"/>
    <w:tmpl w:val="90929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25B270A"/>
    <w:multiLevelType w:val="hybridMultilevel"/>
    <w:tmpl w:val="A6827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A9140F4"/>
    <w:multiLevelType w:val="hybridMultilevel"/>
    <w:tmpl w:val="1760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C6D65"/>
    <w:multiLevelType w:val="hybridMultilevel"/>
    <w:tmpl w:val="C77EB0B2"/>
    <w:lvl w:ilvl="0" w:tplc="D2361F0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CA040F4"/>
    <w:multiLevelType w:val="multilevel"/>
    <w:tmpl w:val="08445D32"/>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5C57101"/>
    <w:multiLevelType w:val="hybridMultilevel"/>
    <w:tmpl w:val="11263B2C"/>
    <w:lvl w:ilvl="0" w:tplc="5C64C386">
      <w:start w:val="1"/>
      <w:numFmt w:val="bullet"/>
      <w:lvlText w:val="•"/>
      <w:lvlJc w:val="left"/>
      <w:pPr>
        <w:tabs>
          <w:tab w:val="num" w:pos="720"/>
        </w:tabs>
        <w:ind w:left="720" w:hanging="360"/>
      </w:pPr>
      <w:rPr>
        <w:rFonts w:ascii="Arial" w:hAnsi="Arial" w:cs="Times New Roman" w:hint="default"/>
      </w:rPr>
    </w:lvl>
    <w:lvl w:ilvl="1" w:tplc="623CEB98">
      <w:start w:val="1"/>
      <w:numFmt w:val="bullet"/>
      <w:lvlText w:val="•"/>
      <w:lvlJc w:val="left"/>
      <w:pPr>
        <w:tabs>
          <w:tab w:val="num" w:pos="1440"/>
        </w:tabs>
        <w:ind w:left="1440" w:hanging="360"/>
      </w:pPr>
      <w:rPr>
        <w:rFonts w:ascii="Arial" w:hAnsi="Arial" w:cs="Times New Roman" w:hint="default"/>
      </w:rPr>
    </w:lvl>
    <w:lvl w:ilvl="2" w:tplc="C48605D6">
      <w:start w:val="1"/>
      <w:numFmt w:val="bullet"/>
      <w:lvlText w:val="•"/>
      <w:lvlJc w:val="left"/>
      <w:pPr>
        <w:tabs>
          <w:tab w:val="num" w:pos="2160"/>
        </w:tabs>
        <w:ind w:left="2160" w:hanging="360"/>
      </w:pPr>
      <w:rPr>
        <w:rFonts w:ascii="Arial" w:hAnsi="Arial" w:cs="Times New Roman" w:hint="default"/>
      </w:rPr>
    </w:lvl>
    <w:lvl w:ilvl="3" w:tplc="5BF2EE72">
      <w:start w:val="1"/>
      <w:numFmt w:val="bullet"/>
      <w:lvlText w:val="•"/>
      <w:lvlJc w:val="left"/>
      <w:pPr>
        <w:tabs>
          <w:tab w:val="num" w:pos="2880"/>
        </w:tabs>
        <w:ind w:left="2880" w:hanging="360"/>
      </w:pPr>
      <w:rPr>
        <w:rFonts w:ascii="Arial" w:hAnsi="Arial" w:cs="Times New Roman" w:hint="default"/>
      </w:rPr>
    </w:lvl>
    <w:lvl w:ilvl="4" w:tplc="51EA090C">
      <w:start w:val="1"/>
      <w:numFmt w:val="bullet"/>
      <w:lvlText w:val="•"/>
      <w:lvlJc w:val="left"/>
      <w:pPr>
        <w:tabs>
          <w:tab w:val="num" w:pos="3600"/>
        </w:tabs>
        <w:ind w:left="3600" w:hanging="360"/>
      </w:pPr>
      <w:rPr>
        <w:rFonts w:ascii="Arial" w:hAnsi="Arial" w:cs="Times New Roman" w:hint="default"/>
      </w:rPr>
    </w:lvl>
    <w:lvl w:ilvl="5" w:tplc="77DEDC52">
      <w:start w:val="1"/>
      <w:numFmt w:val="bullet"/>
      <w:lvlText w:val="•"/>
      <w:lvlJc w:val="left"/>
      <w:pPr>
        <w:tabs>
          <w:tab w:val="num" w:pos="4320"/>
        </w:tabs>
        <w:ind w:left="4320" w:hanging="360"/>
      </w:pPr>
      <w:rPr>
        <w:rFonts w:ascii="Arial" w:hAnsi="Arial" w:cs="Times New Roman" w:hint="default"/>
      </w:rPr>
    </w:lvl>
    <w:lvl w:ilvl="6" w:tplc="C0841BAA">
      <w:start w:val="1"/>
      <w:numFmt w:val="bullet"/>
      <w:lvlText w:val="•"/>
      <w:lvlJc w:val="left"/>
      <w:pPr>
        <w:tabs>
          <w:tab w:val="num" w:pos="5040"/>
        </w:tabs>
        <w:ind w:left="5040" w:hanging="360"/>
      </w:pPr>
      <w:rPr>
        <w:rFonts w:ascii="Arial" w:hAnsi="Arial" w:cs="Times New Roman" w:hint="default"/>
      </w:rPr>
    </w:lvl>
    <w:lvl w:ilvl="7" w:tplc="C3F41ED4">
      <w:start w:val="1"/>
      <w:numFmt w:val="bullet"/>
      <w:lvlText w:val="•"/>
      <w:lvlJc w:val="left"/>
      <w:pPr>
        <w:tabs>
          <w:tab w:val="num" w:pos="5760"/>
        </w:tabs>
        <w:ind w:left="5760" w:hanging="360"/>
      </w:pPr>
      <w:rPr>
        <w:rFonts w:ascii="Arial" w:hAnsi="Arial" w:cs="Times New Roman" w:hint="default"/>
      </w:rPr>
    </w:lvl>
    <w:lvl w:ilvl="8" w:tplc="EB32612A">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99412F5"/>
    <w:multiLevelType w:val="hybridMultilevel"/>
    <w:tmpl w:val="E5965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F21975"/>
    <w:multiLevelType w:val="hybridMultilevel"/>
    <w:tmpl w:val="4FDC330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5361486">
    <w:abstractNumId w:val="1"/>
  </w:num>
  <w:num w:numId="2" w16cid:durableId="915823137">
    <w:abstractNumId w:val="19"/>
  </w:num>
  <w:num w:numId="3" w16cid:durableId="413552219">
    <w:abstractNumId w:val="9"/>
  </w:num>
  <w:num w:numId="4" w16cid:durableId="809054063">
    <w:abstractNumId w:val="13"/>
  </w:num>
  <w:num w:numId="5" w16cid:durableId="1070613802">
    <w:abstractNumId w:val="17"/>
  </w:num>
  <w:num w:numId="6" w16cid:durableId="1465737498">
    <w:abstractNumId w:val="15"/>
  </w:num>
  <w:num w:numId="7" w16cid:durableId="1815172277">
    <w:abstractNumId w:val="20"/>
  </w:num>
  <w:num w:numId="8" w16cid:durableId="2006128081">
    <w:abstractNumId w:val="0"/>
  </w:num>
  <w:num w:numId="9" w16cid:durableId="48117143">
    <w:abstractNumId w:val="2"/>
  </w:num>
  <w:num w:numId="10" w16cid:durableId="1842424232">
    <w:abstractNumId w:val="14"/>
  </w:num>
  <w:num w:numId="11" w16cid:durableId="1776631127">
    <w:abstractNumId w:val="8"/>
  </w:num>
  <w:num w:numId="12" w16cid:durableId="644550228">
    <w:abstractNumId w:val="7"/>
  </w:num>
  <w:num w:numId="13" w16cid:durableId="1291060379">
    <w:abstractNumId w:val="5"/>
  </w:num>
  <w:num w:numId="14" w16cid:durableId="601838987">
    <w:abstractNumId w:val="6"/>
  </w:num>
  <w:num w:numId="15" w16cid:durableId="654069105">
    <w:abstractNumId w:val="3"/>
  </w:num>
  <w:num w:numId="16" w16cid:durableId="1263804861">
    <w:abstractNumId w:val="21"/>
  </w:num>
  <w:num w:numId="17" w16cid:durableId="190732158">
    <w:abstractNumId w:val="11"/>
  </w:num>
  <w:num w:numId="18" w16cid:durableId="677730988">
    <w:abstractNumId w:val="12"/>
  </w:num>
  <w:num w:numId="19" w16cid:durableId="567615075">
    <w:abstractNumId w:val="18"/>
  </w:num>
  <w:num w:numId="20" w16cid:durableId="1410301096">
    <w:abstractNumId w:val="10"/>
  </w:num>
  <w:num w:numId="21" w16cid:durableId="1676228744">
    <w:abstractNumId w:val="4"/>
  </w:num>
  <w:num w:numId="22" w16cid:durableId="4626191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B5"/>
    <w:rsid w:val="000030D4"/>
    <w:rsid w:val="0000504B"/>
    <w:rsid w:val="00006E61"/>
    <w:rsid w:val="00012E14"/>
    <w:rsid w:val="00015764"/>
    <w:rsid w:val="00020431"/>
    <w:rsid w:val="00021ED3"/>
    <w:rsid w:val="00024943"/>
    <w:rsid w:val="000300F1"/>
    <w:rsid w:val="00031B7C"/>
    <w:rsid w:val="000351B7"/>
    <w:rsid w:val="000353D6"/>
    <w:rsid w:val="00041C6C"/>
    <w:rsid w:val="000434CC"/>
    <w:rsid w:val="00045A86"/>
    <w:rsid w:val="000502C8"/>
    <w:rsid w:val="00054EBC"/>
    <w:rsid w:val="00055715"/>
    <w:rsid w:val="00062586"/>
    <w:rsid w:val="00062FBD"/>
    <w:rsid w:val="0006383C"/>
    <w:rsid w:val="00064D81"/>
    <w:rsid w:val="00065030"/>
    <w:rsid w:val="00074350"/>
    <w:rsid w:val="00077F41"/>
    <w:rsid w:val="00081741"/>
    <w:rsid w:val="00082790"/>
    <w:rsid w:val="00086EA9"/>
    <w:rsid w:val="00090DF8"/>
    <w:rsid w:val="00092FA8"/>
    <w:rsid w:val="000A51FF"/>
    <w:rsid w:val="000A5887"/>
    <w:rsid w:val="000A7194"/>
    <w:rsid w:val="000A7319"/>
    <w:rsid w:val="000C06BB"/>
    <w:rsid w:val="000C15D5"/>
    <w:rsid w:val="000C3C69"/>
    <w:rsid w:val="000C50AD"/>
    <w:rsid w:val="000D26D7"/>
    <w:rsid w:val="000D7496"/>
    <w:rsid w:val="000E2EB1"/>
    <w:rsid w:val="000E368A"/>
    <w:rsid w:val="000E3E8D"/>
    <w:rsid w:val="000E684E"/>
    <w:rsid w:val="000F0C46"/>
    <w:rsid w:val="000F5F15"/>
    <w:rsid w:val="000F7F4E"/>
    <w:rsid w:val="00100B68"/>
    <w:rsid w:val="00100CD0"/>
    <w:rsid w:val="00104D18"/>
    <w:rsid w:val="00105849"/>
    <w:rsid w:val="00115F30"/>
    <w:rsid w:val="00123043"/>
    <w:rsid w:val="0012437A"/>
    <w:rsid w:val="001247CF"/>
    <w:rsid w:val="0012484D"/>
    <w:rsid w:val="00124DE6"/>
    <w:rsid w:val="00125071"/>
    <w:rsid w:val="00125319"/>
    <w:rsid w:val="00126B34"/>
    <w:rsid w:val="001303D1"/>
    <w:rsid w:val="00134BB2"/>
    <w:rsid w:val="0013732D"/>
    <w:rsid w:val="001417B4"/>
    <w:rsid w:val="00141B37"/>
    <w:rsid w:val="00142C3B"/>
    <w:rsid w:val="00143481"/>
    <w:rsid w:val="0014722A"/>
    <w:rsid w:val="00147E65"/>
    <w:rsid w:val="00150F29"/>
    <w:rsid w:val="001522E4"/>
    <w:rsid w:val="001529B3"/>
    <w:rsid w:val="00152B2C"/>
    <w:rsid w:val="00152F4C"/>
    <w:rsid w:val="0015496A"/>
    <w:rsid w:val="001551DD"/>
    <w:rsid w:val="00155539"/>
    <w:rsid w:val="00157A36"/>
    <w:rsid w:val="00160B12"/>
    <w:rsid w:val="00160FD6"/>
    <w:rsid w:val="0016153B"/>
    <w:rsid w:val="00162F0B"/>
    <w:rsid w:val="00164394"/>
    <w:rsid w:val="001706DE"/>
    <w:rsid w:val="00170FD7"/>
    <w:rsid w:val="00171003"/>
    <w:rsid w:val="00172FF9"/>
    <w:rsid w:val="00173599"/>
    <w:rsid w:val="001754EE"/>
    <w:rsid w:val="00175F17"/>
    <w:rsid w:val="00180C5F"/>
    <w:rsid w:val="00180D04"/>
    <w:rsid w:val="00180D5A"/>
    <w:rsid w:val="0018425C"/>
    <w:rsid w:val="00184D9C"/>
    <w:rsid w:val="00192D4F"/>
    <w:rsid w:val="0019371A"/>
    <w:rsid w:val="001A3F3E"/>
    <w:rsid w:val="001A4F42"/>
    <w:rsid w:val="001A64E7"/>
    <w:rsid w:val="001A73F4"/>
    <w:rsid w:val="001B73CE"/>
    <w:rsid w:val="001B7CA2"/>
    <w:rsid w:val="001C1898"/>
    <w:rsid w:val="001C3A0B"/>
    <w:rsid w:val="001C713B"/>
    <w:rsid w:val="001D138C"/>
    <w:rsid w:val="001D2572"/>
    <w:rsid w:val="001D2EDF"/>
    <w:rsid w:val="001D35C5"/>
    <w:rsid w:val="001D4AAB"/>
    <w:rsid w:val="001D7725"/>
    <w:rsid w:val="001F0161"/>
    <w:rsid w:val="001F04A5"/>
    <w:rsid w:val="001F1F10"/>
    <w:rsid w:val="001F3CB0"/>
    <w:rsid w:val="001F4420"/>
    <w:rsid w:val="001F7D92"/>
    <w:rsid w:val="0020700C"/>
    <w:rsid w:val="0020778A"/>
    <w:rsid w:val="00207B24"/>
    <w:rsid w:val="00211D2A"/>
    <w:rsid w:val="00212F8F"/>
    <w:rsid w:val="002136C5"/>
    <w:rsid w:val="0022056B"/>
    <w:rsid w:val="00223141"/>
    <w:rsid w:val="00223ADA"/>
    <w:rsid w:val="00226938"/>
    <w:rsid w:val="002342C3"/>
    <w:rsid w:val="00247496"/>
    <w:rsid w:val="00251908"/>
    <w:rsid w:val="0026103A"/>
    <w:rsid w:val="00271445"/>
    <w:rsid w:val="00277A10"/>
    <w:rsid w:val="00280556"/>
    <w:rsid w:val="00283287"/>
    <w:rsid w:val="0028381B"/>
    <w:rsid w:val="0028437D"/>
    <w:rsid w:val="00284C8D"/>
    <w:rsid w:val="0028505E"/>
    <w:rsid w:val="00286761"/>
    <w:rsid w:val="002978CF"/>
    <w:rsid w:val="00297C4A"/>
    <w:rsid w:val="002A555C"/>
    <w:rsid w:val="002A731D"/>
    <w:rsid w:val="002B019A"/>
    <w:rsid w:val="002B14EB"/>
    <w:rsid w:val="002C11C1"/>
    <w:rsid w:val="002C299B"/>
    <w:rsid w:val="002C414B"/>
    <w:rsid w:val="002C63D6"/>
    <w:rsid w:val="002D3BAA"/>
    <w:rsid w:val="002D53DA"/>
    <w:rsid w:val="002D53E5"/>
    <w:rsid w:val="002D59BC"/>
    <w:rsid w:val="002D6A12"/>
    <w:rsid w:val="002D700F"/>
    <w:rsid w:val="002E2EB3"/>
    <w:rsid w:val="002E5405"/>
    <w:rsid w:val="002E5CD4"/>
    <w:rsid w:val="002E6B57"/>
    <w:rsid w:val="002F1EA8"/>
    <w:rsid w:val="00300216"/>
    <w:rsid w:val="00305106"/>
    <w:rsid w:val="003070C6"/>
    <w:rsid w:val="00307D16"/>
    <w:rsid w:val="00307E82"/>
    <w:rsid w:val="003102EF"/>
    <w:rsid w:val="00314BB0"/>
    <w:rsid w:val="003152D9"/>
    <w:rsid w:val="00316153"/>
    <w:rsid w:val="00320507"/>
    <w:rsid w:val="0032106E"/>
    <w:rsid w:val="00325A5B"/>
    <w:rsid w:val="00331F0A"/>
    <w:rsid w:val="00332628"/>
    <w:rsid w:val="00333AE6"/>
    <w:rsid w:val="003352B4"/>
    <w:rsid w:val="00335386"/>
    <w:rsid w:val="00336072"/>
    <w:rsid w:val="003418E0"/>
    <w:rsid w:val="00343B7F"/>
    <w:rsid w:val="00345DE8"/>
    <w:rsid w:val="0035590F"/>
    <w:rsid w:val="003575B8"/>
    <w:rsid w:val="00357C90"/>
    <w:rsid w:val="00360090"/>
    <w:rsid w:val="00361BCF"/>
    <w:rsid w:val="00363319"/>
    <w:rsid w:val="00365101"/>
    <w:rsid w:val="00372259"/>
    <w:rsid w:val="00374E75"/>
    <w:rsid w:val="003804F7"/>
    <w:rsid w:val="003805E7"/>
    <w:rsid w:val="00382778"/>
    <w:rsid w:val="00386E6E"/>
    <w:rsid w:val="00392FE8"/>
    <w:rsid w:val="00395D93"/>
    <w:rsid w:val="003A2CF0"/>
    <w:rsid w:val="003A4328"/>
    <w:rsid w:val="003A7004"/>
    <w:rsid w:val="003B2172"/>
    <w:rsid w:val="003B616E"/>
    <w:rsid w:val="003B6A2B"/>
    <w:rsid w:val="003C31E9"/>
    <w:rsid w:val="003C340F"/>
    <w:rsid w:val="003C3A51"/>
    <w:rsid w:val="003C404F"/>
    <w:rsid w:val="003C59FA"/>
    <w:rsid w:val="003C7543"/>
    <w:rsid w:val="003C7C4D"/>
    <w:rsid w:val="003D03A4"/>
    <w:rsid w:val="003D1701"/>
    <w:rsid w:val="003D23E7"/>
    <w:rsid w:val="003D2C62"/>
    <w:rsid w:val="003D51D7"/>
    <w:rsid w:val="003D6A10"/>
    <w:rsid w:val="003D74A2"/>
    <w:rsid w:val="003E041F"/>
    <w:rsid w:val="003E06B0"/>
    <w:rsid w:val="003E40EE"/>
    <w:rsid w:val="003E6C8C"/>
    <w:rsid w:val="003E6EC7"/>
    <w:rsid w:val="003F06BF"/>
    <w:rsid w:val="003F0789"/>
    <w:rsid w:val="003F17CC"/>
    <w:rsid w:val="003F21B7"/>
    <w:rsid w:val="003F5E7B"/>
    <w:rsid w:val="00403377"/>
    <w:rsid w:val="004040A6"/>
    <w:rsid w:val="004054A6"/>
    <w:rsid w:val="00407243"/>
    <w:rsid w:val="00410840"/>
    <w:rsid w:val="00411101"/>
    <w:rsid w:val="00413C5C"/>
    <w:rsid w:val="004215BF"/>
    <w:rsid w:val="0042170C"/>
    <w:rsid w:val="0042462F"/>
    <w:rsid w:val="00424F07"/>
    <w:rsid w:val="00425373"/>
    <w:rsid w:val="004264A6"/>
    <w:rsid w:val="004367D0"/>
    <w:rsid w:val="004370F0"/>
    <w:rsid w:val="0043743E"/>
    <w:rsid w:val="004416CD"/>
    <w:rsid w:val="00441F5E"/>
    <w:rsid w:val="00444E52"/>
    <w:rsid w:val="00447AC7"/>
    <w:rsid w:val="00447DF3"/>
    <w:rsid w:val="004503DE"/>
    <w:rsid w:val="00453F50"/>
    <w:rsid w:val="004550B8"/>
    <w:rsid w:val="00455D32"/>
    <w:rsid w:val="00456FC2"/>
    <w:rsid w:val="00461FA8"/>
    <w:rsid w:val="00464122"/>
    <w:rsid w:val="004707A0"/>
    <w:rsid w:val="004738BA"/>
    <w:rsid w:val="00473C22"/>
    <w:rsid w:val="00475F4E"/>
    <w:rsid w:val="00476342"/>
    <w:rsid w:val="004801DE"/>
    <w:rsid w:val="00481C96"/>
    <w:rsid w:val="0048417E"/>
    <w:rsid w:val="004854C8"/>
    <w:rsid w:val="00487509"/>
    <w:rsid w:val="00495D11"/>
    <w:rsid w:val="004A002E"/>
    <w:rsid w:val="004A07FD"/>
    <w:rsid w:val="004A0C86"/>
    <w:rsid w:val="004A22DD"/>
    <w:rsid w:val="004A2D2E"/>
    <w:rsid w:val="004A4378"/>
    <w:rsid w:val="004A74B1"/>
    <w:rsid w:val="004A7CA9"/>
    <w:rsid w:val="004B1A0B"/>
    <w:rsid w:val="004B2F44"/>
    <w:rsid w:val="004B3526"/>
    <w:rsid w:val="004C19F1"/>
    <w:rsid w:val="004C19F7"/>
    <w:rsid w:val="004C3D7E"/>
    <w:rsid w:val="004C4B2D"/>
    <w:rsid w:val="004C516E"/>
    <w:rsid w:val="004C52A6"/>
    <w:rsid w:val="004C53EF"/>
    <w:rsid w:val="004D1F42"/>
    <w:rsid w:val="004D517C"/>
    <w:rsid w:val="004D6D15"/>
    <w:rsid w:val="004D77D6"/>
    <w:rsid w:val="004E2160"/>
    <w:rsid w:val="004E5CCD"/>
    <w:rsid w:val="004E6372"/>
    <w:rsid w:val="004F08F3"/>
    <w:rsid w:val="004F3C92"/>
    <w:rsid w:val="004F4083"/>
    <w:rsid w:val="004F4EBF"/>
    <w:rsid w:val="004F7B34"/>
    <w:rsid w:val="0050002B"/>
    <w:rsid w:val="00500EC8"/>
    <w:rsid w:val="00501666"/>
    <w:rsid w:val="0050282D"/>
    <w:rsid w:val="0050392C"/>
    <w:rsid w:val="005043E1"/>
    <w:rsid w:val="00505C70"/>
    <w:rsid w:val="005103E3"/>
    <w:rsid w:val="00511BBC"/>
    <w:rsid w:val="00511F55"/>
    <w:rsid w:val="00513617"/>
    <w:rsid w:val="00513FDF"/>
    <w:rsid w:val="00514742"/>
    <w:rsid w:val="00514B25"/>
    <w:rsid w:val="005153FC"/>
    <w:rsid w:val="00515D17"/>
    <w:rsid w:val="00517569"/>
    <w:rsid w:val="0052003D"/>
    <w:rsid w:val="00520171"/>
    <w:rsid w:val="0052248B"/>
    <w:rsid w:val="00522BC6"/>
    <w:rsid w:val="0052729E"/>
    <w:rsid w:val="00532156"/>
    <w:rsid w:val="0053612D"/>
    <w:rsid w:val="00537E91"/>
    <w:rsid w:val="005413FA"/>
    <w:rsid w:val="0054267F"/>
    <w:rsid w:val="00551301"/>
    <w:rsid w:val="0055248E"/>
    <w:rsid w:val="0055456F"/>
    <w:rsid w:val="005546E7"/>
    <w:rsid w:val="00554DEC"/>
    <w:rsid w:val="0055618D"/>
    <w:rsid w:val="00560B6E"/>
    <w:rsid w:val="0056240F"/>
    <w:rsid w:val="005628DF"/>
    <w:rsid w:val="00563DBA"/>
    <w:rsid w:val="00564AEA"/>
    <w:rsid w:val="0056702C"/>
    <w:rsid w:val="00567D0F"/>
    <w:rsid w:val="00573397"/>
    <w:rsid w:val="00573AD4"/>
    <w:rsid w:val="00574F15"/>
    <w:rsid w:val="0057554C"/>
    <w:rsid w:val="00576773"/>
    <w:rsid w:val="0057689C"/>
    <w:rsid w:val="0057733F"/>
    <w:rsid w:val="005846B0"/>
    <w:rsid w:val="00586B48"/>
    <w:rsid w:val="00587B6E"/>
    <w:rsid w:val="00593F6E"/>
    <w:rsid w:val="005964FB"/>
    <w:rsid w:val="005968CC"/>
    <w:rsid w:val="0059746C"/>
    <w:rsid w:val="005A04AA"/>
    <w:rsid w:val="005A0AAE"/>
    <w:rsid w:val="005A0C3D"/>
    <w:rsid w:val="005A1086"/>
    <w:rsid w:val="005A4E70"/>
    <w:rsid w:val="005A5B15"/>
    <w:rsid w:val="005B06E1"/>
    <w:rsid w:val="005B37F5"/>
    <w:rsid w:val="005B4D66"/>
    <w:rsid w:val="005B6028"/>
    <w:rsid w:val="005B667B"/>
    <w:rsid w:val="005C2BC4"/>
    <w:rsid w:val="005D165A"/>
    <w:rsid w:val="005D3DA6"/>
    <w:rsid w:val="005E1138"/>
    <w:rsid w:val="005E20B7"/>
    <w:rsid w:val="005E4E27"/>
    <w:rsid w:val="005E563D"/>
    <w:rsid w:val="005E5FA3"/>
    <w:rsid w:val="005E7B76"/>
    <w:rsid w:val="005F38E9"/>
    <w:rsid w:val="005F3B96"/>
    <w:rsid w:val="005F5DBB"/>
    <w:rsid w:val="005F66F3"/>
    <w:rsid w:val="005F7381"/>
    <w:rsid w:val="00605144"/>
    <w:rsid w:val="00607E05"/>
    <w:rsid w:val="0061221A"/>
    <w:rsid w:val="006131CF"/>
    <w:rsid w:val="006152ED"/>
    <w:rsid w:val="006162DE"/>
    <w:rsid w:val="006172CB"/>
    <w:rsid w:val="00617D62"/>
    <w:rsid w:val="0062392C"/>
    <w:rsid w:val="00625D77"/>
    <w:rsid w:val="0062751F"/>
    <w:rsid w:val="00630250"/>
    <w:rsid w:val="0063074B"/>
    <w:rsid w:val="006308AA"/>
    <w:rsid w:val="006309C0"/>
    <w:rsid w:val="006352B5"/>
    <w:rsid w:val="006368A3"/>
    <w:rsid w:val="006373AB"/>
    <w:rsid w:val="00642896"/>
    <w:rsid w:val="006466AC"/>
    <w:rsid w:val="00646E17"/>
    <w:rsid w:val="00652A5F"/>
    <w:rsid w:val="006539CB"/>
    <w:rsid w:val="006548C6"/>
    <w:rsid w:val="00664FE9"/>
    <w:rsid w:val="00665763"/>
    <w:rsid w:val="00667A2D"/>
    <w:rsid w:val="00667C2A"/>
    <w:rsid w:val="00672871"/>
    <w:rsid w:val="006732A1"/>
    <w:rsid w:val="00673E2D"/>
    <w:rsid w:val="00674C68"/>
    <w:rsid w:val="00675111"/>
    <w:rsid w:val="00676791"/>
    <w:rsid w:val="00676AC2"/>
    <w:rsid w:val="00677C2E"/>
    <w:rsid w:val="00684481"/>
    <w:rsid w:val="00686F03"/>
    <w:rsid w:val="006913C7"/>
    <w:rsid w:val="006959CD"/>
    <w:rsid w:val="00695BEC"/>
    <w:rsid w:val="00696000"/>
    <w:rsid w:val="00696879"/>
    <w:rsid w:val="00697AFC"/>
    <w:rsid w:val="006A489D"/>
    <w:rsid w:val="006B0090"/>
    <w:rsid w:val="006B126B"/>
    <w:rsid w:val="006B2A92"/>
    <w:rsid w:val="006B5DA5"/>
    <w:rsid w:val="006C165E"/>
    <w:rsid w:val="006C1AE5"/>
    <w:rsid w:val="006C33B4"/>
    <w:rsid w:val="006C4CB3"/>
    <w:rsid w:val="006C6B88"/>
    <w:rsid w:val="006D0669"/>
    <w:rsid w:val="006D39DC"/>
    <w:rsid w:val="006D3CC7"/>
    <w:rsid w:val="006E2978"/>
    <w:rsid w:val="006E5D38"/>
    <w:rsid w:val="006E6292"/>
    <w:rsid w:val="006F02D7"/>
    <w:rsid w:val="006F2D97"/>
    <w:rsid w:val="006F74C5"/>
    <w:rsid w:val="0070005A"/>
    <w:rsid w:val="00703949"/>
    <w:rsid w:val="0070753A"/>
    <w:rsid w:val="00707696"/>
    <w:rsid w:val="00711F73"/>
    <w:rsid w:val="00713350"/>
    <w:rsid w:val="00721C8C"/>
    <w:rsid w:val="00727F9A"/>
    <w:rsid w:val="0073066E"/>
    <w:rsid w:val="007351A1"/>
    <w:rsid w:val="007365EE"/>
    <w:rsid w:val="007373D6"/>
    <w:rsid w:val="007374F8"/>
    <w:rsid w:val="00737647"/>
    <w:rsid w:val="0074262F"/>
    <w:rsid w:val="0074344B"/>
    <w:rsid w:val="007444F6"/>
    <w:rsid w:val="00745203"/>
    <w:rsid w:val="00746927"/>
    <w:rsid w:val="00755131"/>
    <w:rsid w:val="00757DCD"/>
    <w:rsid w:val="00761566"/>
    <w:rsid w:val="00761AC9"/>
    <w:rsid w:val="0076317B"/>
    <w:rsid w:val="0076337F"/>
    <w:rsid w:val="00767166"/>
    <w:rsid w:val="00772657"/>
    <w:rsid w:val="007740D4"/>
    <w:rsid w:val="007768D4"/>
    <w:rsid w:val="007800FF"/>
    <w:rsid w:val="00782FB2"/>
    <w:rsid w:val="007830FC"/>
    <w:rsid w:val="007831F9"/>
    <w:rsid w:val="00783B5B"/>
    <w:rsid w:val="00784BBB"/>
    <w:rsid w:val="0078674F"/>
    <w:rsid w:val="00790B1C"/>
    <w:rsid w:val="00791E01"/>
    <w:rsid w:val="0079226A"/>
    <w:rsid w:val="00794A88"/>
    <w:rsid w:val="007B2F72"/>
    <w:rsid w:val="007B6B22"/>
    <w:rsid w:val="007C2FDB"/>
    <w:rsid w:val="007C427C"/>
    <w:rsid w:val="007C61E7"/>
    <w:rsid w:val="007C778C"/>
    <w:rsid w:val="007C7DE6"/>
    <w:rsid w:val="007D6A43"/>
    <w:rsid w:val="007E0EE7"/>
    <w:rsid w:val="007F20BE"/>
    <w:rsid w:val="007F574C"/>
    <w:rsid w:val="007F5BA9"/>
    <w:rsid w:val="0080025A"/>
    <w:rsid w:val="00805990"/>
    <w:rsid w:val="008065C0"/>
    <w:rsid w:val="008100B2"/>
    <w:rsid w:val="00810680"/>
    <w:rsid w:val="00815333"/>
    <w:rsid w:val="00816C8B"/>
    <w:rsid w:val="00821319"/>
    <w:rsid w:val="0082416C"/>
    <w:rsid w:val="0082473B"/>
    <w:rsid w:val="00825298"/>
    <w:rsid w:val="00827664"/>
    <w:rsid w:val="00837EA3"/>
    <w:rsid w:val="008408A3"/>
    <w:rsid w:val="0084696A"/>
    <w:rsid w:val="00851393"/>
    <w:rsid w:val="008552F6"/>
    <w:rsid w:val="00857576"/>
    <w:rsid w:val="00857792"/>
    <w:rsid w:val="0086199F"/>
    <w:rsid w:val="00861EED"/>
    <w:rsid w:val="008635C0"/>
    <w:rsid w:val="0086440C"/>
    <w:rsid w:val="008661CC"/>
    <w:rsid w:val="008673F8"/>
    <w:rsid w:val="00867C26"/>
    <w:rsid w:val="008715FB"/>
    <w:rsid w:val="008769CD"/>
    <w:rsid w:val="00882757"/>
    <w:rsid w:val="0088534A"/>
    <w:rsid w:val="00890BF8"/>
    <w:rsid w:val="00891A2D"/>
    <w:rsid w:val="00893206"/>
    <w:rsid w:val="008A2C73"/>
    <w:rsid w:val="008A34F7"/>
    <w:rsid w:val="008A69B6"/>
    <w:rsid w:val="008A742A"/>
    <w:rsid w:val="008B0412"/>
    <w:rsid w:val="008B7349"/>
    <w:rsid w:val="008C360A"/>
    <w:rsid w:val="008C3898"/>
    <w:rsid w:val="008C4B95"/>
    <w:rsid w:val="008D1528"/>
    <w:rsid w:val="008D4AD9"/>
    <w:rsid w:val="008E17C3"/>
    <w:rsid w:val="008E360E"/>
    <w:rsid w:val="008E55D6"/>
    <w:rsid w:val="008E5827"/>
    <w:rsid w:val="008E7ED9"/>
    <w:rsid w:val="008F3FF6"/>
    <w:rsid w:val="00901387"/>
    <w:rsid w:val="009028B7"/>
    <w:rsid w:val="009067B1"/>
    <w:rsid w:val="0091089C"/>
    <w:rsid w:val="00915E84"/>
    <w:rsid w:val="00920A7D"/>
    <w:rsid w:val="009238B6"/>
    <w:rsid w:val="0093150E"/>
    <w:rsid w:val="00931D11"/>
    <w:rsid w:val="00936C41"/>
    <w:rsid w:val="00937535"/>
    <w:rsid w:val="00941E48"/>
    <w:rsid w:val="00945C60"/>
    <w:rsid w:val="00950AD6"/>
    <w:rsid w:val="00951B22"/>
    <w:rsid w:val="00960C1C"/>
    <w:rsid w:val="009611C5"/>
    <w:rsid w:val="009612CB"/>
    <w:rsid w:val="00963712"/>
    <w:rsid w:val="00972849"/>
    <w:rsid w:val="00974329"/>
    <w:rsid w:val="00975475"/>
    <w:rsid w:val="0097741D"/>
    <w:rsid w:val="009812AD"/>
    <w:rsid w:val="00985F70"/>
    <w:rsid w:val="009912FB"/>
    <w:rsid w:val="009975C5"/>
    <w:rsid w:val="009A197D"/>
    <w:rsid w:val="009A4439"/>
    <w:rsid w:val="009A64B6"/>
    <w:rsid w:val="009A7CA9"/>
    <w:rsid w:val="009B257D"/>
    <w:rsid w:val="009B4BFE"/>
    <w:rsid w:val="009B75C7"/>
    <w:rsid w:val="009C122A"/>
    <w:rsid w:val="009C4F5F"/>
    <w:rsid w:val="009C54D2"/>
    <w:rsid w:val="009D224B"/>
    <w:rsid w:val="009D2889"/>
    <w:rsid w:val="009D3102"/>
    <w:rsid w:val="009D34B6"/>
    <w:rsid w:val="009D406F"/>
    <w:rsid w:val="009D79D0"/>
    <w:rsid w:val="009D7ACE"/>
    <w:rsid w:val="009E5CC9"/>
    <w:rsid w:val="009E6131"/>
    <w:rsid w:val="009E6166"/>
    <w:rsid w:val="009F05A1"/>
    <w:rsid w:val="009F44B0"/>
    <w:rsid w:val="00A030EF"/>
    <w:rsid w:val="00A044AF"/>
    <w:rsid w:val="00A0730B"/>
    <w:rsid w:val="00A073A1"/>
    <w:rsid w:val="00A1137B"/>
    <w:rsid w:val="00A13132"/>
    <w:rsid w:val="00A14096"/>
    <w:rsid w:val="00A270AB"/>
    <w:rsid w:val="00A270B5"/>
    <w:rsid w:val="00A27DD3"/>
    <w:rsid w:val="00A32DFD"/>
    <w:rsid w:val="00A35E7B"/>
    <w:rsid w:val="00A37584"/>
    <w:rsid w:val="00A40044"/>
    <w:rsid w:val="00A456CC"/>
    <w:rsid w:val="00A52719"/>
    <w:rsid w:val="00A52EC7"/>
    <w:rsid w:val="00A53056"/>
    <w:rsid w:val="00A53953"/>
    <w:rsid w:val="00A57721"/>
    <w:rsid w:val="00A61F60"/>
    <w:rsid w:val="00A63925"/>
    <w:rsid w:val="00A63D8C"/>
    <w:rsid w:val="00A67336"/>
    <w:rsid w:val="00A774A1"/>
    <w:rsid w:val="00A77EF2"/>
    <w:rsid w:val="00A80847"/>
    <w:rsid w:val="00A83F3A"/>
    <w:rsid w:val="00A90D0A"/>
    <w:rsid w:val="00A9169E"/>
    <w:rsid w:val="00A9204B"/>
    <w:rsid w:val="00A92763"/>
    <w:rsid w:val="00A9643B"/>
    <w:rsid w:val="00AA07CB"/>
    <w:rsid w:val="00AA5D5B"/>
    <w:rsid w:val="00AB1124"/>
    <w:rsid w:val="00AB17A9"/>
    <w:rsid w:val="00AB5A93"/>
    <w:rsid w:val="00AB79FF"/>
    <w:rsid w:val="00AB7C50"/>
    <w:rsid w:val="00AC0DFF"/>
    <w:rsid w:val="00AC225F"/>
    <w:rsid w:val="00AC33BA"/>
    <w:rsid w:val="00AC46DE"/>
    <w:rsid w:val="00AD0016"/>
    <w:rsid w:val="00AD0144"/>
    <w:rsid w:val="00AD2657"/>
    <w:rsid w:val="00AD2CF4"/>
    <w:rsid w:val="00AD3454"/>
    <w:rsid w:val="00AD6EFF"/>
    <w:rsid w:val="00AE0366"/>
    <w:rsid w:val="00AE2775"/>
    <w:rsid w:val="00AE31D2"/>
    <w:rsid w:val="00AE3AB2"/>
    <w:rsid w:val="00AE4E50"/>
    <w:rsid w:val="00AE56B2"/>
    <w:rsid w:val="00AE7570"/>
    <w:rsid w:val="00AF0E2F"/>
    <w:rsid w:val="00AF1896"/>
    <w:rsid w:val="00AF4056"/>
    <w:rsid w:val="00B008A3"/>
    <w:rsid w:val="00B01FC3"/>
    <w:rsid w:val="00B052DF"/>
    <w:rsid w:val="00B06184"/>
    <w:rsid w:val="00B13738"/>
    <w:rsid w:val="00B151C8"/>
    <w:rsid w:val="00B22AF6"/>
    <w:rsid w:val="00B24A66"/>
    <w:rsid w:val="00B25D5F"/>
    <w:rsid w:val="00B2652B"/>
    <w:rsid w:val="00B26C7F"/>
    <w:rsid w:val="00B3197C"/>
    <w:rsid w:val="00B34952"/>
    <w:rsid w:val="00B359E2"/>
    <w:rsid w:val="00B41208"/>
    <w:rsid w:val="00B47BA4"/>
    <w:rsid w:val="00B504E5"/>
    <w:rsid w:val="00B50F6F"/>
    <w:rsid w:val="00B53A66"/>
    <w:rsid w:val="00B55D5C"/>
    <w:rsid w:val="00B57298"/>
    <w:rsid w:val="00B57348"/>
    <w:rsid w:val="00B61C57"/>
    <w:rsid w:val="00B63178"/>
    <w:rsid w:val="00B659DA"/>
    <w:rsid w:val="00B66653"/>
    <w:rsid w:val="00B67D5B"/>
    <w:rsid w:val="00B70A08"/>
    <w:rsid w:val="00B70D6D"/>
    <w:rsid w:val="00B71374"/>
    <w:rsid w:val="00B73651"/>
    <w:rsid w:val="00B749C3"/>
    <w:rsid w:val="00B74C12"/>
    <w:rsid w:val="00B7673B"/>
    <w:rsid w:val="00B80B99"/>
    <w:rsid w:val="00B81980"/>
    <w:rsid w:val="00B82D19"/>
    <w:rsid w:val="00B91370"/>
    <w:rsid w:val="00B93497"/>
    <w:rsid w:val="00B9389F"/>
    <w:rsid w:val="00B95E3B"/>
    <w:rsid w:val="00BA3FA7"/>
    <w:rsid w:val="00BA42F1"/>
    <w:rsid w:val="00BA69BA"/>
    <w:rsid w:val="00BB00C1"/>
    <w:rsid w:val="00BB15CF"/>
    <w:rsid w:val="00BB6DBD"/>
    <w:rsid w:val="00BC143F"/>
    <w:rsid w:val="00BC1B59"/>
    <w:rsid w:val="00BC2179"/>
    <w:rsid w:val="00BC48E7"/>
    <w:rsid w:val="00BC7C6A"/>
    <w:rsid w:val="00BD14BF"/>
    <w:rsid w:val="00BD1C37"/>
    <w:rsid w:val="00BD46DB"/>
    <w:rsid w:val="00BD7B1A"/>
    <w:rsid w:val="00BE0120"/>
    <w:rsid w:val="00BE1C14"/>
    <w:rsid w:val="00BE29BF"/>
    <w:rsid w:val="00BE2BB9"/>
    <w:rsid w:val="00BE3AF6"/>
    <w:rsid w:val="00BE4BD1"/>
    <w:rsid w:val="00BF3DA4"/>
    <w:rsid w:val="00BF443B"/>
    <w:rsid w:val="00BF7598"/>
    <w:rsid w:val="00C01695"/>
    <w:rsid w:val="00C02C1B"/>
    <w:rsid w:val="00C02C43"/>
    <w:rsid w:val="00C062DE"/>
    <w:rsid w:val="00C11A5A"/>
    <w:rsid w:val="00C11D9D"/>
    <w:rsid w:val="00C15B58"/>
    <w:rsid w:val="00C16407"/>
    <w:rsid w:val="00C17367"/>
    <w:rsid w:val="00C209B3"/>
    <w:rsid w:val="00C21681"/>
    <w:rsid w:val="00C21706"/>
    <w:rsid w:val="00C277E3"/>
    <w:rsid w:val="00C358D0"/>
    <w:rsid w:val="00C40E80"/>
    <w:rsid w:val="00C41AF3"/>
    <w:rsid w:val="00C435E3"/>
    <w:rsid w:val="00C450EB"/>
    <w:rsid w:val="00C5486D"/>
    <w:rsid w:val="00C55D3E"/>
    <w:rsid w:val="00C55E8D"/>
    <w:rsid w:val="00C55F0B"/>
    <w:rsid w:val="00C61EBE"/>
    <w:rsid w:val="00C63961"/>
    <w:rsid w:val="00C6651F"/>
    <w:rsid w:val="00C72BB6"/>
    <w:rsid w:val="00C74712"/>
    <w:rsid w:val="00C75F97"/>
    <w:rsid w:val="00C774D2"/>
    <w:rsid w:val="00C811AB"/>
    <w:rsid w:val="00C82A85"/>
    <w:rsid w:val="00C84A6E"/>
    <w:rsid w:val="00C84D83"/>
    <w:rsid w:val="00C867F5"/>
    <w:rsid w:val="00C92232"/>
    <w:rsid w:val="00CA0299"/>
    <w:rsid w:val="00CA2292"/>
    <w:rsid w:val="00CA309D"/>
    <w:rsid w:val="00CA44ED"/>
    <w:rsid w:val="00CA4E33"/>
    <w:rsid w:val="00CB19D2"/>
    <w:rsid w:val="00CB2186"/>
    <w:rsid w:val="00CC2AF1"/>
    <w:rsid w:val="00CC2D5B"/>
    <w:rsid w:val="00CC2D87"/>
    <w:rsid w:val="00CC7EF6"/>
    <w:rsid w:val="00CD35E7"/>
    <w:rsid w:val="00CD4CF3"/>
    <w:rsid w:val="00CD601F"/>
    <w:rsid w:val="00CD74C6"/>
    <w:rsid w:val="00CD7C5D"/>
    <w:rsid w:val="00CE5499"/>
    <w:rsid w:val="00CE7328"/>
    <w:rsid w:val="00CF008F"/>
    <w:rsid w:val="00CF684A"/>
    <w:rsid w:val="00D0125C"/>
    <w:rsid w:val="00D1036D"/>
    <w:rsid w:val="00D11057"/>
    <w:rsid w:val="00D12AC9"/>
    <w:rsid w:val="00D155AC"/>
    <w:rsid w:val="00D22AA0"/>
    <w:rsid w:val="00D231CC"/>
    <w:rsid w:val="00D2496A"/>
    <w:rsid w:val="00D30036"/>
    <w:rsid w:val="00D30DED"/>
    <w:rsid w:val="00D32A0B"/>
    <w:rsid w:val="00D33DDC"/>
    <w:rsid w:val="00D3423B"/>
    <w:rsid w:val="00D34C32"/>
    <w:rsid w:val="00D36E1E"/>
    <w:rsid w:val="00D41B01"/>
    <w:rsid w:val="00D42331"/>
    <w:rsid w:val="00D43CFD"/>
    <w:rsid w:val="00D45EEA"/>
    <w:rsid w:val="00D46CA5"/>
    <w:rsid w:val="00D47911"/>
    <w:rsid w:val="00D5199E"/>
    <w:rsid w:val="00D5289A"/>
    <w:rsid w:val="00D61477"/>
    <w:rsid w:val="00D64EE2"/>
    <w:rsid w:val="00D700AE"/>
    <w:rsid w:val="00D70330"/>
    <w:rsid w:val="00D721C1"/>
    <w:rsid w:val="00D730B0"/>
    <w:rsid w:val="00D73A20"/>
    <w:rsid w:val="00D76DC0"/>
    <w:rsid w:val="00D846D0"/>
    <w:rsid w:val="00D90C84"/>
    <w:rsid w:val="00DA13BF"/>
    <w:rsid w:val="00DA55C4"/>
    <w:rsid w:val="00DA6F69"/>
    <w:rsid w:val="00DB08AA"/>
    <w:rsid w:val="00DB4BFE"/>
    <w:rsid w:val="00DB57C3"/>
    <w:rsid w:val="00DB6C1A"/>
    <w:rsid w:val="00DC0886"/>
    <w:rsid w:val="00DC17A0"/>
    <w:rsid w:val="00DC19F9"/>
    <w:rsid w:val="00DC1CD3"/>
    <w:rsid w:val="00DC226C"/>
    <w:rsid w:val="00DC617D"/>
    <w:rsid w:val="00DC64F8"/>
    <w:rsid w:val="00DC6F33"/>
    <w:rsid w:val="00DD09C6"/>
    <w:rsid w:val="00DD157F"/>
    <w:rsid w:val="00DD2E02"/>
    <w:rsid w:val="00DD338A"/>
    <w:rsid w:val="00DE44C3"/>
    <w:rsid w:val="00DE6331"/>
    <w:rsid w:val="00DF2A1B"/>
    <w:rsid w:val="00DF3F79"/>
    <w:rsid w:val="00DF418F"/>
    <w:rsid w:val="00DF4A4E"/>
    <w:rsid w:val="00DF54BC"/>
    <w:rsid w:val="00DF5D39"/>
    <w:rsid w:val="00DF6428"/>
    <w:rsid w:val="00DF7F65"/>
    <w:rsid w:val="00E01024"/>
    <w:rsid w:val="00E01BD4"/>
    <w:rsid w:val="00E02852"/>
    <w:rsid w:val="00E1102D"/>
    <w:rsid w:val="00E137D5"/>
    <w:rsid w:val="00E1523F"/>
    <w:rsid w:val="00E15A97"/>
    <w:rsid w:val="00E16A63"/>
    <w:rsid w:val="00E17F07"/>
    <w:rsid w:val="00E22A63"/>
    <w:rsid w:val="00E242D4"/>
    <w:rsid w:val="00E27A87"/>
    <w:rsid w:val="00E314CF"/>
    <w:rsid w:val="00E32601"/>
    <w:rsid w:val="00E33C62"/>
    <w:rsid w:val="00E34600"/>
    <w:rsid w:val="00E35F48"/>
    <w:rsid w:val="00E40323"/>
    <w:rsid w:val="00E41F06"/>
    <w:rsid w:val="00E41F10"/>
    <w:rsid w:val="00E423FA"/>
    <w:rsid w:val="00E42576"/>
    <w:rsid w:val="00E44E9B"/>
    <w:rsid w:val="00E45B04"/>
    <w:rsid w:val="00E50A8E"/>
    <w:rsid w:val="00E51C30"/>
    <w:rsid w:val="00E52882"/>
    <w:rsid w:val="00E55517"/>
    <w:rsid w:val="00E56849"/>
    <w:rsid w:val="00E62F9D"/>
    <w:rsid w:val="00E67274"/>
    <w:rsid w:val="00E7127C"/>
    <w:rsid w:val="00E71947"/>
    <w:rsid w:val="00E84BA1"/>
    <w:rsid w:val="00E84BF8"/>
    <w:rsid w:val="00E84CB9"/>
    <w:rsid w:val="00E932B0"/>
    <w:rsid w:val="00E93504"/>
    <w:rsid w:val="00E93D4D"/>
    <w:rsid w:val="00E94677"/>
    <w:rsid w:val="00E9494E"/>
    <w:rsid w:val="00E94ACF"/>
    <w:rsid w:val="00E95716"/>
    <w:rsid w:val="00E96F11"/>
    <w:rsid w:val="00EA4DCB"/>
    <w:rsid w:val="00EA541D"/>
    <w:rsid w:val="00EA6377"/>
    <w:rsid w:val="00EA6D5C"/>
    <w:rsid w:val="00EB2748"/>
    <w:rsid w:val="00EB3CC5"/>
    <w:rsid w:val="00EB6B2C"/>
    <w:rsid w:val="00EC0081"/>
    <w:rsid w:val="00EC09C2"/>
    <w:rsid w:val="00EC4E2E"/>
    <w:rsid w:val="00EC74AD"/>
    <w:rsid w:val="00EE0377"/>
    <w:rsid w:val="00EE0A8A"/>
    <w:rsid w:val="00EE0C0E"/>
    <w:rsid w:val="00EE0E3E"/>
    <w:rsid w:val="00EE1ADC"/>
    <w:rsid w:val="00EE21D2"/>
    <w:rsid w:val="00EE2B4A"/>
    <w:rsid w:val="00EE3517"/>
    <w:rsid w:val="00EE37FB"/>
    <w:rsid w:val="00EE52BB"/>
    <w:rsid w:val="00EE6276"/>
    <w:rsid w:val="00EE7FF3"/>
    <w:rsid w:val="00EF1368"/>
    <w:rsid w:val="00EF27E8"/>
    <w:rsid w:val="00EF2B81"/>
    <w:rsid w:val="00EF4909"/>
    <w:rsid w:val="00F02A54"/>
    <w:rsid w:val="00F046D8"/>
    <w:rsid w:val="00F0575C"/>
    <w:rsid w:val="00F070FC"/>
    <w:rsid w:val="00F076F1"/>
    <w:rsid w:val="00F07AF7"/>
    <w:rsid w:val="00F105EB"/>
    <w:rsid w:val="00F11C95"/>
    <w:rsid w:val="00F13BFC"/>
    <w:rsid w:val="00F1497A"/>
    <w:rsid w:val="00F152BF"/>
    <w:rsid w:val="00F22A35"/>
    <w:rsid w:val="00F23108"/>
    <w:rsid w:val="00F26B1C"/>
    <w:rsid w:val="00F31583"/>
    <w:rsid w:val="00F337A5"/>
    <w:rsid w:val="00F3523D"/>
    <w:rsid w:val="00F40E72"/>
    <w:rsid w:val="00F4182E"/>
    <w:rsid w:val="00F452B2"/>
    <w:rsid w:val="00F47137"/>
    <w:rsid w:val="00F50172"/>
    <w:rsid w:val="00F50759"/>
    <w:rsid w:val="00F525EF"/>
    <w:rsid w:val="00F5640A"/>
    <w:rsid w:val="00F63213"/>
    <w:rsid w:val="00F64811"/>
    <w:rsid w:val="00F75201"/>
    <w:rsid w:val="00F75D6D"/>
    <w:rsid w:val="00F75F44"/>
    <w:rsid w:val="00F77029"/>
    <w:rsid w:val="00F8029F"/>
    <w:rsid w:val="00F84828"/>
    <w:rsid w:val="00F8486F"/>
    <w:rsid w:val="00F85AAB"/>
    <w:rsid w:val="00F90DA9"/>
    <w:rsid w:val="00F91BFE"/>
    <w:rsid w:val="00F97DCF"/>
    <w:rsid w:val="00FA055B"/>
    <w:rsid w:val="00FA0770"/>
    <w:rsid w:val="00FA25EC"/>
    <w:rsid w:val="00FA55B5"/>
    <w:rsid w:val="00FA56C2"/>
    <w:rsid w:val="00FA7576"/>
    <w:rsid w:val="00FA7BE2"/>
    <w:rsid w:val="00FC06DE"/>
    <w:rsid w:val="00FC29A7"/>
    <w:rsid w:val="00FC2BE7"/>
    <w:rsid w:val="00FC3235"/>
    <w:rsid w:val="00FC3570"/>
    <w:rsid w:val="00FC7230"/>
    <w:rsid w:val="00FD07E5"/>
    <w:rsid w:val="00FD3A1B"/>
    <w:rsid w:val="00FD3B17"/>
    <w:rsid w:val="00FD6113"/>
    <w:rsid w:val="00FD7176"/>
    <w:rsid w:val="00FE22E5"/>
    <w:rsid w:val="00FE4917"/>
    <w:rsid w:val="00FE6F76"/>
    <w:rsid w:val="00FF026E"/>
    <w:rsid w:val="00FF2D01"/>
    <w:rsid w:val="00FF5163"/>
    <w:rsid w:val="00FF5E86"/>
    <w:rsid w:val="00FF7785"/>
    <w:rsid w:val="00FF7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DCB03BB"/>
  <w15:docId w15:val="{55425220-AAFF-448B-B02A-1476E5C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CF"/>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2B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52B5"/>
    <w:rPr>
      <w:rFonts w:ascii="Tahoma" w:hAnsi="Tahoma" w:cs="Tahoma"/>
      <w:sz w:val="16"/>
      <w:szCs w:val="16"/>
    </w:rPr>
  </w:style>
  <w:style w:type="paragraph" w:styleId="Header">
    <w:name w:val="header"/>
    <w:basedOn w:val="Normal"/>
    <w:link w:val="HeaderChar"/>
    <w:uiPriority w:val="99"/>
    <w:unhideWhenUsed/>
    <w:rsid w:val="006352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52B5"/>
  </w:style>
  <w:style w:type="paragraph" w:styleId="Footer">
    <w:name w:val="footer"/>
    <w:basedOn w:val="Normal"/>
    <w:link w:val="FooterChar"/>
    <w:uiPriority w:val="99"/>
    <w:unhideWhenUsed/>
    <w:rsid w:val="006352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52B5"/>
  </w:style>
  <w:style w:type="character" w:styleId="Hyperlink">
    <w:name w:val="Hyperlink"/>
    <w:uiPriority w:val="99"/>
    <w:unhideWhenUsed/>
    <w:rsid w:val="00A27DD3"/>
    <w:rPr>
      <w:color w:val="0000FF"/>
      <w:u w:val="single"/>
    </w:rPr>
  </w:style>
  <w:style w:type="paragraph" w:styleId="FootnoteText">
    <w:name w:val="footnote text"/>
    <w:basedOn w:val="Normal"/>
    <w:link w:val="FootnoteTextChar"/>
    <w:uiPriority w:val="99"/>
    <w:unhideWhenUsed/>
    <w:rsid w:val="00155539"/>
    <w:rPr>
      <w:sz w:val="20"/>
      <w:szCs w:val="20"/>
    </w:rPr>
  </w:style>
  <w:style w:type="character" w:customStyle="1" w:styleId="FootnoteTextChar">
    <w:name w:val="Footnote Text Char"/>
    <w:link w:val="FootnoteText"/>
    <w:uiPriority w:val="99"/>
    <w:rsid w:val="00155539"/>
    <w:rPr>
      <w:lang w:eastAsia="en-US"/>
    </w:rPr>
  </w:style>
  <w:style w:type="character" w:styleId="FootnoteReference">
    <w:name w:val="footnote reference"/>
    <w:uiPriority w:val="99"/>
    <w:semiHidden/>
    <w:unhideWhenUsed/>
    <w:rsid w:val="00155539"/>
    <w:rPr>
      <w:vertAlign w:val="superscript"/>
    </w:rPr>
  </w:style>
  <w:style w:type="paragraph" w:styleId="Revision">
    <w:name w:val="Revision"/>
    <w:hidden/>
    <w:uiPriority w:val="99"/>
    <w:semiHidden/>
    <w:rsid w:val="00F91BFE"/>
    <w:rPr>
      <w:sz w:val="22"/>
      <w:szCs w:val="22"/>
      <w:lang w:val="el-GR"/>
    </w:rPr>
  </w:style>
  <w:style w:type="paragraph" w:styleId="ListParagraph">
    <w:name w:val="List Paragraph"/>
    <w:basedOn w:val="Normal"/>
    <w:uiPriority w:val="34"/>
    <w:qFormat/>
    <w:rsid w:val="00425373"/>
    <w:pPr>
      <w:pBdr>
        <w:top w:val="nil"/>
        <w:left w:val="nil"/>
        <w:bottom w:val="nil"/>
        <w:right w:val="nil"/>
        <w:between w:val="nil"/>
        <w:bar w:val="nil"/>
      </w:pBdr>
      <w:tabs>
        <w:tab w:val="left" w:pos="1134"/>
      </w:tabs>
      <w:spacing w:after="0" w:line="280" w:lineRule="atLeast"/>
      <w:ind w:left="720"/>
      <w:jc w:val="both"/>
    </w:pPr>
    <w:rPr>
      <w:rFonts w:ascii="Arial" w:eastAsia="Times New Roman" w:hAnsi="Arial" w:cs="Arial"/>
      <w:sz w:val="20"/>
      <w:szCs w:val="20"/>
      <w:bdr w:val="nil"/>
    </w:rPr>
  </w:style>
  <w:style w:type="character" w:styleId="CommentReference">
    <w:name w:val="annotation reference"/>
    <w:uiPriority w:val="99"/>
    <w:semiHidden/>
    <w:unhideWhenUsed/>
    <w:rsid w:val="00554DEC"/>
    <w:rPr>
      <w:sz w:val="16"/>
      <w:szCs w:val="16"/>
    </w:rPr>
  </w:style>
  <w:style w:type="paragraph" w:styleId="CommentText">
    <w:name w:val="annotation text"/>
    <w:basedOn w:val="Normal"/>
    <w:link w:val="CommentTextChar"/>
    <w:uiPriority w:val="99"/>
    <w:unhideWhenUsed/>
    <w:rsid w:val="00554DEC"/>
    <w:rPr>
      <w:sz w:val="20"/>
      <w:szCs w:val="20"/>
    </w:rPr>
  </w:style>
  <w:style w:type="character" w:customStyle="1" w:styleId="CommentTextChar">
    <w:name w:val="Comment Text Char"/>
    <w:link w:val="CommentText"/>
    <w:uiPriority w:val="99"/>
    <w:rsid w:val="00554DEC"/>
    <w:rPr>
      <w:lang w:eastAsia="en-US"/>
    </w:rPr>
  </w:style>
  <w:style w:type="paragraph" w:styleId="CommentSubject">
    <w:name w:val="annotation subject"/>
    <w:basedOn w:val="CommentText"/>
    <w:next w:val="CommentText"/>
    <w:link w:val="CommentSubjectChar"/>
    <w:uiPriority w:val="99"/>
    <w:semiHidden/>
    <w:unhideWhenUsed/>
    <w:rsid w:val="00554DEC"/>
    <w:rPr>
      <w:b/>
      <w:bCs/>
    </w:rPr>
  </w:style>
  <w:style w:type="character" w:customStyle="1" w:styleId="CommentSubjectChar">
    <w:name w:val="Comment Subject Char"/>
    <w:link w:val="CommentSubject"/>
    <w:uiPriority w:val="99"/>
    <w:semiHidden/>
    <w:rsid w:val="00554D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4142">
      <w:bodyDiv w:val="1"/>
      <w:marLeft w:val="0"/>
      <w:marRight w:val="0"/>
      <w:marTop w:val="0"/>
      <w:marBottom w:val="0"/>
      <w:divBdr>
        <w:top w:val="none" w:sz="0" w:space="0" w:color="auto"/>
        <w:left w:val="none" w:sz="0" w:space="0" w:color="auto"/>
        <w:bottom w:val="none" w:sz="0" w:space="0" w:color="auto"/>
        <w:right w:val="none" w:sz="0" w:space="0" w:color="auto"/>
      </w:divBdr>
    </w:div>
    <w:div w:id="775752128">
      <w:bodyDiv w:val="1"/>
      <w:marLeft w:val="0"/>
      <w:marRight w:val="0"/>
      <w:marTop w:val="0"/>
      <w:marBottom w:val="0"/>
      <w:divBdr>
        <w:top w:val="none" w:sz="0" w:space="0" w:color="auto"/>
        <w:left w:val="none" w:sz="0" w:space="0" w:color="auto"/>
        <w:bottom w:val="none" w:sz="0" w:space="0" w:color="auto"/>
        <w:right w:val="none" w:sz="0" w:space="0" w:color="auto"/>
      </w:divBdr>
    </w:div>
    <w:div w:id="860241399">
      <w:bodyDiv w:val="1"/>
      <w:marLeft w:val="0"/>
      <w:marRight w:val="0"/>
      <w:marTop w:val="0"/>
      <w:marBottom w:val="0"/>
      <w:divBdr>
        <w:top w:val="none" w:sz="0" w:space="0" w:color="auto"/>
        <w:left w:val="none" w:sz="0" w:space="0" w:color="auto"/>
        <w:bottom w:val="none" w:sz="0" w:space="0" w:color="auto"/>
        <w:right w:val="none" w:sz="0" w:space="0" w:color="auto"/>
      </w:divBdr>
    </w:div>
    <w:div w:id="957759349">
      <w:bodyDiv w:val="1"/>
      <w:marLeft w:val="0"/>
      <w:marRight w:val="0"/>
      <w:marTop w:val="0"/>
      <w:marBottom w:val="0"/>
      <w:divBdr>
        <w:top w:val="none" w:sz="0" w:space="0" w:color="auto"/>
        <w:left w:val="none" w:sz="0" w:space="0" w:color="auto"/>
        <w:bottom w:val="none" w:sz="0" w:space="0" w:color="auto"/>
        <w:right w:val="none" w:sz="0" w:space="0" w:color="auto"/>
      </w:divBdr>
    </w:div>
    <w:div w:id="1280838812">
      <w:bodyDiv w:val="1"/>
      <w:marLeft w:val="0"/>
      <w:marRight w:val="0"/>
      <w:marTop w:val="0"/>
      <w:marBottom w:val="0"/>
      <w:divBdr>
        <w:top w:val="none" w:sz="0" w:space="0" w:color="auto"/>
        <w:left w:val="none" w:sz="0" w:space="0" w:color="auto"/>
        <w:bottom w:val="none" w:sz="0" w:space="0" w:color="auto"/>
        <w:right w:val="none" w:sz="0" w:space="0" w:color="auto"/>
      </w:divBdr>
    </w:div>
    <w:div w:id="1484735373">
      <w:bodyDiv w:val="1"/>
      <w:marLeft w:val="0"/>
      <w:marRight w:val="0"/>
      <w:marTop w:val="0"/>
      <w:marBottom w:val="0"/>
      <w:divBdr>
        <w:top w:val="none" w:sz="0" w:space="0" w:color="auto"/>
        <w:left w:val="none" w:sz="0" w:space="0" w:color="auto"/>
        <w:bottom w:val="none" w:sz="0" w:space="0" w:color="auto"/>
        <w:right w:val="none" w:sz="0" w:space="0" w:color="auto"/>
      </w:divBdr>
    </w:div>
    <w:div w:id="1731613379">
      <w:bodyDiv w:val="1"/>
      <w:marLeft w:val="0"/>
      <w:marRight w:val="0"/>
      <w:marTop w:val="0"/>
      <w:marBottom w:val="0"/>
      <w:divBdr>
        <w:top w:val="none" w:sz="0" w:space="0" w:color="auto"/>
        <w:left w:val="none" w:sz="0" w:space="0" w:color="auto"/>
        <w:bottom w:val="none" w:sz="0" w:space="0" w:color="auto"/>
        <w:right w:val="none" w:sz="0" w:space="0" w:color="auto"/>
      </w:divBdr>
    </w:div>
    <w:div w:id="19155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gektern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ndreadi\AppData\Local\Microsoft\Windows\INetCache\Content.Outlook\2022_1Q\agkonis@gektern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9FB73-B393-4DBE-8F77-FEA3AFF5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Pages>
  <Words>1997</Words>
  <Characters>11389</Characters>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13360</CharactersWithSpaces>
  <SharedDoc>false</SharedDoc>
  <HLinks>
    <vt:vector size="6" baseType="variant">
      <vt:variant>
        <vt:i4>5898341</vt:i4>
      </vt:variant>
      <vt:variant>
        <vt:i4>0</vt:i4>
      </vt:variant>
      <vt:variant>
        <vt:i4>0</vt:i4>
      </vt:variant>
      <vt:variant>
        <vt:i4>5</vt:i4>
      </vt:variant>
      <vt:variant>
        <vt:lpwstr>mailto:dkalantidi@gekterna.com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2022-09-30T12:12:00Z</cp:lastPrinted>
  <dcterms:created xsi:type="dcterms:W3CDTF">2023-04-25T13:17:00Z</dcterms:created>
  <dcterms:modified xsi:type="dcterms:W3CDTF">2023-04-27T12:34:00Z</dcterms:modified>
</cp:coreProperties>
</file>