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187" w:rsidRPr="000D628F" w:rsidRDefault="00863187" w:rsidP="000D628F">
      <w:pPr>
        <w:ind w:right="-199"/>
        <w:jc w:val="center"/>
        <w:rPr>
          <w:rFonts w:ascii="Cambria" w:hAnsi="Cambria"/>
          <w:b/>
          <w:sz w:val="24"/>
          <w:szCs w:val="24"/>
        </w:rPr>
      </w:pPr>
      <w:r w:rsidRPr="000D628F">
        <w:rPr>
          <w:rFonts w:ascii="Cambria" w:hAnsi="Cambria"/>
          <w:b/>
          <w:sz w:val="24"/>
          <w:szCs w:val="24"/>
        </w:rPr>
        <w:t>ΕΚΘΕΣΗ ΤΟΥ ΔΙΟΙΚΗΤΙΚΟΥ ΣΥΜΒΟΥΛΙΟΥ</w:t>
      </w:r>
    </w:p>
    <w:p w:rsidR="00863187" w:rsidRPr="00F64DAC" w:rsidRDefault="00863187" w:rsidP="000D628F">
      <w:pPr>
        <w:ind w:right="-199"/>
        <w:jc w:val="center"/>
        <w:rPr>
          <w:rFonts w:ascii="Cambria" w:hAnsi="Cambria"/>
          <w:b/>
        </w:rPr>
      </w:pPr>
      <w:r w:rsidRPr="00F64DAC">
        <w:rPr>
          <w:rFonts w:ascii="Cambria" w:hAnsi="Cambria"/>
          <w:b/>
        </w:rPr>
        <w:t xml:space="preserve">Της ανώνυμης εταιρείας με την επωνυμία «ΕΠΙΧΕΙΡΗΣΕΙΣ ΗΧΟΥ ΚΑΙ ΕΙΚΟΝΟΣ Ανώνυμη Εταιρεία», προς τους </w:t>
      </w:r>
      <w:proofErr w:type="spellStart"/>
      <w:r w:rsidRPr="00F64DAC">
        <w:rPr>
          <w:rFonts w:ascii="Cambria" w:hAnsi="Cambria"/>
          <w:b/>
        </w:rPr>
        <w:t>κ.κ</w:t>
      </w:r>
      <w:proofErr w:type="spellEnd"/>
      <w:r w:rsidRPr="00F64DAC">
        <w:rPr>
          <w:rFonts w:ascii="Cambria" w:hAnsi="Cambria"/>
          <w:b/>
        </w:rPr>
        <w:t>. Μετόχους της Εταιρείας επί προτεινόμενης αύξησης του μετοχικού κεφαλαίου με καταβολή μετρητών, σύμφωνα με τις διατάξεις των άρθρων 4.1.4.1.1 και 4.1.4.1.2 του Κανονισμού του Χ.Α. και του άρθρου 9 του Ν. 3016/2002</w:t>
      </w:r>
    </w:p>
    <w:p w:rsidR="00863187" w:rsidRPr="00F64DAC" w:rsidRDefault="00863187" w:rsidP="000D628F">
      <w:pPr>
        <w:ind w:right="-199"/>
        <w:jc w:val="both"/>
        <w:rPr>
          <w:rFonts w:ascii="Cambria" w:hAnsi="Cambria"/>
        </w:rPr>
      </w:pPr>
      <w:r w:rsidRPr="00F64DAC">
        <w:rPr>
          <w:rFonts w:ascii="Cambria" w:hAnsi="Cambria"/>
        </w:rPr>
        <w:t xml:space="preserve">Το Διοικητικό Συμβούλιο της ανώνυμης εταιρείας με την επωνυμία «ΕΠΙΧΕΙΡΗΣΕΙΣ ΗΧΟΥ ΚΑΙ ΕΙΚΟΝΟΣ Ανώνυμη Εταιρεία» (εφεξής «η </w:t>
      </w:r>
      <w:r w:rsidRPr="00F64DAC">
        <w:rPr>
          <w:rFonts w:ascii="Cambria" w:hAnsi="Cambria"/>
          <w:b/>
        </w:rPr>
        <w:t>Εταιρεία</w:t>
      </w:r>
      <w:r w:rsidRPr="00F64DAC">
        <w:rPr>
          <w:rFonts w:ascii="Cambria" w:hAnsi="Cambria"/>
        </w:rPr>
        <w:t>»)</w:t>
      </w:r>
      <w:r w:rsidR="00DF1CED" w:rsidRPr="00F64DAC">
        <w:rPr>
          <w:rFonts w:ascii="Cambria" w:hAnsi="Cambria"/>
        </w:rPr>
        <w:t>,</w:t>
      </w:r>
      <w:r w:rsidRPr="00F64DAC">
        <w:rPr>
          <w:rFonts w:ascii="Cambria" w:hAnsi="Cambria"/>
        </w:rPr>
        <w:t xml:space="preserve"> κατά τη συνεδρίαση τ</w:t>
      </w:r>
      <w:r w:rsidR="000D628F">
        <w:rPr>
          <w:rFonts w:ascii="Cambria" w:hAnsi="Cambria"/>
        </w:rPr>
        <w:t>ης 09</w:t>
      </w:r>
      <w:r w:rsidRPr="00F64DAC">
        <w:rPr>
          <w:rFonts w:ascii="Cambria" w:hAnsi="Cambria"/>
        </w:rPr>
        <w:t>.0</w:t>
      </w:r>
      <w:r w:rsidR="000D628F">
        <w:rPr>
          <w:rFonts w:ascii="Cambria" w:hAnsi="Cambria"/>
        </w:rPr>
        <w:t>6.2016</w:t>
      </w:r>
      <w:r w:rsidR="00DF1CED" w:rsidRPr="00F64DAC">
        <w:rPr>
          <w:rFonts w:ascii="Cambria" w:hAnsi="Cambria"/>
        </w:rPr>
        <w:t>,</w:t>
      </w:r>
      <w:r w:rsidRPr="00F64DAC">
        <w:rPr>
          <w:rFonts w:ascii="Cambria" w:hAnsi="Cambria"/>
        </w:rPr>
        <w:t xml:space="preserve"> αποφάσισε να προτείνει στη Γενική Συνέλευση των μετόχων της Εταιρείας την αύξηση του μετοχικού κεφαλαίου ως ακολούθως: </w:t>
      </w:r>
    </w:p>
    <w:p w:rsidR="009028F9" w:rsidRPr="002F1A11" w:rsidRDefault="009028F9" w:rsidP="000D628F">
      <w:pPr>
        <w:pStyle w:val="a4"/>
        <w:numPr>
          <w:ilvl w:val="0"/>
          <w:numId w:val="1"/>
        </w:numPr>
        <w:ind w:left="0" w:right="-199" w:firstLine="0"/>
        <w:contextualSpacing w:val="0"/>
        <w:rPr>
          <w:rFonts w:ascii="Cambria" w:hAnsi="Cambria"/>
          <w:sz w:val="23"/>
          <w:szCs w:val="23"/>
        </w:rPr>
      </w:pPr>
      <w:r w:rsidRPr="002F1A11">
        <w:rPr>
          <w:rFonts w:ascii="Cambria" w:hAnsi="Cambria"/>
          <w:sz w:val="23"/>
          <w:szCs w:val="23"/>
        </w:rPr>
        <w:t>μέσω της έκδοσης Προνομιούχων Μετοχών άνευ Ψήφου (ΠΑΨ) Σειράς Δ’, μέχρι του συνολικού ποσού των €</w:t>
      </w:r>
      <w:r w:rsidRPr="002F1A11">
        <w:rPr>
          <w:rFonts w:ascii="Cambria" w:hAnsi="Cambria" w:cs="Arial"/>
          <w:bCs/>
          <w:sz w:val="23"/>
          <w:szCs w:val="23"/>
        </w:rPr>
        <w:t xml:space="preserve">7.999.999,70 </w:t>
      </w:r>
      <w:r w:rsidRPr="002F1A11">
        <w:rPr>
          <w:rFonts w:ascii="Cambria" w:hAnsi="Cambria"/>
          <w:sz w:val="23"/>
          <w:szCs w:val="23"/>
        </w:rPr>
        <w:t>οι οποίες δεν θα εισαχθούν στο Χρηματιστήριο Αθηνών.</w:t>
      </w:r>
    </w:p>
    <w:p w:rsidR="00863187" w:rsidRPr="00F64DAC" w:rsidRDefault="00863187" w:rsidP="000D628F">
      <w:pPr>
        <w:pStyle w:val="ListParagraph"/>
        <w:numPr>
          <w:ilvl w:val="0"/>
          <w:numId w:val="1"/>
        </w:numPr>
        <w:ind w:left="0" w:right="-199" w:firstLine="0"/>
        <w:contextualSpacing w:val="0"/>
        <w:rPr>
          <w:rFonts w:ascii="Cambria" w:hAnsi="Cambria"/>
        </w:rPr>
      </w:pPr>
      <w:r w:rsidRPr="00F64DAC">
        <w:rPr>
          <w:rFonts w:ascii="Cambria" w:hAnsi="Cambria"/>
        </w:rPr>
        <w:t xml:space="preserve">τον ορισμό </w:t>
      </w:r>
      <w:r w:rsidR="00391B30" w:rsidRPr="00F64DAC">
        <w:rPr>
          <w:rFonts w:ascii="Cambria" w:hAnsi="Cambria"/>
        </w:rPr>
        <w:t xml:space="preserve">της τιμής έκδοσης εκάστης εκ των νέων ΠΑΨ </w:t>
      </w:r>
      <w:r w:rsidR="009028F9">
        <w:rPr>
          <w:rFonts w:ascii="Cambria" w:hAnsi="Cambria"/>
        </w:rPr>
        <w:t>Σειράς Δ</w:t>
      </w:r>
      <w:r w:rsidR="00391B30" w:rsidRPr="00F64DAC">
        <w:rPr>
          <w:rFonts w:ascii="Cambria" w:hAnsi="Cambria"/>
        </w:rPr>
        <w:t>’ στο ποσό των €0,70 ανά μετοχή</w:t>
      </w:r>
      <w:r w:rsidRPr="00F64DAC">
        <w:rPr>
          <w:rFonts w:ascii="Cambria" w:hAnsi="Cambria"/>
        </w:rPr>
        <w:t>.</w:t>
      </w:r>
    </w:p>
    <w:p w:rsidR="00391B30" w:rsidRPr="00F64DAC" w:rsidRDefault="00863187" w:rsidP="000D628F">
      <w:pPr>
        <w:pStyle w:val="a4"/>
        <w:numPr>
          <w:ilvl w:val="0"/>
          <w:numId w:val="1"/>
        </w:numPr>
        <w:ind w:left="0" w:right="-199" w:firstLine="0"/>
        <w:contextualSpacing w:val="0"/>
        <w:rPr>
          <w:rFonts w:ascii="Cambria" w:hAnsi="Cambria"/>
        </w:rPr>
      </w:pPr>
      <w:r w:rsidRPr="00F64DAC">
        <w:rPr>
          <w:rFonts w:ascii="Cambria" w:hAnsi="Cambria"/>
        </w:rPr>
        <w:t xml:space="preserve">τον </w:t>
      </w:r>
      <w:r w:rsidR="00391B30" w:rsidRPr="00F64DAC">
        <w:rPr>
          <w:rFonts w:ascii="Cambria" w:hAnsi="Cambria"/>
        </w:rPr>
        <w:t xml:space="preserve">ορισμό του προνομίου των </w:t>
      </w:r>
      <w:r w:rsidR="009028F9" w:rsidRPr="002F1A11">
        <w:rPr>
          <w:rFonts w:ascii="Cambria" w:hAnsi="Cambria"/>
          <w:sz w:val="23"/>
          <w:szCs w:val="23"/>
        </w:rPr>
        <w:t xml:space="preserve">ΠΑΨ Σειράς Δ’ </w:t>
      </w:r>
      <w:r w:rsidR="00391B30" w:rsidRPr="00F64DAC">
        <w:rPr>
          <w:rFonts w:ascii="Cambria" w:hAnsi="Cambria"/>
        </w:rPr>
        <w:t>έναντι των κοινών μετοχών, μόνο ως προς την προνομιακή απόδοση του καταβληθέντος από τους κατόχους των προνομιούχων μετοχών κεφαλαίου από το προϊόν της εκκαθάρισης της εταιρικής περιουσίας, συμπεριλαμβανομένης της συμμετοχής τούτων στα υπέρ το άρτιο ποσά που τυχόν καταβληθούν.</w:t>
      </w:r>
    </w:p>
    <w:p w:rsidR="00391B30" w:rsidRPr="00F64DAC" w:rsidRDefault="00863187" w:rsidP="000D628F">
      <w:pPr>
        <w:pStyle w:val="a4"/>
        <w:numPr>
          <w:ilvl w:val="0"/>
          <w:numId w:val="1"/>
        </w:numPr>
        <w:ind w:left="0" w:right="-199" w:firstLine="0"/>
        <w:contextualSpacing w:val="0"/>
        <w:rPr>
          <w:rFonts w:ascii="Cambria" w:hAnsi="Cambria"/>
        </w:rPr>
      </w:pPr>
      <w:r w:rsidRPr="00F64DAC">
        <w:rPr>
          <w:rFonts w:ascii="Cambria" w:hAnsi="Cambria"/>
        </w:rPr>
        <w:t xml:space="preserve">την </w:t>
      </w:r>
      <w:r w:rsidR="00391B30" w:rsidRPr="00F64DAC">
        <w:rPr>
          <w:rFonts w:ascii="Cambria" w:hAnsi="Cambria"/>
        </w:rPr>
        <w:t xml:space="preserve">παροχή στους κατόχους των </w:t>
      </w:r>
      <w:r w:rsidR="009028F9" w:rsidRPr="002F1A11">
        <w:rPr>
          <w:rFonts w:ascii="Cambria" w:hAnsi="Cambria"/>
          <w:sz w:val="23"/>
          <w:szCs w:val="23"/>
        </w:rPr>
        <w:t xml:space="preserve">ΠΑΨ Σειράς Δ’ </w:t>
      </w:r>
      <w:r w:rsidR="00391B30" w:rsidRPr="00F64DAC">
        <w:rPr>
          <w:rFonts w:ascii="Cambria" w:hAnsi="Cambria"/>
        </w:rPr>
        <w:t>του δικαιώματος μετατροπής αυτών σε κοινές μετά ψήφου μετοχές, οποτεδήποτε εντός του χρονικού διαστήματος πέντε ετών από την έκδοση τους και με σχέση μετατροπής 1:1 και την εισαγωγή τους στο Χρηματιστήριο Αθηνών, εφόσον μετατραπούν σε κοινές μετά ψήφου μετοχές.</w:t>
      </w:r>
    </w:p>
    <w:p w:rsidR="00391B30" w:rsidRPr="00F64DAC" w:rsidRDefault="00863187" w:rsidP="000D628F">
      <w:pPr>
        <w:pStyle w:val="a4"/>
        <w:numPr>
          <w:ilvl w:val="0"/>
          <w:numId w:val="1"/>
        </w:numPr>
        <w:ind w:left="0" w:right="-199" w:firstLine="0"/>
        <w:contextualSpacing w:val="0"/>
        <w:rPr>
          <w:rFonts w:ascii="Cambria" w:hAnsi="Cambria"/>
        </w:rPr>
      </w:pPr>
      <w:r w:rsidRPr="00F64DAC">
        <w:rPr>
          <w:rFonts w:ascii="Cambria" w:hAnsi="Cambria"/>
        </w:rPr>
        <w:t xml:space="preserve">την </w:t>
      </w:r>
      <w:r w:rsidR="00391B30" w:rsidRPr="00F64DAC">
        <w:rPr>
          <w:rFonts w:ascii="Cambria" w:hAnsi="Cambria"/>
        </w:rPr>
        <w:t xml:space="preserve">υποχρεωτική μετατροπή των </w:t>
      </w:r>
      <w:r w:rsidR="009028F9" w:rsidRPr="002F1A11">
        <w:rPr>
          <w:rFonts w:ascii="Cambria" w:hAnsi="Cambria"/>
          <w:sz w:val="23"/>
          <w:szCs w:val="23"/>
        </w:rPr>
        <w:t xml:space="preserve">ΠΑΨ Σειράς Δ’ </w:t>
      </w:r>
      <w:r w:rsidR="00391B30" w:rsidRPr="00F64DAC">
        <w:rPr>
          <w:rFonts w:ascii="Cambria" w:hAnsi="Cambria"/>
        </w:rPr>
        <w:t>σε κοινές μετά ψήφου μετοχές στο τέλος της πενταετίας από την έκδοση τους.</w:t>
      </w:r>
    </w:p>
    <w:p w:rsidR="00863187" w:rsidRPr="00F64DAC" w:rsidRDefault="00863187" w:rsidP="000D628F">
      <w:pPr>
        <w:pStyle w:val="a4"/>
        <w:numPr>
          <w:ilvl w:val="0"/>
          <w:numId w:val="1"/>
        </w:numPr>
        <w:ind w:left="0" w:right="-199" w:firstLine="0"/>
        <w:contextualSpacing w:val="0"/>
        <w:rPr>
          <w:rFonts w:ascii="Cambria" w:hAnsi="Cambria"/>
        </w:rPr>
      </w:pPr>
      <w:r w:rsidRPr="00F64DAC">
        <w:rPr>
          <w:rFonts w:ascii="Cambria" w:hAnsi="Cambria"/>
        </w:rPr>
        <w:t xml:space="preserve">Η </w:t>
      </w:r>
      <w:r w:rsidR="00391B30" w:rsidRPr="00F64DAC">
        <w:rPr>
          <w:rFonts w:ascii="Cambria" w:hAnsi="Cambria"/>
        </w:rPr>
        <w:t xml:space="preserve">διάθεση των </w:t>
      </w:r>
      <w:r w:rsidR="009028F9" w:rsidRPr="002F1A11">
        <w:rPr>
          <w:rFonts w:ascii="Cambria" w:hAnsi="Cambria"/>
          <w:sz w:val="23"/>
          <w:szCs w:val="23"/>
        </w:rPr>
        <w:t xml:space="preserve">ΠΑΨ Σειράς Δ’ </w:t>
      </w:r>
      <w:r w:rsidR="00391B30" w:rsidRPr="00F64DAC">
        <w:rPr>
          <w:rFonts w:ascii="Cambria" w:hAnsi="Cambria"/>
        </w:rPr>
        <w:t xml:space="preserve">να γίνει με κατάργηση του δικαιώματος προτίμησης των παλαιών κοινών και προνομιούχων μετόχων, για το ποσό των </w:t>
      </w:r>
      <w:r w:rsidR="009028F9" w:rsidRPr="002F1A11">
        <w:rPr>
          <w:rFonts w:ascii="Cambria" w:hAnsi="Cambria"/>
          <w:sz w:val="23"/>
          <w:szCs w:val="23"/>
        </w:rPr>
        <w:t>€</w:t>
      </w:r>
      <w:r w:rsidR="009028F9" w:rsidRPr="002F1A11">
        <w:rPr>
          <w:rFonts w:ascii="Cambria" w:hAnsi="Cambria" w:cs="Arial"/>
          <w:bCs/>
          <w:sz w:val="23"/>
          <w:szCs w:val="23"/>
        </w:rPr>
        <w:t>7.999.999,70</w:t>
      </w:r>
      <w:r w:rsidR="009028F9">
        <w:rPr>
          <w:rFonts w:ascii="Cambria" w:hAnsi="Cambria" w:cs="Arial"/>
          <w:bCs/>
          <w:sz w:val="23"/>
          <w:szCs w:val="23"/>
        </w:rPr>
        <w:t xml:space="preserve"> </w:t>
      </w:r>
      <w:r w:rsidR="00391B30" w:rsidRPr="00F64DAC">
        <w:rPr>
          <w:rFonts w:ascii="Cambria" w:hAnsi="Cambria"/>
        </w:rPr>
        <w:t xml:space="preserve">υπέρ της Εταιρείας </w:t>
      </w:r>
      <w:proofErr w:type="spellStart"/>
      <w:r w:rsidR="00391B30" w:rsidRPr="00F64DAC">
        <w:rPr>
          <w:rFonts w:ascii="Cambria" w:hAnsi="Cambria"/>
          <w:lang w:val="en-US"/>
        </w:rPr>
        <w:t>Doson</w:t>
      </w:r>
      <w:proofErr w:type="spellEnd"/>
      <w:r w:rsidR="00391B30" w:rsidRPr="00F64DAC">
        <w:rPr>
          <w:rFonts w:ascii="Cambria" w:hAnsi="Cambria"/>
        </w:rPr>
        <w:t xml:space="preserve"> </w:t>
      </w:r>
      <w:proofErr w:type="spellStart"/>
      <w:r w:rsidR="00391B30" w:rsidRPr="00F64DAC">
        <w:rPr>
          <w:rFonts w:ascii="Cambria" w:hAnsi="Cambria"/>
          <w:lang w:val="en-US"/>
        </w:rPr>
        <w:t>Invetsments</w:t>
      </w:r>
      <w:proofErr w:type="spellEnd"/>
      <w:r w:rsidR="00391B30" w:rsidRPr="00F64DAC">
        <w:rPr>
          <w:rFonts w:ascii="Cambria" w:hAnsi="Cambria"/>
        </w:rPr>
        <w:t xml:space="preserve"> </w:t>
      </w:r>
      <w:r w:rsidR="00391B30" w:rsidRPr="00F64DAC">
        <w:rPr>
          <w:rFonts w:ascii="Cambria" w:hAnsi="Cambria"/>
          <w:lang w:val="en-US"/>
        </w:rPr>
        <w:t>Company</w:t>
      </w:r>
      <w:r w:rsidR="00391B30" w:rsidRPr="00F64DAC">
        <w:rPr>
          <w:rFonts w:ascii="Cambria" w:hAnsi="Cambria"/>
        </w:rPr>
        <w:t xml:space="preserve"> με καταβολή μετρητών, ως ακολούθως</w:t>
      </w:r>
      <w:r w:rsidRPr="00F64DAC">
        <w:rPr>
          <w:rFonts w:ascii="Cambria" w:hAnsi="Cambria"/>
        </w:rPr>
        <w:t xml:space="preserve">: </w:t>
      </w:r>
    </w:p>
    <w:p w:rsidR="009028F9" w:rsidRDefault="009028F9" w:rsidP="000D628F">
      <w:pPr>
        <w:pStyle w:val="ListParagraph"/>
        <w:ind w:left="0" w:right="-199"/>
        <w:contextualSpacing w:val="0"/>
        <w:rPr>
          <w:rFonts w:ascii="Cambria" w:hAnsi="Cambria"/>
          <w:sz w:val="23"/>
          <w:szCs w:val="23"/>
        </w:rPr>
      </w:pPr>
      <w:r w:rsidRPr="002F1A11">
        <w:rPr>
          <w:rFonts w:ascii="Cambria" w:hAnsi="Cambria"/>
          <w:sz w:val="23"/>
          <w:szCs w:val="23"/>
        </w:rPr>
        <w:t xml:space="preserve">α) κατά το ποσό των €1.355.907,00 με την κεφαλαιοποίηση ήδη πραγματοποιηθεισών ταμειακών διευκολύνσεών της προς την Εταιρεία </w:t>
      </w:r>
      <w:r>
        <w:rPr>
          <w:rFonts w:ascii="Cambria" w:hAnsi="Cambria"/>
          <w:sz w:val="23"/>
          <w:szCs w:val="23"/>
        </w:rPr>
        <w:t xml:space="preserve">και </w:t>
      </w:r>
    </w:p>
    <w:p w:rsidR="00391B30" w:rsidRPr="00F64DAC" w:rsidRDefault="009028F9" w:rsidP="000D628F">
      <w:pPr>
        <w:pStyle w:val="ListParagraph"/>
        <w:ind w:left="0" w:right="-199"/>
        <w:contextualSpacing w:val="0"/>
        <w:rPr>
          <w:rFonts w:ascii="Cambria" w:hAnsi="Cambria"/>
        </w:rPr>
      </w:pPr>
      <w:r w:rsidRPr="002F1A11">
        <w:rPr>
          <w:rFonts w:ascii="Cambria" w:hAnsi="Cambria"/>
          <w:sz w:val="23"/>
          <w:szCs w:val="23"/>
        </w:rPr>
        <w:t>β) με την καταβολή μετρητών ποσού ύψους €6.644.092,70</w:t>
      </w:r>
      <w:r w:rsidR="00391B30" w:rsidRPr="00F64DAC">
        <w:rPr>
          <w:rFonts w:ascii="Cambria" w:hAnsi="Cambria"/>
        </w:rPr>
        <w:t xml:space="preserve">. </w:t>
      </w:r>
    </w:p>
    <w:p w:rsidR="00DF1CED" w:rsidRPr="00F64DAC" w:rsidRDefault="00863187" w:rsidP="000D628F">
      <w:pPr>
        <w:ind w:right="-199"/>
        <w:jc w:val="both"/>
        <w:rPr>
          <w:rFonts w:ascii="Cambria" w:hAnsi="Cambria"/>
        </w:rPr>
      </w:pPr>
      <w:r w:rsidRPr="00F64DAC">
        <w:rPr>
          <w:rFonts w:ascii="Cambria" w:hAnsi="Cambria"/>
        </w:rPr>
        <w:t xml:space="preserve">Περαιτέρω προτείνεται η παροχή εξουσιοδότησης προς το Διοικητικό Συμβούλιο της Εταιρείας για τον καθορισμό των επιμέρους όρων της προτεινόμενης αύξησης του μετοχικού της κεφαλαίου ως και κάθε συναφούς με τα ανωτέρω θέματος. </w:t>
      </w:r>
    </w:p>
    <w:p w:rsidR="00863187" w:rsidRPr="00F64DAC" w:rsidRDefault="00863187" w:rsidP="000D628F">
      <w:pPr>
        <w:ind w:right="-199"/>
        <w:jc w:val="both"/>
        <w:rPr>
          <w:rFonts w:ascii="Cambria" w:hAnsi="Cambria"/>
          <w:b/>
          <w:i/>
        </w:rPr>
      </w:pPr>
      <w:r w:rsidRPr="00F64DAC">
        <w:rPr>
          <w:rFonts w:ascii="Cambria" w:hAnsi="Cambria"/>
          <w:b/>
          <w:i/>
        </w:rPr>
        <w:t xml:space="preserve">ΔΗΛΩΣΕΙΣ ΒΑΣΙΚΩΝ ΜΕΤΟΧΩΝ ΚΑΙ ΠΙΣΤΩΤΗ ΤΗΣ ΕΤΑΙΡΕΙΑΣ </w:t>
      </w:r>
    </w:p>
    <w:p w:rsidR="00863187" w:rsidRPr="00F64DAC" w:rsidRDefault="00863187" w:rsidP="000D628F">
      <w:pPr>
        <w:ind w:right="-199"/>
        <w:rPr>
          <w:rFonts w:ascii="Cambria" w:hAnsi="Cambria"/>
        </w:rPr>
      </w:pPr>
      <w:r w:rsidRPr="00F64DAC">
        <w:rPr>
          <w:rFonts w:ascii="Cambria" w:hAnsi="Cambria"/>
        </w:rPr>
        <w:t xml:space="preserve">Επιπρόσθετα, το Διοικητικό Συμβούλιο </w:t>
      </w:r>
      <w:r w:rsidR="000D628F">
        <w:rPr>
          <w:rFonts w:ascii="Cambria" w:hAnsi="Cambria"/>
        </w:rPr>
        <w:t>με την από 0</w:t>
      </w:r>
      <w:r w:rsidR="00AC06B4" w:rsidRPr="00F64DAC">
        <w:rPr>
          <w:rFonts w:ascii="Cambria" w:hAnsi="Cambria"/>
        </w:rPr>
        <w:t>9</w:t>
      </w:r>
      <w:r w:rsidR="00E66A68" w:rsidRPr="00F64DAC">
        <w:rPr>
          <w:rFonts w:ascii="Cambria" w:hAnsi="Cambria"/>
        </w:rPr>
        <w:t>.06.201</w:t>
      </w:r>
      <w:r w:rsidR="000D628F">
        <w:rPr>
          <w:rFonts w:ascii="Cambria" w:hAnsi="Cambria"/>
        </w:rPr>
        <w:t>6</w:t>
      </w:r>
      <w:r w:rsidRPr="00F64DAC">
        <w:rPr>
          <w:rFonts w:ascii="Cambria" w:hAnsi="Cambria"/>
        </w:rPr>
        <w:t xml:space="preserve"> απόφασή του δηλώνει, ότι έχει λάβει τις κάτωθι επιστολές:</w:t>
      </w:r>
    </w:p>
    <w:p w:rsidR="009028F9" w:rsidRPr="002F1A11" w:rsidRDefault="009028F9" w:rsidP="000D628F">
      <w:pPr>
        <w:pStyle w:val="a4"/>
        <w:numPr>
          <w:ilvl w:val="0"/>
          <w:numId w:val="2"/>
        </w:numPr>
        <w:ind w:left="0" w:right="-199" w:firstLine="0"/>
        <w:contextualSpacing w:val="0"/>
        <w:rPr>
          <w:rFonts w:ascii="Cambria" w:hAnsi="Cambria"/>
          <w:sz w:val="23"/>
          <w:szCs w:val="23"/>
        </w:rPr>
      </w:pPr>
      <w:r w:rsidRPr="002F1A11">
        <w:rPr>
          <w:rFonts w:ascii="Cambria" w:hAnsi="Cambria"/>
          <w:sz w:val="23"/>
          <w:szCs w:val="23"/>
        </w:rPr>
        <w:lastRenderedPageBreak/>
        <w:t xml:space="preserve">Επιστολή – δέσμευση του μετόχου </w:t>
      </w:r>
      <w:proofErr w:type="spellStart"/>
      <w:r w:rsidRPr="002F1A11">
        <w:rPr>
          <w:rFonts w:ascii="Cambria" w:hAnsi="Cambria"/>
          <w:sz w:val="23"/>
          <w:szCs w:val="23"/>
          <w:lang w:val="en-US"/>
        </w:rPr>
        <w:t>Stoneman</w:t>
      </w:r>
      <w:proofErr w:type="spellEnd"/>
      <w:r w:rsidRPr="002F1A11">
        <w:rPr>
          <w:rFonts w:ascii="Cambria" w:hAnsi="Cambria"/>
          <w:sz w:val="23"/>
          <w:szCs w:val="23"/>
        </w:rPr>
        <w:t xml:space="preserve"> </w:t>
      </w:r>
      <w:r w:rsidRPr="002F1A11">
        <w:rPr>
          <w:rFonts w:ascii="Cambria" w:hAnsi="Cambria"/>
          <w:sz w:val="23"/>
          <w:szCs w:val="23"/>
          <w:lang w:val="en-US"/>
        </w:rPr>
        <w:t>Holdings</w:t>
      </w:r>
      <w:r w:rsidRPr="002F1A11">
        <w:rPr>
          <w:rFonts w:ascii="Cambria" w:hAnsi="Cambria"/>
          <w:sz w:val="23"/>
          <w:szCs w:val="23"/>
        </w:rPr>
        <w:t xml:space="preserve"> </w:t>
      </w:r>
      <w:r w:rsidRPr="002F1A11">
        <w:rPr>
          <w:rFonts w:ascii="Cambria" w:hAnsi="Cambria"/>
          <w:sz w:val="23"/>
          <w:szCs w:val="23"/>
          <w:lang w:val="en-US"/>
        </w:rPr>
        <w:t>Ltd</w:t>
      </w:r>
      <w:r w:rsidRPr="002F1A11">
        <w:rPr>
          <w:rFonts w:ascii="Cambria" w:hAnsi="Cambria"/>
          <w:sz w:val="23"/>
          <w:szCs w:val="23"/>
        </w:rPr>
        <w:t xml:space="preserve"> (με ποσοστό συμμετοχής στην Εταιρεία 44,94% στις κοινές μετοχές και 13,37% στις υφιστάμενες προνομιούχες μετοχές Άνευ Ψήφου), με την οποία επιστολή της δηλώνει ότι: α) συναινεί στην πρόταση του Διοικητικού Συμβουλίου περί Αύξησης Μετοχικού Κεφαλαίου με την έκδοση Προνομιούχων Μετοχών Άνευ Ψήφου Σειράς Δ’ και τους συγκεκριμένους όρους έκδοσης αυτών και δεσμεύεται να την υπερψηφίσει σε επικείμενες Γενικές Συνελεύσεις των κοινών και προνομιούχων Μετόχων.</w:t>
      </w:r>
    </w:p>
    <w:p w:rsidR="009028F9" w:rsidRPr="002F1A11" w:rsidRDefault="009028F9" w:rsidP="000D628F">
      <w:pPr>
        <w:pStyle w:val="a4"/>
        <w:numPr>
          <w:ilvl w:val="0"/>
          <w:numId w:val="2"/>
        </w:numPr>
        <w:ind w:left="0" w:right="-199" w:firstLine="0"/>
        <w:contextualSpacing w:val="0"/>
        <w:rPr>
          <w:rFonts w:ascii="Cambria" w:hAnsi="Cambria"/>
          <w:sz w:val="23"/>
          <w:szCs w:val="23"/>
        </w:rPr>
      </w:pPr>
      <w:r w:rsidRPr="002F1A11">
        <w:rPr>
          <w:rFonts w:ascii="Cambria" w:hAnsi="Cambria"/>
          <w:sz w:val="23"/>
          <w:szCs w:val="23"/>
        </w:rPr>
        <w:t xml:space="preserve">Επιστολή – δέσμευση του μετόχου </w:t>
      </w:r>
      <w:proofErr w:type="spellStart"/>
      <w:r w:rsidRPr="002F1A11">
        <w:rPr>
          <w:rFonts w:ascii="Cambria" w:hAnsi="Cambria"/>
          <w:sz w:val="23"/>
          <w:szCs w:val="23"/>
          <w:lang w:val="en-US"/>
        </w:rPr>
        <w:t>Doson</w:t>
      </w:r>
      <w:proofErr w:type="spellEnd"/>
      <w:r w:rsidRPr="002F1A11">
        <w:rPr>
          <w:rFonts w:ascii="Cambria" w:hAnsi="Cambria"/>
          <w:sz w:val="23"/>
          <w:szCs w:val="23"/>
        </w:rPr>
        <w:t xml:space="preserve"> </w:t>
      </w:r>
      <w:r w:rsidRPr="002F1A11">
        <w:rPr>
          <w:rFonts w:ascii="Cambria" w:hAnsi="Cambria"/>
          <w:sz w:val="23"/>
          <w:szCs w:val="23"/>
          <w:lang w:val="en-US"/>
        </w:rPr>
        <w:t>Investments</w:t>
      </w:r>
      <w:r w:rsidRPr="002F1A11">
        <w:rPr>
          <w:rFonts w:ascii="Cambria" w:hAnsi="Cambria"/>
          <w:sz w:val="23"/>
          <w:szCs w:val="23"/>
        </w:rPr>
        <w:t xml:space="preserve"> </w:t>
      </w:r>
      <w:r w:rsidRPr="002F1A11">
        <w:rPr>
          <w:rFonts w:ascii="Cambria" w:hAnsi="Cambria"/>
          <w:sz w:val="23"/>
          <w:szCs w:val="23"/>
          <w:lang w:val="en-US"/>
        </w:rPr>
        <w:t>Company</w:t>
      </w:r>
      <w:r w:rsidRPr="002F1A11">
        <w:rPr>
          <w:rFonts w:ascii="Cambria" w:hAnsi="Cambria"/>
          <w:sz w:val="23"/>
          <w:szCs w:val="23"/>
        </w:rPr>
        <w:t xml:space="preserve"> (με ποσοστό συμμετοχής στην Εταιρεία: 86,63% στις υφιστάμενες προνομιούχες μετοχές Άνευ Ψήφου), με την οποία η τελευταία αποδέχεται ανεπιφύλακτα να συμμετάσχει στην προτεινόμενη Αύξηση Μετοχικού Κεφαλαίου της Εταιρείας, με την έκδοση Προνομιούχων Μετοχών Άνευ Ψήφου Σειράς Δ΄ με τους συγκεκριμένους όρους έκδοσης ως εξής: α) κατά το ποσό των €1.355.907,00 με την κεφαλαιοποίηση ήδη πραγματοποιηθεισών ταμειακών διευκολύνσεών της προς την Εταιρεία και β) με την καταβολή μετρητών ποσού ύψους €6.644.092,70. Δεσμεύεται δε να την υπερψηφίσει σε επικείμενες Γενικές Συνελεύσεις των κοινών και προνομιούχων Μετόχων.</w:t>
      </w:r>
    </w:p>
    <w:p w:rsidR="00391B30" w:rsidRPr="000D628F" w:rsidRDefault="009028F9" w:rsidP="000D628F">
      <w:pPr>
        <w:pStyle w:val="a4"/>
        <w:numPr>
          <w:ilvl w:val="0"/>
          <w:numId w:val="2"/>
        </w:numPr>
        <w:ind w:left="0" w:right="-199" w:firstLine="0"/>
        <w:contextualSpacing w:val="0"/>
        <w:rPr>
          <w:rFonts w:ascii="Cambria" w:hAnsi="Cambria"/>
          <w:sz w:val="23"/>
          <w:szCs w:val="23"/>
        </w:rPr>
      </w:pPr>
      <w:r w:rsidRPr="002F1A11">
        <w:rPr>
          <w:rFonts w:ascii="Cambria" w:hAnsi="Cambria"/>
          <w:sz w:val="23"/>
          <w:szCs w:val="23"/>
        </w:rPr>
        <w:t xml:space="preserve">Επιστολή – δέσμευση του μετόχου </w:t>
      </w:r>
      <w:proofErr w:type="spellStart"/>
      <w:r w:rsidRPr="002F1A11">
        <w:rPr>
          <w:rFonts w:ascii="Cambria" w:hAnsi="Cambria"/>
          <w:sz w:val="23"/>
          <w:szCs w:val="23"/>
          <w:lang w:val="en-US"/>
        </w:rPr>
        <w:t>Charonia</w:t>
      </w:r>
      <w:proofErr w:type="spellEnd"/>
      <w:r w:rsidRPr="002F1A11">
        <w:rPr>
          <w:rFonts w:ascii="Cambria" w:hAnsi="Cambria"/>
          <w:sz w:val="23"/>
          <w:szCs w:val="23"/>
        </w:rPr>
        <w:t xml:space="preserve"> </w:t>
      </w:r>
      <w:r w:rsidRPr="002F1A11">
        <w:rPr>
          <w:rFonts w:ascii="Cambria" w:hAnsi="Cambria"/>
          <w:sz w:val="23"/>
          <w:szCs w:val="23"/>
          <w:lang w:val="en-US"/>
        </w:rPr>
        <w:t>Holdings</w:t>
      </w:r>
      <w:r w:rsidRPr="002F1A11">
        <w:rPr>
          <w:rFonts w:ascii="Cambria" w:hAnsi="Cambria"/>
          <w:sz w:val="23"/>
          <w:szCs w:val="23"/>
        </w:rPr>
        <w:t xml:space="preserve"> </w:t>
      </w:r>
      <w:r w:rsidRPr="002F1A11">
        <w:rPr>
          <w:rFonts w:ascii="Cambria" w:hAnsi="Cambria"/>
          <w:sz w:val="23"/>
          <w:szCs w:val="23"/>
          <w:lang w:val="en-US"/>
        </w:rPr>
        <w:t>Ltd</w:t>
      </w:r>
      <w:r w:rsidRPr="002F1A11">
        <w:rPr>
          <w:rFonts w:ascii="Cambria" w:hAnsi="Cambria"/>
          <w:sz w:val="23"/>
          <w:szCs w:val="23"/>
        </w:rPr>
        <w:t xml:space="preserve"> (με ποσοστό συμμετοχής στην Εταιρεία 31,54% στις κοινές μετοχές), με την οποία αυτή δηλώνει ανεπιφύλακτα ότι συναινεί στην πρόταση του Διοικητικού Συμβουλίου περί Αύξησης Μετοχικού Κεφαλαίου με την έκδοση Προνομιούχων Μετοχών Άνευ Ψήφου Σειράς Δ’ με τους συγκεκριμένους όρους έκδοσης και δεσμεύεται να την υπερψηφίσει σε επικείμενες Γενικές Συνελεύσεις των κοινών και προνομιούχων Μετόχων.</w:t>
      </w:r>
    </w:p>
    <w:p w:rsidR="00863187" w:rsidRPr="00F64DAC" w:rsidRDefault="00863187" w:rsidP="000D628F">
      <w:pPr>
        <w:ind w:right="-199"/>
        <w:rPr>
          <w:rFonts w:ascii="Cambria" w:hAnsi="Cambria"/>
          <w:b/>
          <w:i/>
        </w:rPr>
      </w:pPr>
      <w:r w:rsidRPr="00F64DAC">
        <w:rPr>
          <w:rFonts w:ascii="Cambria" w:hAnsi="Cambria"/>
          <w:b/>
          <w:i/>
        </w:rPr>
        <w:t xml:space="preserve">ΚΑΤΑΡΓΗΣΗ ΤΟΥ ΔΙΚΑΙΩΜΑΤΟΣ ΠΡΟΤΙΜΗΣΗΣ ΣΤΗΝ ΠΡΟΤΕΙΝΟΜΕΝΗ ΑΥΞΗΣΗ ΤΟΥ ΜΕΤΟΧΙΚΟΥ ΚΕΦΑΛΑΙΟΥ </w:t>
      </w:r>
    </w:p>
    <w:p w:rsidR="009028F9" w:rsidRPr="009028F9" w:rsidRDefault="00863187" w:rsidP="000D628F">
      <w:pPr>
        <w:ind w:right="-199"/>
        <w:jc w:val="both"/>
        <w:rPr>
          <w:rFonts w:ascii="Cambria" w:hAnsi="Cambria"/>
        </w:rPr>
      </w:pPr>
      <w:r w:rsidRPr="00F64DAC">
        <w:rPr>
          <w:rFonts w:ascii="Cambria" w:hAnsi="Cambria"/>
        </w:rPr>
        <w:t xml:space="preserve">Αναφορικά με την κατάργηση του δικαιώματος προτίμησης των παλαιών μετόχων ως και για τον καθορισμό της τιμής έκδοσης των νέων μετοχών, το Διοικητικό Συμβούλιο έχει συντάξει ειδική έκθεση σύμφωνα με το άρθρο 13 § 10 Κ.Ν. 2190/1920, όπως ισχύει, η οποία και επισυνάπτεται στην παρούσα. </w:t>
      </w:r>
    </w:p>
    <w:p w:rsidR="00863187" w:rsidRPr="00F64DAC" w:rsidRDefault="00863187" w:rsidP="000D628F">
      <w:pPr>
        <w:ind w:right="-199"/>
        <w:jc w:val="both"/>
        <w:rPr>
          <w:rFonts w:ascii="Cambria" w:hAnsi="Cambria"/>
          <w:b/>
          <w:i/>
        </w:rPr>
      </w:pPr>
      <w:r w:rsidRPr="00F64DAC">
        <w:rPr>
          <w:rFonts w:ascii="Cambria" w:hAnsi="Cambria"/>
          <w:b/>
          <w:i/>
        </w:rPr>
        <w:t>ΠΡΟΟΡΙΣΜΟΣ ΚΕΦΑΛΑΙΩΝ ΠΟΥ ΘΑ ΑΝΤΛΗΘΟΥΝ</w:t>
      </w:r>
    </w:p>
    <w:p w:rsidR="00863187" w:rsidRPr="000D628F" w:rsidRDefault="00863187" w:rsidP="000D628F">
      <w:pPr>
        <w:ind w:right="-199"/>
        <w:jc w:val="both"/>
        <w:rPr>
          <w:rFonts w:ascii="Cambria" w:hAnsi="Cambria"/>
        </w:rPr>
      </w:pPr>
      <w:r w:rsidRPr="00F64DAC">
        <w:rPr>
          <w:rFonts w:ascii="Cambria" w:hAnsi="Cambria"/>
        </w:rPr>
        <w:t xml:space="preserve">Τα κεφάλαια που η Εταιρεία σκοπεύει να αντλήσει από την προτεινόμενη Αύξηση, θα χρησιμοποιηθούν, μετά την αφαίρεση των δαπανών της Αύξησης, για την ενίσχυση της κεφαλαιακής βάσης της Εταιρείας και μέσω αυτής του κεφαλαίου κίνησης της. </w:t>
      </w:r>
    </w:p>
    <w:p w:rsidR="00863187" w:rsidRPr="00F64DAC" w:rsidRDefault="00863187" w:rsidP="000D628F">
      <w:pPr>
        <w:ind w:right="-199"/>
        <w:jc w:val="both"/>
        <w:rPr>
          <w:rFonts w:ascii="Cambria" w:hAnsi="Cambria"/>
          <w:b/>
          <w:i/>
        </w:rPr>
      </w:pPr>
      <w:r w:rsidRPr="00F64DAC">
        <w:rPr>
          <w:rFonts w:ascii="Cambria" w:hAnsi="Cambria"/>
          <w:b/>
          <w:i/>
        </w:rPr>
        <w:t>ΑΠΟΛΟΓΙΣΜΟΣ ΧΡΗΣΗΣ ΑΝΤΛΗΘΕΝΤΩΝ ΚΕΦΑΛΑΙΩΝ ΑΠΟ ΤΗΝ ΠΡΟΗΓΟΥΜΕΝΗ ΑΥΞΗΣΗ ΜΕ ΚΑΤΑΒΟΛΗ ΜΕΤΡΗΤΩΝ</w:t>
      </w:r>
    </w:p>
    <w:p w:rsidR="00391B30" w:rsidRPr="00F64DAC" w:rsidRDefault="00863187" w:rsidP="000D628F">
      <w:pPr>
        <w:ind w:right="-199"/>
        <w:jc w:val="both"/>
        <w:rPr>
          <w:rFonts w:ascii="Cambria" w:hAnsi="Cambria"/>
        </w:rPr>
      </w:pPr>
      <w:r w:rsidRPr="00F64DAC">
        <w:rPr>
          <w:rFonts w:ascii="Cambria" w:hAnsi="Cambria"/>
        </w:rPr>
        <w:t>Η τελευταία αύξηση μετοχικού κεφαλαίου</w:t>
      </w:r>
      <w:r w:rsidR="00391B30" w:rsidRPr="00F64DAC">
        <w:rPr>
          <w:rFonts w:ascii="Cambria" w:hAnsi="Cambria"/>
        </w:rPr>
        <w:t>,</w:t>
      </w:r>
      <w:r w:rsidRPr="00F64DAC">
        <w:rPr>
          <w:rFonts w:ascii="Cambria" w:hAnsi="Cambria"/>
        </w:rPr>
        <w:t xml:space="preserve"> </w:t>
      </w:r>
      <w:r w:rsidR="00391B30" w:rsidRPr="00F64DAC">
        <w:rPr>
          <w:rFonts w:ascii="Cambria" w:hAnsi="Cambria"/>
        </w:rPr>
        <w:t xml:space="preserve">που αποφασίστηκε με την από </w:t>
      </w:r>
      <w:r w:rsidR="009028F9">
        <w:rPr>
          <w:rFonts w:ascii="Cambria" w:hAnsi="Cambria"/>
        </w:rPr>
        <w:t>2</w:t>
      </w:r>
      <w:r w:rsidR="009028F9" w:rsidRPr="009028F9">
        <w:rPr>
          <w:rFonts w:ascii="Cambria" w:hAnsi="Cambria"/>
        </w:rPr>
        <w:t>7</w:t>
      </w:r>
      <w:r w:rsidR="009028F9">
        <w:rPr>
          <w:rFonts w:ascii="Cambria" w:hAnsi="Cambria"/>
        </w:rPr>
        <w:t>.07.201</w:t>
      </w:r>
      <w:r w:rsidR="009028F9" w:rsidRPr="009028F9">
        <w:rPr>
          <w:rFonts w:ascii="Cambria" w:hAnsi="Cambria"/>
        </w:rPr>
        <w:t>5</w:t>
      </w:r>
      <w:r w:rsidR="009A0CD2" w:rsidRPr="00F64DAC">
        <w:rPr>
          <w:rFonts w:ascii="Cambria" w:hAnsi="Cambria"/>
        </w:rPr>
        <w:t xml:space="preserve"> </w:t>
      </w:r>
      <w:r w:rsidR="00391B30" w:rsidRPr="00F64DAC">
        <w:rPr>
          <w:rFonts w:ascii="Cambria" w:hAnsi="Cambria"/>
        </w:rPr>
        <w:t>απόφαση της Έκτακτης Γενικής</w:t>
      </w:r>
      <w:r w:rsidR="00DF1CED" w:rsidRPr="00F64DAC">
        <w:rPr>
          <w:rFonts w:ascii="Cambria" w:hAnsi="Cambria"/>
        </w:rPr>
        <w:t xml:space="preserve"> </w:t>
      </w:r>
      <w:r w:rsidR="00391B30" w:rsidRPr="00F64DAC">
        <w:rPr>
          <w:rFonts w:ascii="Cambria" w:hAnsi="Cambria"/>
        </w:rPr>
        <w:t>Συνέλευσης των μετόχων,</w:t>
      </w:r>
      <w:r w:rsidR="00DF1CED" w:rsidRPr="00F64DAC">
        <w:rPr>
          <w:rFonts w:ascii="Cambria" w:hAnsi="Cambria"/>
        </w:rPr>
        <w:t xml:space="preserve"> </w:t>
      </w:r>
      <w:r w:rsidR="00391B30" w:rsidRPr="00F64DAC">
        <w:rPr>
          <w:rFonts w:ascii="Cambria" w:hAnsi="Cambria"/>
        </w:rPr>
        <w:t xml:space="preserve">πραγματοποιήθηκε με καταβολή μετρητών και κεφαλαιοποίηση υποχρεώσεων με κατάργηση του δικαιώματος προτίμησης των παλαιών μετόχων και </w:t>
      </w:r>
      <w:r w:rsidR="009028F9">
        <w:t xml:space="preserve">καλύφθηκε μερικώς με άντληση </w:t>
      </w:r>
      <w:r w:rsidR="009028F9" w:rsidRPr="00B93C2E">
        <w:t>συνολ</w:t>
      </w:r>
      <w:r w:rsidR="009028F9">
        <w:t xml:space="preserve">ικών κεφαλαίων € </w:t>
      </w:r>
      <w:r w:rsidR="009028F9" w:rsidRPr="00984ADF">
        <w:t>3.782.695,00</w:t>
      </w:r>
      <w:r w:rsidR="009028F9">
        <w:t xml:space="preserve"> και συγκεκριμένα</w:t>
      </w:r>
      <w:r w:rsidR="009028F9" w:rsidRPr="009028F9">
        <w:t xml:space="preserve">: </w:t>
      </w:r>
      <w:r w:rsidR="009028F9" w:rsidRPr="001F5669">
        <w:t>α) ποσ</w:t>
      </w:r>
      <w:r w:rsidR="009028F9">
        <w:t>ού</w:t>
      </w:r>
      <w:r w:rsidR="009028F9" w:rsidRPr="001F5669">
        <w:t xml:space="preserve"> € </w:t>
      </w:r>
      <w:r w:rsidR="009028F9" w:rsidRPr="00984ADF">
        <w:t>1.166.585,00</w:t>
      </w:r>
      <w:r w:rsidR="009028F9" w:rsidRPr="001F5669">
        <w:t xml:space="preserve"> </w:t>
      </w:r>
      <w:r w:rsidR="009028F9">
        <w:t>από την</w:t>
      </w:r>
      <w:r w:rsidR="009028F9" w:rsidRPr="006361B3">
        <w:t xml:space="preserve"> εταιρεία </w:t>
      </w:r>
      <w:proofErr w:type="spellStart"/>
      <w:r w:rsidR="009028F9" w:rsidRPr="006361B3">
        <w:t>Doson</w:t>
      </w:r>
      <w:proofErr w:type="spellEnd"/>
      <w:r w:rsidR="009028F9" w:rsidRPr="006361B3">
        <w:t xml:space="preserve"> </w:t>
      </w:r>
      <w:proofErr w:type="spellStart"/>
      <w:r w:rsidR="009028F9" w:rsidRPr="006361B3">
        <w:t>Investments</w:t>
      </w:r>
      <w:proofErr w:type="spellEnd"/>
      <w:r w:rsidR="009028F9" w:rsidRPr="006361B3">
        <w:t xml:space="preserve"> </w:t>
      </w:r>
      <w:proofErr w:type="spellStart"/>
      <w:r w:rsidR="009028F9" w:rsidRPr="006361B3">
        <w:t>Company</w:t>
      </w:r>
      <w:proofErr w:type="spellEnd"/>
      <w:r w:rsidR="009028F9" w:rsidRPr="00324050">
        <w:t xml:space="preserve"> </w:t>
      </w:r>
      <w:r w:rsidR="009028F9">
        <w:t xml:space="preserve">με </w:t>
      </w:r>
      <w:r w:rsidR="009028F9" w:rsidRPr="001F5669">
        <w:t xml:space="preserve">κεφαλαιοποίηση υφιστάμενων και </w:t>
      </w:r>
      <w:proofErr w:type="spellStart"/>
      <w:r w:rsidR="009028F9" w:rsidRPr="001F5669">
        <w:t>παρασχ</w:t>
      </w:r>
      <w:r w:rsidR="009028F9">
        <w:t>εθεισών</w:t>
      </w:r>
      <w:proofErr w:type="spellEnd"/>
      <w:r w:rsidR="009028F9">
        <w:t xml:space="preserve"> ταμειακών διευκολύνσεων</w:t>
      </w:r>
      <w:r w:rsidR="009028F9" w:rsidRPr="001F5669">
        <w:t xml:space="preserve"> και </w:t>
      </w:r>
      <w:r w:rsidR="009028F9">
        <w:t xml:space="preserve">β) </w:t>
      </w:r>
      <w:r w:rsidR="009028F9" w:rsidRPr="001F5669">
        <w:t>ποσ</w:t>
      </w:r>
      <w:r w:rsidR="009028F9">
        <w:t>ού</w:t>
      </w:r>
      <w:r w:rsidR="009028F9" w:rsidRPr="001F5669">
        <w:t xml:space="preserve"> € </w:t>
      </w:r>
      <w:r w:rsidR="009028F9" w:rsidRPr="00984ADF">
        <w:t>2.616.110,00</w:t>
      </w:r>
      <w:r w:rsidR="009028F9" w:rsidRPr="001F5669">
        <w:t xml:space="preserve"> </w:t>
      </w:r>
      <w:r w:rsidR="009028F9">
        <w:t>από την</w:t>
      </w:r>
      <w:r w:rsidR="009028F9" w:rsidRPr="006361B3">
        <w:t xml:space="preserve"> εταιρεία </w:t>
      </w:r>
      <w:proofErr w:type="spellStart"/>
      <w:r w:rsidR="009028F9" w:rsidRPr="006361B3">
        <w:t>Doson</w:t>
      </w:r>
      <w:proofErr w:type="spellEnd"/>
      <w:r w:rsidR="009028F9" w:rsidRPr="006361B3">
        <w:t xml:space="preserve"> </w:t>
      </w:r>
      <w:proofErr w:type="spellStart"/>
      <w:r w:rsidR="009028F9" w:rsidRPr="006361B3">
        <w:t>Investments</w:t>
      </w:r>
      <w:proofErr w:type="spellEnd"/>
      <w:r w:rsidR="009028F9" w:rsidRPr="006361B3">
        <w:t xml:space="preserve"> </w:t>
      </w:r>
      <w:proofErr w:type="spellStart"/>
      <w:r w:rsidR="009028F9" w:rsidRPr="006361B3">
        <w:lastRenderedPageBreak/>
        <w:t>Company</w:t>
      </w:r>
      <w:proofErr w:type="spellEnd"/>
      <w:r w:rsidR="009028F9" w:rsidRPr="001F5669">
        <w:t xml:space="preserve"> με καταβολή μετρητών</w:t>
      </w:r>
      <w:r w:rsidR="009028F9">
        <w:t xml:space="preserve">. </w:t>
      </w:r>
      <w:r w:rsidR="009028F9" w:rsidRPr="00B93C2E">
        <w:t xml:space="preserve">Η πιστοποίηση της </w:t>
      </w:r>
      <w:r w:rsidR="009028F9">
        <w:t xml:space="preserve">μερικής κάλυψης της </w:t>
      </w:r>
      <w:r w:rsidR="009028F9" w:rsidRPr="00B93C2E">
        <w:t>αύξησης το</w:t>
      </w:r>
      <w:r w:rsidR="009028F9">
        <w:t>υ μετοχικού κεφαλαίου έγινε την</w:t>
      </w:r>
      <w:r w:rsidR="009028F9" w:rsidRPr="00B93C2E">
        <w:t xml:space="preserve"> </w:t>
      </w:r>
      <w:r w:rsidR="009028F9">
        <w:t>27.12.2015</w:t>
      </w:r>
      <w:r w:rsidR="00391B30" w:rsidRPr="00F64DAC">
        <w:rPr>
          <w:rFonts w:ascii="Cambria" w:hAnsi="Cambria"/>
        </w:rPr>
        <w:t>.</w:t>
      </w:r>
    </w:p>
    <w:p w:rsidR="000D628F" w:rsidRPr="000D628F" w:rsidRDefault="00863187" w:rsidP="000D628F">
      <w:pPr>
        <w:ind w:right="-199"/>
        <w:jc w:val="both"/>
        <w:rPr>
          <w:rFonts w:ascii="Cambria" w:hAnsi="Cambria"/>
        </w:rPr>
      </w:pPr>
      <w:r w:rsidRPr="00F64DAC">
        <w:rPr>
          <w:rFonts w:ascii="Cambria" w:hAnsi="Cambria"/>
        </w:rPr>
        <w:t xml:space="preserve">Τα ως άνω αντληθέντα κεφάλαια διατέθηκαν </w:t>
      </w:r>
      <w:r w:rsidR="00DF1CED" w:rsidRPr="00F64DAC">
        <w:rPr>
          <w:rFonts w:ascii="Cambria" w:hAnsi="Cambria"/>
        </w:rPr>
        <w:t xml:space="preserve">στο σύνολό τους μέχρι την </w:t>
      </w:r>
      <w:r w:rsidR="009028F9">
        <w:rPr>
          <w:rFonts w:ascii="Cambria" w:hAnsi="Cambria"/>
        </w:rPr>
        <w:t>31.12.201</w:t>
      </w:r>
      <w:r w:rsidR="009028F9" w:rsidRPr="009028F9">
        <w:rPr>
          <w:rFonts w:ascii="Cambria" w:hAnsi="Cambria"/>
        </w:rPr>
        <w:t>5</w:t>
      </w:r>
      <w:r w:rsidR="009A0CD2" w:rsidRPr="00F64DAC">
        <w:rPr>
          <w:rFonts w:ascii="Cambria" w:hAnsi="Cambria"/>
        </w:rPr>
        <w:t xml:space="preserve"> </w:t>
      </w:r>
      <w:r w:rsidRPr="00F64DAC">
        <w:rPr>
          <w:rFonts w:ascii="Cambria" w:hAnsi="Cambria"/>
        </w:rPr>
        <w:t>ως ακολούθως :</w:t>
      </w:r>
    </w:p>
    <w:tbl>
      <w:tblPr>
        <w:tblW w:w="5046" w:type="pct"/>
        <w:tblLook w:val="04A0"/>
      </w:tblPr>
      <w:tblGrid>
        <w:gridCol w:w="3608"/>
        <w:gridCol w:w="1848"/>
        <w:gridCol w:w="1847"/>
        <w:gridCol w:w="1297"/>
      </w:tblGrid>
      <w:tr w:rsidR="009028F9" w:rsidRPr="0048050E" w:rsidTr="009028F9">
        <w:trPr>
          <w:trHeight w:val="818"/>
        </w:trPr>
        <w:tc>
          <w:tcPr>
            <w:tcW w:w="2097" w:type="pct"/>
            <w:tcBorders>
              <w:top w:val="single" w:sz="8" w:space="0" w:color="auto"/>
              <w:left w:val="single" w:sz="8" w:space="0" w:color="auto"/>
              <w:bottom w:val="single" w:sz="4" w:space="0" w:color="auto"/>
              <w:right w:val="single" w:sz="4" w:space="0" w:color="auto"/>
            </w:tcBorders>
            <w:shd w:val="clear" w:color="000000" w:fill="FFFFFF"/>
            <w:vAlign w:val="bottom"/>
            <w:hideMark/>
          </w:tcPr>
          <w:p w:rsidR="009028F9" w:rsidRPr="0048050E" w:rsidRDefault="009028F9" w:rsidP="000D628F">
            <w:pPr>
              <w:ind w:right="-199"/>
              <w:rPr>
                <w:rFonts w:ascii="Tahoma" w:hAnsi="Tahoma" w:cs="Tahoma"/>
                <w:b/>
                <w:bCs/>
                <w:sz w:val="20"/>
                <w:szCs w:val="20"/>
              </w:rPr>
            </w:pPr>
            <w:r w:rsidRPr="0048050E">
              <w:rPr>
                <w:rFonts w:ascii="Tahoma" w:hAnsi="Tahoma" w:cs="Tahoma"/>
                <w:b/>
                <w:bCs/>
                <w:sz w:val="20"/>
                <w:szCs w:val="20"/>
              </w:rPr>
              <w:t xml:space="preserve">Περιγραφή χρήσης αντληθέντων κεφαλαίων </w:t>
            </w:r>
          </w:p>
        </w:tc>
        <w:tc>
          <w:tcPr>
            <w:tcW w:w="1074" w:type="pct"/>
            <w:tcBorders>
              <w:top w:val="single" w:sz="8" w:space="0" w:color="auto"/>
              <w:left w:val="nil"/>
              <w:bottom w:val="single" w:sz="4" w:space="0" w:color="auto"/>
              <w:right w:val="single" w:sz="4" w:space="0" w:color="auto"/>
            </w:tcBorders>
            <w:shd w:val="clear" w:color="auto" w:fill="auto"/>
            <w:vAlign w:val="center"/>
            <w:hideMark/>
          </w:tcPr>
          <w:p w:rsidR="009028F9" w:rsidRPr="0048050E" w:rsidRDefault="009028F9" w:rsidP="000D628F">
            <w:pPr>
              <w:ind w:right="-199"/>
              <w:jc w:val="center"/>
              <w:rPr>
                <w:rFonts w:ascii="Tahoma" w:hAnsi="Tahoma" w:cs="Tahoma"/>
                <w:b/>
                <w:bCs/>
                <w:sz w:val="20"/>
                <w:szCs w:val="20"/>
              </w:rPr>
            </w:pPr>
            <w:r w:rsidRPr="0048050E">
              <w:rPr>
                <w:rFonts w:ascii="Tahoma" w:hAnsi="Tahoma" w:cs="Tahoma"/>
                <w:b/>
                <w:bCs/>
                <w:sz w:val="20"/>
                <w:szCs w:val="20"/>
              </w:rPr>
              <w:t xml:space="preserve">Σύνολο αντληθέντων κεφαλαίων </w:t>
            </w:r>
          </w:p>
        </w:tc>
        <w:tc>
          <w:tcPr>
            <w:tcW w:w="1074" w:type="pct"/>
            <w:tcBorders>
              <w:top w:val="single" w:sz="8" w:space="0" w:color="auto"/>
              <w:left w:val="nil"/>
              <w:bottom w:val="single" w:sz="4" w:space="0" w:color="auto"/>
              <w:right w:val="single" w:sz="4" w:space="0" w:color="auto"/>
            </w:tcBorders>
            <w:shd w:val="clear" w:color="auto" w:fill="auto"/>
            <w:vAlign w:val="center"/>
            <w:hideMark/>
          </w:tcPr>
          <w:p w:rsidR="009028F9" w:rsidRPr="0048050E" w:rsidRDefault="009028F9" w:rsidP="000D628F">
            <w:pPr>
              <w:ind w:right="-199"/>
              <w:jc w:val="center"/>
              <w:rPr>
                <w:rFonts w:ascii="Tahoma" w:hAnsi="Tahoma" w:cs="Tahoma"/>
                <w:b/>
                <w:bCs/>
                <w:sz w:val="20"/>
                <w:szCs w:val="20"/>
              </w:rPr>
            </w:pPr>
            <w:r w:rsidRPr="0048050E">
              <w:rPr>
                <w:rFonts w:ascii="Tahoma" w:hAnsi="Tahoma" w:cs="Tahoma"/>
                <w:b/>
                <w:bCs/>
                <w:sz w:val="20"/>
                <w:szCs w:val="20"/>
              </w:rPr>
              <w:t>Σύνολο διατεθέντων κεφαλαίων</w:t>
            </w:r>
            <w:r w:rsidR="000D628F">
              <w:rPr>
                <w:rFonts w:ascii="Tahoma" w:hAnsi="Tahoma" w:cs="Tahoma"/>
                <w:b/>
                <w:bCs/>
                <w:sz w:val="20"/>
                <w:szCs w:val="20"/>
              </w:rPr>
              <w:t xml:space="preserve"> </w:t>
            </w:r>
            <w:r w:rsidRPr="0048050E">
              <w:rPr>
                <w:rFonts w:ascii="Tahoma" w:hAnsi="Tahoma" w:cs="Tahoma"/>
                <w:b/>
                <w:bCs/>
                <w:sz w:val="20"/>
                <w:szCs w:val="20"/>
              </w:rPr>
              <w:t>έως 31.12.2015</w:t>
            </w:r>
          </w:p>
        </w:tc>
        <w:tc>
          <w:tcPr>
            <w:tcW w:w="754" w:type="pct"/>
            <w:tcBorders>
              <w:top w:val="single" w:sz="8" w:space="0" w:color="auto"/>
              <w:left w:val="nil"/>
              <w:bottom w:val="single" w:sz="4" w:space="0" w:color="auto"/>
              <w:right w:val="single" w:sz="8" w:space="0" w:color="auto"/>
            </w:tcBorders>
            <w:shd w:val="clear" w:color="auto" w:fill="auto"/>
            <w:vAlign w:val="center"/>
            <w:hideMark/>
          </w:tcPr>
          <w:p w:rsidR="009028F9" w:rsidRPr="0048050E" w:rsidRDefault="009028F9" w:rsidP="000D628F">
            <w:pPr>
              <w:ind w:right="-199"/>
              <w:jc w:val="center"/>
              <w:rPr>
                <w:rFonts w:ascii="Tahoma" w:hAnsi="Tahoma" w:cs="Tahoma"/>
                <w:b/>
                <w:bCs/>
                <w:sz w:val="20"/>
                <w:szCs w:val="20"/>
              </w:rPr>
            </w:pPr>
            <w:r w:rsidRPr="0048050E">
              <w:rPr>
                <w:rFonts w:ascii="Tahoma" w:hAnsi="Tahoma" w:cs="Tahoma"/>
                <w:b/>
                <w:bCs/>
                <w:sz w:val="20"/>
                <w:szCs w:val="20"/>
              </w:rPr>
              <w:t>Υπόλοιπο</w:t>
            </w:r>
          </w:p>
        </w:tc>
      </w:tr>
      <w:tr w:rsidR="009028F9" w:rsidRPr="0048050E" w:rsidTr="009028F9">
        <w:trPr>
          <w:trHeight w:val="517"/>
        </w:trPr>
        <w:tc>
          <w:tcPr>
            <w:tcW w:w="2097" w:type="pct"/>
            <w:tcBorders>
              <w:top w:val="nil"/>
              <w:left w:val="single" w:sz="8" w:space="0" w:color="auto"/>
              <w:bottom w:val="single" w:sz="4" w:space="0" w:color="auto"/>
              <w:right w:val="single" w:sz="4" w:space="0" w:color="auto"/>
            </w:tcBorders>
            <w:shd w:val="clear" w:color="000000" w:fill="FFFFFF"/>
            <w:vAlign w:val="bottom"/>
            <w:hideMark/>
          </w:tcPr>
          <w:p w:rsidR="009028F9" w:rsidRPr="0048050E" w:rsidRDefault="009028F9" w:rsidP="000D628F">
            <w:pPr>
              <w:ind w:right="-199"/>
              <w:rPr>
                <w:rFonts w:ascii="Tahoma" w:hAnsi="Tahoma" w:cs="Tahoma"/>
                <w:sz w:val="20"/>
                <w:szCs w:val="20"/>
              </w:rPr>
            </w:pPr>
            <w:r w:rsidRPr="0048050E">
              <w:rPr>
                <w:rFonts w:ascii="Tahoma" w:hAnsi="Tahoma" w:cs="Tahoma"/>
                <w:sz w:val="20"/>
                <w:szCs w:val="20"/>
              </w:rPr>
              <w:t>Αποπληρωμή τραπεζικών υποχρεώσεων μητρικής εταιρείας</w:t>
            </w:r>
          </w:p>
        </w:tc>
        <w:tc>
          <w:tcPr>
            <w:tcW w:w="1074" w:type="pct"/>
            <w:tcBorders>
              <w:top w:val="nil"/>
              <w:left w:val="nil"/>
              <w:bottom w:val="single" w:sz="4" w:space="0" w:color="auto"/>
              <w:right w:val="single" w:sz="4" w:space="0" w:color="auto"/>
            </w:tcBorders>
            <w:shd w:val="clear" w:color="000000" w:fill="FFFFFF"/>
            <w:noWrap/>
            <w:vAlign w:val="bottom"/>
            <w:hideMark/>
          </w:tcPr>
          <w:p w:rsidR="009028F9" w:rsidRPr="0048050E" w:rsidRDefault="009028F9" w:rsidP="000D628F">
            <w:pPr>
              <w:ind w:right="-199"/>
              <w:jc w:val="right"/>
              <w:rPr>
                <w:rFonts w:ascii="Tahoma" w:hAnsi="Tahoma" w:cs="Tahoma"/>
                <w:sz w:val="18"/>
                <w:szCs w:val="18"/>
              </w:rPr>
            </w:pPr>
            <w:r w:rsidRPr="0048050E">
              <w:rPr>
                <w:rFonts w:ascii="Tahoma" w:hAnsi="Tahoma" w:cs="Tahoma"/>
                <w:sz w:val="18"/>
                <w:szCs w:val="18"/>
              </w:rPr>
              <w:t>1.040.673,35</w:t>
            </w:r>
          </w:p>
        </w:tc>
        <w:tc>
          <w:tcPr>
            <w:tcW w:w="1074" w:type="pct"/>
            <w:tcBorders>
              <w:top w:val="nil"/>
              <w:left w:val="nil"/>
              <w:bottom w:val="single" w:sz="4" w:space="0" w:color="auto"/>
              <w:right w:val="single" w:sz="4" w:space="0" w:color="auto"/>
            </w:tcBorders>
            <w:shd w:val="clear" w:color="000000" w:fill="FFFFFF"/>
            <w:noWrap/>
            <w:vAlign w:val="bottom"/>
            <w:hideMark/>
          </w:tcPr>
          <w:p w:rsidR="009028F9" w:rsidRPr="0048050E" w:rsidRDefault="009028F9" w:rsidP="000D628F">
            <w:pPr>
              <w:ind w:right="-199"/>
              <w:jc w:val="right"/>
              <w:rPr>
                <w:rFonts w:ascii="Tahoma" w:hAnsi="Tahoma" w:cs="Tahoma"/>
                <w:sz w:val="18"/>
                <w:szCs w:val="18"/>
              </w:rPr>
            </w:pPr>
            <w:r w:rsidRPr="0048050E">
              <w:rPr>
                <w:rFonts w:ascii="Tahoma" w:hAnsi="Tahoma" w:cs="Tahoma"/>
                <w:sz w:val="18"/>
                <w:szCs w:val="18"/>
              </w:rPr>
              <w:t>1.040.673,35</w:t>
            </w:r>
          </w:p>
        </w:tc>
        <w:tc>
          <w:tcPr>
            <w:tcW w:w="754" w:type="pct"/>
            <w:tcBorders>
              <w:top w:val="nil"/>
              <w:left w:val="nil"/>
              <w:bottom w:val="single" w:sz="4" w:space="0" w:color="auto"/>
              <w:right w:val="single" w:sz="8" w:space="0" w:color="auto"/>
            </w:tcBorders>
            <w:shd w:val="clear" w:color="000000" w:fill="FFFFFF"/>
            <w:noWrap/>
            <w:vAlign w:val="bottom"/>
            <w:hideMark/>
          </w:tcPr>
          <w:p w:rsidR="009028F9" w:rsidRPr="0048050E" w:rsidRDefault="009028F9" w:rsidP="000D628F">
            <w:pPr>
              <w:ind w:right="-199"/>
              <w:jc w:val="right"/>
              <w:rPr>
                <w:rFonts w:ascii="Tahoma" w:hAnsi="Tahoma" w:cs="Tahoma"/>
                <w:sz w:val="18"/>
                <w:szCs w:val="18"/>
              </w:rPr>
            </w:pPr>
            <w:r w:rsidRPr="0048050E">
              <w:rPr>
                <w:rFonts w:ascii="Tahoma" w:hAnsi="Tahoma" w:cs="Tahoma"/>
                <w:sz w:val="18"/>
                <w:szCs w:val="18"/>
              </w:rPr>
              <w:t>0,00</w:t>
            </w:r>
          </w:p>
        </w:tc>
      </w:tr>
      <w:tr w:rsidR="009028F9" w:rsidRPr="0048050E" w:rsidTr="009028F9">
        <w:trPr>
          <w:trHeight w:val="613"/>
        </w:trPr>
        <w:tc>
          <w:tcPr>
            <w:tcW w:w="2097" w:type="pct"/>
            <w:tcBorders>
              <w:top w:val="nil"/>
              <w:left w:val="single" w:sz="8" w:space="0" w:color="auto"/>
              <w:bottom w:val="single" w:sz="4" w:space="0" w:color="auto"/>
              <w:right w:val="single" w:sz="4" w:space="0" w:color="auto"/>
            </w:tcBorders>
            <w:shd w:val="clear" w:color="000000" w:fill="FFFFFF"/>
            <w:vAlign w:val="bottom"/>
            <w:hideMark/>
          </w:tcPr>
          <w:p w:rsidR="009028F9" w:rsidRPr="0048050E" w:rsidRDefault="009028F9" w:rsidP="000D628F">
            <w:pPr>
              <w:ind w:right="-199"/>
              <w:rPr>
                <w:rFonts w:ascii="Tahoma" w:hAnsi="Tahoma" w:cs="Tahoma"/>
                <w:sz w:val="20"/>
                <w:szCs w:val="20"/>
              </w:rPr>
            </w:pPr>
            <w:r w:rsidRPr="0048050E">
              <w:rPr>
                <w:rFonts w:ascii="Tahoma" w:hAnsi="Tahoma" w:cs="Tahoma"/>
                <w:sz w:val="20"/>
                <w:szCs w:val="20"/>
              </w:rPr>
              <w:t>Αποπληρωμή τραπεζικών υποχρεώσεων θυγατρικών εταιρειών</w:t>
            </w:r>
          </w:p>
        </w:tc>
        <w:tc>
          <w:tcPr>
            <w:tcW w:w="1074" w:type="pct"/>
            <w:tcBorders>
              <w:top w:val="nil"/>
              <w:left w:val="nil"/>
              <w:bottom w:val="single" w:sz="4" w:space="0" w:color="auto"/>
              <w:right w:val="single" w:sz="4" w:space="0" w:color="auto"/>
            </w:tcBorders>
            <w:shd w:val="clear" w:color="000000" w:fill="FFFFFF"/>
            <w:vAlign w:val="bottom"/>
            <w:hideMark/>
          </w:tcPr>
          <w:p w:rsidR="009028F9" w:rsidRPr="0048050E" w:rsidRDefault="009028F9" w:rsidP="000D628F">
            <w:pPr>
              <w:ind w:right="-199"/>
              <w:jc w:val="right"/>
              <w:rPr>
                <w:rFonts w:ascii="Tahoma" w:hAnsi="Tahoma" w:cs="Tahoma"/>
                <w:sz w:val="18"/>
                <w:szCs w:val="18"/>
              </w:rPr>
            </w:pPr>
            <w:r w:rsidRPr="0048050E">
              <w:rPr>
                <w:rFonts w:ascii="Tahoma" w:hAnsi="Tahoma" w:cs="Tahoma"/>
                <w:sz w:val="18"/>
                <w:szCs w:val="18"/>
              </w:rPr>
              <w:t>29.581,35</w:t>
            </w:r>
          </w:p>
        </w:tc>
        <w:tc>
          <w:tcPr>
            <w:tcW w:w="1074" w:type="pct"/>
            <w:tcBorders>
              <w:top w:val="nil"/>
              <w:left w:val="nil"/>
              <w:bottom w:val="single" w:sz="4" w:space="0" w:color="auto"/>
              <w:right w:val="single" w:sz="4" w:space="0" w:color="auto"/>
            </w:tcBorders>
            <w:shd w:val="clear" w:color="000000" w:fill="FFFFFF"/>
            <w:noWrap/>
            <w:vAlign w:val="bottom"/>
            <w:hideMark/>
          </w:tcPr>
          <w:p w:rsidR="009028F9" w:rsidRPr="0048050E" w:rsidRDefault="009028F9" w:rsidP="000D628F">
            <w:pPr>
              <w:ind w:right="-199"/>
              <w:jc w:val="right"/>
              <w:rPr>
                <w:rFonts w:ascii="Tahoma" w:hAnsi="Tahoma" w:cs="Tahoma"/>
                <w:sz w:val="18"/>
                <w:szCs w:val="18"/>
              </w:rPr>
            </w:pPr>
            <w:r w:rsidRPr="0048050E">
              <w:rPr>
                <w:rFonts w:ascii="Tahoma" w:hAnsi="Tahoma" w:cs="Tahoma"/>
                <w:sz w:val="18"/>
                <w:szCs w:val="18"/>
              </w:rPr>
              <w:t>29.581,35</w:t>
            </w:r>
          </w:p>
        </w:tc>
        <w:tc>
          <w:tcPr>
            <w:tcW w:w="754" w:type="pct"/>
            <w:tcBorders>
              <w:top w:val="nil"/>
              <w:left w:val="nil"/>
              <w:bottom w:val="single" w:sz="4" w:space="0" w:color="auto"/>
              <w:right w:val="single" w:sz="8" w:space="0" w:color="auto"/>
            </w:tcBorders>
            <w:shd w:val="clear" w:color="000000" w:fill="FFFFFF"/>
            <w:noWrap/>
            <w:vAlign w:val="bottom"/>
            <w:hideMark/>
          </w:tcPr>
          <w:p w:rsidR="009028F9" w:rsidRPr="0048050E" w:rsidRDefault="009028F9" w:rsidP="000D628F">
            <w:pPr>
              <w:ind w:right="-199"/>
              <w:jc w:val="right"/>
              <w:rPr>
                <w:rFonts w:ascii="Tahoma" w:hAnsi="Tahoma" w:cs="Tahoma"/>
                <w:sz w:val="18"/>
                <w:szCs w:val="18"/>
              </w:rPr>
            </w:pPr>
            <w:r w:rsidRPr="0048050E">
              <w:rPr>
                <w:rFonts w:ascii="Tahoma" w:hAnsi="Tahoma" w:cs="Tahoma"/>
                <w:sz w:val="18"/>
                <w:szCs w:val="18"/>
              </w:rPr>
              <w:t>0,00</w:t>
            </w:r>
          </w:p>
        </w:tc>
      </w:tr>
      <w:tr w:rsidR="009028F9" w:rsidRPr="0048050E" w:rsidTr="009028F9">
        <w:trPr>
          <w:trHeight w:val="649"/>
        </w:trPr>
        <w:tc>
          <w:tcPr>
            <w:tcW w:w="2097" w:type="pct"/>
            <w:tcBorders>
              <w:top w:val="nil"/>
              <w:left w:val="single" w:sz="8" w:space="0" w:color="auto"/>
              <w:bottom w:val="single" w:sz="4" w:space="0" w:color="auto"/>
              <w:right w:val="single" w:sz="4" w:space="0" w:color="auto"/>
            </w:tcBorders>
            <w:shd w:val="clear" w:color="000000" w:fill="FFFFFF"/>
            <w:vAlign w:val="bottom"/>
            <w:hideMark/>
          </w:tcPr>
          <w:p w:rsidR="009028F9" w:rsidRPr="0048050E" w:rsidRDefault="009028F9" w:rsidP="000D628F">
            <w:pPr>
              <w:ind w:right="-199"/>
              <w:rPr>
                <w:rFonts w:ascii="Tahoma" w:hAnsi="Tahoma" w:cs="Tahoma"/>
                <w:sz w:val="20"/>
                <w:szCs w:val="20"/>
              </w:rPr>
            </w:pPr>
            <w:r w:rsidRPr="0048050E">
              <w:rPr>
                <w:rFonts w:ascii="Tahoma" w:hAnsi="Tahoma" w:cs="Tahoma"/>
                <w:sz w:val="20"/>
                <w:szCs w:val="20"/>
              </w:rPr>
              <w:t>Πληρωμή προμηθευτών, εμπορικών και λοιπών υποχρεώσεων</w:t>
            </w:r>
          </w:p>
        </w:tc>
        <w:tc>
          <w:tcPr>
            <w:tcW w:w="1074" w:type="pct"/>
            <w:tcBorders>
              <w:top w:val="nil"/>
              <w:left w:val="nil"/>
              <w:bottom w:val="single" w:sz="4" w:space="0" w:color="auto"/>
              <w:right w:val="single" w:sz="4" w:space="0" w:color="auto"/>
            </w:tcBorders>
            <w:shd w:val="clear" w:color="000000" w:fill="FFFFFF"/>
            <w:vAlign w:val="bottom"/>
            <w:hideMark/>
          </w:tcPr>
          <w:p w:rsidR="009028F9" w:rsidRPr="0048050E" w:rsidRDefault="009028F9" w:rsidP="000D628F">
            <w:pPr>
              <w:ind w:right="-199"/>
              <w:jc w:val="right"/>
              <w:rPr>
                <w:rFonts w:ascii="Tahoma" w:hAnsi="Tahoma" w:cs="Tahoma"/>
                <w:sz w:val="18"/>
                <w:szCs w:val="18"/>
              </w:rPr>
            </w:pPr>
            <w:r w:rsidRPr="0048050E">
              <w:rPr>
                <w:rFonts w:ascii="Tahoma" w:hAnsi="Tahoma" w:cs="Tahoma"/>
                <w:sz w:val="18"/>
                <w:szCs w:val="18"/>
              </w:rPr>
              <w:t>2.712.440,30</w:t>
            </w:r>
          </w:p>
        </w:tc>
        <w:tc>
          <w:tcPr>
            <w:tcW w:w="1074" w:type="pct"/>
            <w:tcBorders>
              <w:top w:val="nil"/>
              <w:left w:val="nil"/>
              <w:bottom w:val="single" w:sz="4" w:space="0" w:color="auto"/>
              <w:right w:val="single" w:sz="4" w:space="0" w:color="auto"/>
            </w:tcBorders>
            <w:shd w:val="clear" w:color="000000" w:fill="FFFFFF"/>
            <w:noWrap/>
            <w:vAlign w:val="bottom"/>
            <w:hideMark/>
          </w:tcPr>
          <w:p w:rsidR="009028F9" w:rsidRPr="0048050E" w:rsidRDefault="009028F9" w:rsidP="000D628F">
            <w:pPr>
              <w:ind w:right="-199"/>
              <w:jc w:val="right"/>
              <w:rPr>
                <w:rFonts w:ascii="Tahoma" w:hAnsi="Tahoma" w:cs="Tahoma"/>
                <w:sz w:val="18"/>
                <w:szCs w:val="18"/>
              </w:rPr>
            </w:pPr>
            <w:r w:rsidRPr="0048050E">
              <w:rPr>
                <w:rFonts w:ascii="Tahoma" w:hAnsi="Tahoma" w:cs="Tahoma"/>
                <w:sz w:val="18"/>
                <w:szCs w:val="18"/>
              </w:rPr>
              <w:t>2.712.440,30</w:t>
            </w:r>
          </w:p>
        </w:tc>
        <w:tc>
          <w:tcPr>
            <w:tcW w:w="754" w:type="pct"/>
            <w:tcBorders>
              <w:top w:val="nil"/>
              <w:left w:val="nil"/>
              <w:bottom w:val="single" w:sz="4" w:space="0" w:color="auto"/>
              <w:right w:val="single" w:sz="8" w:space="0" w:color="auto"/>
            </w:tcBorders>
            <w:shd w:val="clear" w:color="000000" w:fill="FFFFFF"/>
            <w:noWrap/>
            <w:vAlign w:val="bottom"/>
            <w:hideMark/>
          </w:tcPr>
          <w:p w:rsidR="009028F9" w:rsidRPr="0048050E" w:rsidRDefault="009028F9" w:rsidP="000D628F">
            <w:pPr>
              <w:ind w:right="-199"/>
              <w:jc w:val="right"/>
              <w:rPr>
                <w:rFonts w:ascii="Tahoma" w:hAnsi="Tahoma" w:cs="Tahoma"/>
                <w:sz w:val="18"/>
                <w:szCs w:val="18"/>
              </w:rPr>
            </w:pPr>
            <w:r w:rsidRPr="0048050E">
              <w:rPr>
                <w:rFonts w:ascii="Tahoma" w:hAnsi="Tahoma" w:cs="Tahoma"/>
                <w:sz w:val="18"/>
                <w:szCs w:val="18"/>
              </w:rPr>
              <w:t>0,00</w:t>
            </w:r>
          </w:p>
        </w:tc>
      </w:tr>
      <w:tr w:rsidR="009028F9" w:rsidRPr="0048050E" w:rsidTr="009028F9">
        <w:trPr>
          <w:trHeight w:val="433"/>
        </w:trPr>
        <w:tc>
          <w:tcPr>
            <w:tcW w:w="2097" w:type="pct"/>
            <w:tcBorders>
              <w:top w:val="nil"/>
              <w:left w:val="single" w:sz="8" w:space="0" w:color="auto"/>
              <w:bottom w:val="single" w:sz="8" w:space="0" w:color="auto"/>
              <w:right w:val="single" w:sz="4" w:space="0" w:color="auto"/>
            </w:tcBorders>
            <w:shd w:val="clear" w:color="000000" w:fill="FFFFFF"/>
            <w:noWrap/>
            <w:vAlign w:val="bottom"/>
            <w:hideMark/>
          </w:tcPr>
          <w:p w:rsidR="009028F9" w:rsidRPr="0048050E" w:rsidRDefault="009028F9" w:rsidP="000D628F">
            <w:pPr>
              <w:ind w:right="-199"/>
              <w:rPr>
                <w:rFonts w:ascii="Tahoma" w:hAnsi="Tahoma" w:cs="Tahoma"/>
                <w:b/>
                <w:bCs/>
                <w:sz w:val="18"/>
                <w:szCs w:val="18"/>
              </w:rPr>
            </w:pPr>
            <w:r w:rsidRPr="0048050E">
              <w:rPr>
                <w:rFonts w:ascii="Tahoma" w:hAnsi="Tahoma" w:cs="Tahoma"/>
                <w:b/>
                <w:bCs/>
                <w:sz w:val="18"/>
                <w:szCs w:val="18"/>
              </w:rPr>
              <w:t>ΣΥΝΟΛΟ</w:t>
            </w:r>
          </w:p>
        </w:tc>
        <w:tc>
          <w:tcPr>
            <w:tcW w:w="1074" w:type="pct"/>
            <w:tcBorders>
              <w:top w:val="nil"/>
              <w:left w:val="nil"/>
              <w:bottom w:val="single" w:sz="8" w:space="0" w:color="auto"/>
              <w:right w:val="single" w:sz="4" w:space="0" w:color="auto"/>
            </w:tcBorders>
            <w:shd w:val="clear" w:color="000000" w:fill="FFFFFF"/>
            <w:noWrap/>
            <w:vAlign w:val="bottom"/>
            <w:hideMark/>
          </w:tcPr>
          <w:p w:rsidR="009028F9" w:rsidRPr="0048050E" w:rsidRDefault="009028F9" w:rsidP="000D628F">
            <w:pPr>
              <w:ind w:right="-199"/>
              <w:jc w:val="right"/>
              <w:rPr>
                <w:rFonts w:ascii="Tahoma" w:hAnsi="Tahoma" w:cs="Tahoma"/>
                <w:b/>
                <w:bCs/>
                <w:sz w:val="18"/>
                <w:szCs w:val="18"/>
              </w:rPr>
            </w:pPr>
            <w:r w:rsidRPr="0048050E">
              <w:rPr>
                <w:rFonts w:ascii="Tahoma" w:hAnsi="Tahoma" w:cs="Tahoma"/>
                <w:b/>
                <w:bCs/>
                <w:sz w:val="18"/>
                <w:szCs w:val="18"/>
                <w:lang w:val="en-US"/>
              </w:rPr>
              <w:t>3.782.695,00</w:t>
            </w:r>
          </w:p>
        </w:tc>
        <w:tc>
          <w:tcPr>
            <w:tcW w:w="1074" w:type="pct"/>
            <w:tcBorders>
              <w:top w:val="nil"/>
              <w:left w:val="nil"/>
              <w:bottom w:val="single" w:sz="8" w:space="0" w:color="auto"/>
              <w:right w:val="single" w:sz="4" w:space="0" w:color="auto"/>
            </w:tcBorders>
            <w:shd w:val="clear" w:color="000000" w:fill="FFFFFF"/>
            <w:noWrap/>
            <w:vAlign w:val="bottom"/>
            <w:hideMark/>
          </w:tcPr>
          <w:p w:rsidR="009028F9" w:rsidRPr="0048050E" w:rsidRDefault="009028F9" w:rsidP="000D628F">
            <w:pPr>
              <w:ind w:right="-199"/>
              <w:jc w:val="right"/>
              <w:rPr>
                <w:rFonts w:ascii="Tahoma" w:hAnsi="Tahoma" w:cs="Tahoma"/>
                <w:b/>
                <w:bCs/>
                <w:sz w:val="18"/>
                <w:szCs w:val="18"/>
              </w:rPr>
            </w:pPr>
            <w:r w:rsidRPr="0048050E">
              <w:rPr>
                <w:rFonts w:ascii="Tahoma" w:hAnsi="Tahoma" w:cs="Tahoma"/>
                <w:b/>
                <w:bCs/>
                <w:sz w:val="18"/>
                <w:szCs w:val="18"/>
                <w:lang w:val="en-US"/>
              </w:rPr>
              <w:t>3.782.695,00</w:t>
            </w:r>
          </w:p>
        </w:tc>
        <w:tc>
          <w:tcPr>
            <w:tcW w:w="754" w:type="pct"/>
            <w:tcBorders>
              <w:top w:val="nil"/>
              <w:left w:val="nil"/>
              <w:bottom w:val="single" w:sz="8" w:space="0" w:color="auto"/>
              <w:right w:val="single" w:sz="8" w:space="0" w:color="auto"/>
            </w:tcBorders>
            <w:shd w:val="clear" w:color="000000" w:fill="FFFFFF"/>
            <w:noWrap/>
            <w:vAlign w:val="bottom"/>
            <w:hideMark/>
          </w:tcPr>
          <w:p w:rsidR="009028F9" w:rsidRPr="0048050E" w:rsidRDefault="009028F9" w:rsidP="000D628F">
            <w:pPr>
              <w:ind w:right="-199"/>
              <w:jc w:val="right"/>
              <w:rPr>
                <w:rFonts w:ascii="Tahoma" w:hAnsi="Tahoma" w:cs="Tahoma"/>
                <w:b/>
                <w:bCs/>
                <w:sz w:val="18"/>
                <w:szCs w:val="18"/>
              </w:rPr>
            </w:pPr>
            <w:r w:rsidRPr="0048050E">
              <w:rPr>
                <w:rFonts w:ascii="Tahoma" w:hAnsi="Tahoma" w:cs="Tahoma"/>
                <w:b/>
                <w:bCs/>
                <w:sz w:val="18"/>
                <w:szCs w:val="18"/>
              </w:rPr>
              <w:t>0,00</w:t>
            </w:r>
          </w:p>
        </w:tc>
      </w:tr>
    </w:tbl>
    <w:p w:rsidR="00DF1CED" w:rsidRPr="000D628F" w:rsidRDefault="00DF1CED" w:rsidP="000D628F">
      <w:pPr>
        <w:ind w:right="-199"/>
        <w:jc w:val="both"/>
        <w:rPr>
          <w:rFonts w:ascii="Cambria" w:hAnsi="Cambria"/>
        </w:rPr>
      </w:pPr>
    </w:p>
    <w:p w:rsidR="00863187" w:rsidRPr="0037224D" w:rsidRDefault="009028F9" w:rsidP="000D628F">
      <w:pPr>
        <w:ind w:right="-199"/>
        <w:jc w:val="center"/>
        <w:rPr>
          <w:rFonts w:ascii="Cambria" w:hAnsi="Cambria"/>
          <w:b/>
        </w:rPr>
      </w:pPr>
      <w:r w:rsidRPr="0037224D">
        <w:rPr>
          <w:rFonts w:ascii="Cambria" w:hAnsi="Cambria"/>
          <w:b/>
        </w:rPr>
        <w:t xml:space="preserve">Μαρούσι, </w:t>
      </w:r>
      <w:r w:rsidRPr="0037224D">
        <w:rPr>
          <w:rFonts w:ascii="Cambria" w:hAnsi="Cambria"/>
          <w:b/>
          <w:lang w:val="en-US"/>
        </w:rPr>
        <w:t>09</w:t>
      </w:r>
      <w:r w:rsidR="00F64DAC" w:rsidRPr="0037224D">
        <w:rPr>
          <w:rFonts w:ascii="Cambria" w:hAnsi="Cambria"/>
          <w:b/>
        </w:rPr>
        <w:t xml:space="preserve"> Ιουνίου 201</w:t>
      </w:r>
      <w:r w:rsidRPr="0037224D">
        <w:rPr>
          <w:rFonts w:ascii="Cambria" w:hAnsi="Cambria"/>
          <w:b/>
          <w:lang w:val="en-US"/>
        </w:rPr>
        <w:t>6</w:t>
      </w:r>
      <w:r w:rsidR="00863187" w:rsidRPr="0037224D">
        <w:rPr>
          <w:rFonts w:ascii="Cambria" w:hAnsi="Cambria"/>
          <w:b/>
        </w:rPr>
        <w:t xml:space="preserve"> </w:t>
      </w:r>
    </w:p>
    <w:p w:rsidR="00863187" w:rsidRPr="00DF1CED" w:rsidRDefault="00863187" w:rsidP="000D628F">
      <w:pPr>
        <w:ind w:right="-199"/>
        <w:jc w:val="center"/>
        <w:rPr>
          <w:rFonts w:ascii="Cambria" w:hAnsi="Cambria"/>
        </w:rPr>
      </w:pPr>
      <w:r w:rsidRPr="0037224D">
        <w:rPr>
          <w:rFonts w:ascii="Cambria" w:hAnsi="Cambria"/>
          <w:b/>
        </w:rPr>
        <w:t>Το Διοικητικό Συμβούλιο</w:t>
      </w:r>
      <w:r w:rsidRPr="00DF1CED">
        <w:rPr>
          <w:rFonts w:ascii="Cambria" w:hAnsi="Cambria"/>
        </w:rPr>
        <w:t xml:space="preserve"> </w:t>
      </w:r>
    </w:p>
    <w:sectPr w:rsidR="00863187" w:rsidRPr="00DF1CED" w:rsidSect="0040035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A565C"/>
    <w:multiLevelType w:val="hybridMultilevel"/>
    <w:tmpl w:val="9DD46854"/>
    <w:lvl w:ilvl="0" w:tplc="04080001">
      <w:start w:val="1"/>
      <w:numFmt w:val="bullet"/>
      <w:lvlText w:val=""/>
      <w:lvlJc w:val="left"/>
      <w:pPr>
        <w:ind w:left="1434" w:hanging="360"/>
      </w:pPr>
      <w:rPr>
        <w:rFonts w:ascii="Symbol" w:hAnsi="Symbol" w:hint="default"/>
      </w:rPr>
    </w:lvl>
    <w:lvl w:ilvl="1" w:tplc="04080003" w:tentative="1">
      <w:start w:val="1"/>
      <w:numFmt w:val="bullet"/>
      <w:lvlText w:val="o"/>
      <w:lvlJc w:val="left"/>
      <w:pPr>
        <w:ind w:left="2154" w:hanging="360"/>
      </w:pPr>
      <w:rPr>
        <w:rFonts w:ascii="Courier New" w:hAnsi="Courier New" w:hint="default"/>
      </w:rPr>
    </w:lvl>
    <w:lvl w:ilvl="2" w:tplc="04080005" w:tentative="1">
      <w:start w:val="1"/>
      <w:numFmt w:val="bullet"/>
      <w:lvlText w:val=""/>
      <w:lvlJc w:val="left"/>
      <w:pPr>
        <w:ind w:left="2874" w:hanging="360"/>
      </w:pPr>
      <w:rPr>
        <w:rFonts w:ascii="Wingdings" w:hAnsi="Wingdings" w:hint="default"/>
      </w:rPr>
    </w:lvl>
    <w:lvl w:ilvl="3" w:tplc="04080001" w:tentative="1">
      <w:start w:val="1"/>
      <w:numFmt w:val="bullet"/>
      <w:lvlText w:val=""/>
      <w:lvlJc w:val="left"/>
      <w:pPr>
        <w:ind w:left="3594" w:hanging="360"/>
      </w:pPr>
      <w:rPr>
        <w:rFonts w:ascii="Symbol" w:hAnsi="Symbol" w:hint="default"/>
      </w:rPr>
    </w:lvl>
    <w:lvl w:ilvl="4" w:tplc="04080003" w:tentative="1">
      <w:start w:val="1"/>
      <w:numFmt w:val="bullet"/>
      <w:lvlText w:val="o"/>
      <w:lvlJc w:val="left"/>
      <w:pPr>
        <w:ind w:left="4314" w:hanging="360"/>
      </w:pPr>
      <w:rPr>
        <w:rFonts w:ascii="Courier New" w:hAnsi="Courier New" w:hint="default"/>
      </w:rPr>
    </w:lvl>
    <w:lvl w:ilvl="5" w:tplc="04080005" w:tentative="1">
      <w:start w:val="1"/>
      <w:numFmt w:val="bullet"/>
      <w:lvlText w:val=""/>
      <w:lvlJc w:val="left"/>
      <w:pPr>
        <w:ind w:left="5034" w:hanging="360"/>
      </w:pPr>
      <w:rPr>
        <w:rFonts w:ascii="Wingdings" w:hAnsi="Wingdings" w:hint="default"/>
      </w:rPr>
    </w:lvl>
    <w:lvl w:ilvl="6" w:tplc="04080001" w:tentative="1">
      <w:start w:val="1"/>
      <w:numFmt w:val="bullet"/>
      <w:lvlText w:val=""/>
      <w:lvlJc w:val="left"/>
      <w:pPr>
        <w:ind w:left="5754" w:hanging="360"/>
      </w:pPr>
      <w:rPr>
        <w:rFonts w:ascii="Symbol" w:hAnsi="Symbol" w:hint="default"/>
      </w:rPr>
    </w:lvl>
    <w:lvl w:ilvl="7" w:tplc="04080003" w:tentative="1">
      <w:start w:val="1"/>
      <w:numFmt w:val="bullet"/>
      <w:lvlText w:val="o"/>
      <w:lvlJc w:val="left"/>
      <w:pPr>
        <w:ind w:left="6474" w:hanging="360"/>
      </w:pPr>
      <w:rPr>
        <w:rFonts w:ascii="Courier New" w:hAnsi="Courier New" w:hint="default"/>
      </w:rPr>
    </w:lvl>
    <w:lvl w:ilvl="8" w:tplc="04080005" w:tentative="1">
      <w:start w:val="1"/>
      <w:numFmt w:val="bullet"/>
      <w:lvlText w:val=""/>
      <w:lvlJc w:val="left"/>
      <w:pPr>
        <w:ind w:left="7194" w:hanging="360"/>
      </w:pPr>
      <w:rPr>
        <w:rFonts w:ascii="Wingdings" w:hAnsi="Wingdings" w:hint="default"/>
      </w:rPr>
    </w:lvl>
  </w:abstractNum>
  <w:abstractNum w:abstractNumId="1">
    <w:nsid w:val="4C470FA2"/>
    <w:multiLevelType w:val="hybridMultilevel"/>
    <w:tmpl w:val="FD82048C"/>
    <w:lvl w:ilvl="0" w:tplc="04080001">
      <w:start w:val="1"/>
      <w:numFmt w:val="bullet"/>
      <w:lvlText w:val=""/>
      <w:lvlJc w:val="left"/>
      <w:pPr>
        <w:ind w:left="1494" w:hanging="360"/>
      </w:pPr>
      <w:rPr>
        <w:rFonts w:ascii="Symbol" w:hAnsi="Symbol" w:hint="default"/>
      </w:rPr>
    </w:lvl>
    <w:lvl w:ilvl="1" w:tplc="04080003">
      <w:start w:val="1"/>
      <w:numFmt w:val="bullet"/>
      <w:lvlText w:val="o"/>
      <w:lvlJc w:val="left"/>
      <w:pPr>
        <w:ind w:left="2214" w:hanging="360"/>
      </w:pPr>
      <w:rPr>
        <w:rFonts w:ascii="Courier New" w:hAnsi="Courier New" w:hint="default"/>
      </w:rPr>
    </w:lvl>
    <w:lvl w:ilvl="2" w:tplc="04080005" w:tentative="1">
      <w:start w:val="1"/>
      <w:numFmt w:val="bullet"/>
      <w:lvlText w:val=""/>
      <w:lvlJc w:val="left"/>
      <w:pPr>
        <w:ind w:left="2934" w:hanging="360"/>
      </w:pPr>
      <w:rPr>
        <w:rFonts w:ascii="Wingdings" w:hAnsi="Wingdings" w:hint="default"/>
      </w:rPr>
    </w:lvl>
    <w:lvl w:ilvl="3" w:tplc="04080001" w:tentative="1">
      <w:start w:val="1"/>
      <w:numFmt w:val="bullet"/>
      <w:lvlText w:val=""/>
      <w:lvlJc w:val="left"/>
      <w:pPr>
        <w:ind w:left="3654" w:hanging="360"/>
      </w:pPr>
      <w:rPr>
        <w:rFonts w:ascii="Symbol" w:hAnsi="Symbol" w:hint="default"/>
      </w:rPr>
    </w:lvl>
    <w:lvl w:ilvl="4" w:tplc="04080003" w:tentative="1">
      <w:start w:val="1"/>
      <w:numFmt w:val="bullet"/>
      <w:lvlText w:val="o"/>
      <w:lvlJc w:val="left"/>
      <w:pPr>
        <w:ind w:left="4374" w:hanging="360"/>
      </w:pPr>
      <w:rPr>
        <w:rFonts w:ascii="Courier New" w:hAnsi="Courier New" w:hint="default"/>
      </w:rPr>
    </w:lvl>
    <w:lvl w:ilvl="5" w:tplc="04080005" w:tentative="1">
      <w:start w:val="1"/>
      <w:numFmt w:val="bullet"/>
      <w:lvlText w:val=""/>
      <w:lvlJc w:val="left"/>
      <w:pPr>
        <w:ind w:left="5094" w:hanging="360"/>
      </w:pPr>
      <w:rPr>
        <w:rFonts w:ascii="Wingdings" w:hAnsi="Wingdings" w:hint="default"/>
      </w:rPr>
    </w:lvl>
    <w:lvl w:ilvl="6" w:tplc="04080001" w:tentative="1">
      <w:start w:val="1"/>
      <w:numFmt w:val="bullet"/>
      <w:lvlText w:val=""/>
      <w:lvlJc w:val="left"/>
      <w:pPr>
        <w:ind w:left="5814" w:hanging="360"/>
      </w:pPr>
      <w:rPr>
        <w:rFonts w:ascii="Symbol" w:hAnsi="Symbol" w:hint="default"/>
      </w:rPr>
    </w:lvl>
    <w:lvl w:ilvl="7" w:tplc="04080003" w:tentative="1">
      <w:start w:val="1"/>
      <w:numFmt w:val="bullet"/>
      <w:lvlText w:val="o"/>
      <w:lvlJc w:val="left"/>
      <w:pPr>
        <w:ind w:left="6534" w:hanging="360"/>
      </w:pPr>
      <w:rPr>
        <w:rFonts w:ascii="Courier New" w:hAnsi="Courier New" w:hint="default"/>
      </w:rPr>
    </w:lvl>
    <w:lvl w:ilvl="8" w:tplc="04080005" w:tentative="1">
      <w:start w:val="1"/>
      <w:numFmt w:val="bullet"/>
      <w:lvlText w:val=""/>
      <w:lvlJc w:val="left"/>
      <w:pPr>
        <w:ind w:left="725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6CE3"/>
    <w:rsid w:val="000D628F"/>
    <w:rsid w:val="000F4762"/>
    <w:rsid w:val="00202526"/>
    <w:rsid w:val="002E0743"/>
    <w:rsid w:val="0030168E"/>
    <w:rsid w:val="0037224D"/>
    <w:rsid w:val="00391B30"/>
    <w:rsid w:val="00400359"/>
    <w:rsid w:val="00404CF8"/>
    <w:rsid w:val="00447D26"/>
    <w:rsid w:val="00495B39"/>
    <w:rsid w:val="004A5568"/>
    <w:rsid w:val="004B2681"/>
    <w:rsid w:val="005F7C6B"/>
    <w:rsid w:val="00617CB7"/>
    <w:rsid w:val="006A3C81"/>
    <w:rsid w:val="00750FCA"/>
    <w:rsid w:val="00777774"/>
    <w:rsid w:val="007D617B"/>
    <w:rsid w:val="008137FA"/>
    <w:rsid w:val="00863187"/>
    <w:rsid w:val="009028F9"/>
    <w:rsid w:val="009A0CD2"/>
    <w:rsid w:val="009A5C51"/>
    <w:rsid w:val="009F6DB6"/>
    <w:rsid w:val="00A72560"/>
    <w:rsid w:val="00AB3818"/>
    <w:rsid w:val="00AC06B4"/>
    <w:rsid w:val="00AD6CE3"/>
    <w:rsid w:val="00B04F22"/>
    <w:rsid w:val="00B31E7F"/>
    <w:rsid w:val="00B345B3"/>
    <w:rsid w:val="00BB56C8"/>
    <w:rsid w:val="00BE4B9C"/>
    <w:rsid w:val="00C97A67"/>
    <w:rsid w:val="00CF2F60"/>
    <w:rsid w:val="00D63BBA"/>
    <w:rsid w:val="00DE2435"/>
    <w:rsid w:val="00DE72F4"/>
    <w:rsid w:val="00DF1CED"/>
    <w:rsid w:val="00DF4778"/>
    <w:rsid w:val="00DF4918"/>
    <w:rsid w:val="00E66A68"/>
    <w:rsid w:val="00E90DCB"/>
    <w:rsid w:val="00F0470F"/>
    <w:rsid w:val="00F418FD"/>
    <w:rsid w:val="00F64DAC"/>
    <w:rsid w:val="00F821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0359"/>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9A5C51"/>
    <w:pPr>
      <w:spacing w:before="120" w:after="120"/>
      <w:ind w:left="720"/>
      <w:contextualSpacing/>
      <w:jc w:val="both"/>
    </w:pPr>
  </w:style>
  <w:style w:type="paragraph" w:styleId="a3">
    <w:name w:val="Balloon Text"/>
    <w:basedOn w:val="a"/>
    <w:link w:val="Char"/>
    <w:semiHidden/>
    <w:rsid w:val="00E90DCB"/>
    <w:rPr>
      <w:rFonts w:ascii="Tahoma" w:hAnsi="Tahoma" w:cs="Tahoma"/>
      <w:sz w:val="16"/>
      <w:szCs w:val="16"/>
    </w:rPr>
  </w:style>
  <w:style w:type="character" w:customStyle="1" w:styleId="Char">
    <w:name w:val="Κείμενο πλαισίου Char"/>
    <w:basedOn w:val="a0"/>
    <w:link w:val="a3"/>
    <w:semiHidden/>
    <w:locked/>
    <w:rPr>
      <w:rFonts w:ascii="Times New Roman" w:hAnsi="Times New Roman" w:cs="Times New Roman"/>
      <w:sz w:val="2"/>
      <w:lang w:eastAsia="en-US"/>
    </w:rPr>
  </w:style>
  <w:style w:type="paragraph" w:styleId="a4">
    <w:name w:val="List Paragraph"/>
    <w:basedOn w:val="a"/>
    <w:qFormat/>
    <w:rsid w:val="00391B30"/>
    <w:pPr>
      <w:spacing w:before="120" w:after="120"/>
      <w:ind w:left="720"/>
      <w:contextualSpacing/>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5103</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ΕΚΘΕΣΗ ΤΟΥ ΔΙΟΙΚΗΤΙΚΟΥ ΣΥΜΒΟΥΛΙΟΥ</vt:lpstr>
    </vt:vector>
  </TitlesOfParts>
  <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ΕΚΘΕΣΗ ΤΟΥ ΔΙΟΙΚΗΤΙΚΟΥ ΣΥΜΒΟΥΛΙΟΥ</dc:title>
  <dc:creator>ggritzalis</dc:creator>
  <cp:lastModifiedBy>sTOLIS</cp:lastModifiedBy>
  <cp:revision>2</cp:revision>
  <cp:lastPrinted>2013-06-26T08:38:00Z</cp:lastPrinted>
  <dcterms:created xsi:type="dcterms:W3CDTF">2016-06-09T16:15:00Z</dcterms:created>
  <dcterms:modified xsi:type="dcterms:W3CDTF">2016-06-09T16:15:00Z</dcterms:modified>
</cp:coreProperties>
</file>