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3F" w:rsidRDefault="00451E40">
      <w:pPr>
        <w:pStyle w:val="Default"/>
        <w:rPr>
          <w:b/>
          <w:bCs/>
          <w:sz w:val="20"/>
          <w:szCs w:val="20"/>
        </w:rPr>
      </w:pPr>
      <w:r>
        <w:rPr>
          <w:noProof/>
          <w:lang w:eastAsia="el-GR"/>
        </w:rPr>
        <w:drawing>
          <wp:inline distT="0" distB="0" distL="0" distR="0">
            <wp:extent cx="1741170" cy="33401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741170" cy="334010"/>
                    </a:xfrm>
                    <a:prstGeom prst="rect">
                      <a:avLst/>
                    </a:prstGeom>
                    <a:noFill/>
                    <a:ln w="9525">
                      <a:noFill/>
                      <a:miter lim="800000"/>
                      <a:headEnd/>
                      <a:tailEnd/>
                    </a:ln>
                  </pic:spPr>
                </pic:pic>
              </a:graphicData>
            </a:graphic>
          </wp:inline>
        </w:drawing>
      </w:r>
    </w:p>
    <w:p w:rsidR="00DD293F" w:rsidRDefault="00DD293F">
      <w:pPr>
        <w:pStyle w:val="Default"/>
        <w:jc w:val="center"/>
        <w:rPr>
          <w:b/>
          <w:bCs/>
          <w:sz w:val="20"/>
          <w:szCs w:val="20"/>
        </w:rPr>
      </w:pPr>
    </w:p>
    <w:p w:rsidR="00DD293F" w:rsidRDefault="00DD293F">
      <w:pPr>
        <w:pStyle w:val="Default"/>
        <w:jc w:val="center"/>
        <w:rPr>
          <w:b/>
          <w:bCs/>
          <w:sz w:val="22"/>
          <w:szCs w:val="22"/>
        </w:rPr>
      </w:pPr>
    </w:p>
    <w:p w:rsidR="00DD293F" w:rsidRPr="009C5FDF" w:rsidRDefault="00DD293F">
      <w:pPr>
        <w:pStyle w:val="Default"/>
        <w:jc w:val="center"/>
        <w:rPr>
          <w:b/>
          <w:bCs/>
          <w:sz w:val="22"/>
          <w:szCs w:val="22"/>
        </w:rPr>
      </w:pPr>
      <w:r>
        <w:rPr>
          <w:b/>
          <w:bCs/>
          <w:sz w:val="22"/>
          <w:szCs w:val="22"/>
        </w:rPr>
        <w:t xml:space="preserve">ΔΕΛΤΙΟ ΤΥΠΟΥ ΤΗΣ </w:t>
      </w:r>
      <w:r w:rsidR="00651960" w:rsidRPr="00F14883">
        <w:rPr>
          <w:b/>
          <w:bCs/>
          <w:sz w:val="22"/>
          <w:szCs w:val="22"/>
        </w:rPr>
        <w:t>31</w:t>
      </w:r>
      <w:r>
        <w:rPr>
          <w:b/>
          <w:bCs/>
          <w:sz w:val="22"/>
          <w:szCs w:val="22"/>
        </w:rPr>
        <w:t>/</w:t>
      </w:r>
      <w:r w:rsidR="00651960" w:rsidRPr="00F14883">
        <w:rPr>
          <w:b/>
          <w:bCs/>
          <w:sz w:val="22"/>
          <w:szCs w:val="22"/>
        </w:rPr>
        <w:t>10</w:t>
      </w:r>
      <w:r>
        <w:rPr>
          <w:b/>
          <w:bCs/>
          <w:sz w:val="22"/>
          <w:szCs w:val="22"/>
        </w:rPr>
        <w:t>/201</w:t>
      </w:r>
      <w:r w:rsidR="009C5FDF" w:rsidRPr="009C5FDF">
        <w:rPr>
          <w:b/>
          <w:bCs/>
          <w:sz w:val="22"/>
          <w:szCs w:val="22"/>
        </w:rPr>
        <w:t>5</w:t>
      </w:r>
    </w:p>
    <w:p w:rsidR="00DD293F" w:rsidRDefault="00DD293F">
      <w:pPr>
        <w:pStyle w:val="Default"/>
        <w:jc w:val="center"/>
        <w:rPr>
          <w:b/>
          <w:bCs/>
          <w:sz w:val="22"/>
          <w:szCs w:val="22"/>
        </w:rPr>
      </w:pPr>
      <w:r>
        <w:rPr>
          <w:b/>
          <w:bCs/>
          <w:sz w:val="22"/>
          <w:szCs w:val="22"/>
        </w:rPr>
        <w:t xml:space="preserve">ΑΝΑΚΟΙΝΩΣΗ ΑΠΟΤΕΛΕΣΜΑΤΩΝ </w:t>
      </w:r>
      <w:r w:rsidR="00FB658B">
        <w:rPr>
          <w:b/>
          <w:bCs/>
          <w:sz w:val="22"/>
          <w:szCs w:val="22"/>
        </w:rPr>
        <w:t>Α’ ΕΞΑ</w:t>
      </w:r>
      <w:r w:rsidR="006B1C81">
        <w:rPr>
          <w:b/>
          <w:bCs/>
          <w:sz w:val="22"/>
          <w:szCs w:val="22"/>
        </w:rPr>
        <w:t>ΜΗΝΟΥ</w:t>
      </w:r>
      <w:r w:rsidR="003209A4">
        <w:rPr>
          <w:b/>
          <w:bCs/>
          <w:sz w:val="22"/>
          <w:szCs w:val="22"/>
        </w:rPr>
        <w:t xml:space="preserve"> 2015</w:t>
      </w:r>
    </w:p>
    <w:p w:rsidR="00DD293F" w:rsidRPr="00FF35E3" w:rsidRDefault="00DD293F">
      <w:pPr>
        <w:pStyle w:val="Default"/>
        <w:jc w:val="center"/>
        <w:rPr>
          <w:b/>
          <w:bCs/>
          <w:sz w:val="22"/>
          <w:szCs w:val="22"/>
        </w:rPr>
      </w:pPr>
      <w:r>
        <w:rPr>
          <w:b/>
          <w:bCs/>
          <w:sz w:val="22"/>
          <w:szCs w:val="22"/>
        </w:rPr>
        <w:t xml:space="preserve">ΤΟΥ ΟΜΙΛΟΥ ΤΗΣ </w:t>
      </w:r>
      <w:r>
        <w:rPr>
          <w:b/>
          <w:bCs/>
          <w:sz w:val="22"/>
          <w:szCs w:val="22"/>
          <w:lang w:val="en-US"/>
        </w:rPr>
        <w:t>ATTICA</w:t>
      </w:r>
      <w:r w:rsidR="00616830" w:rsidRPr="00FF35E3">
        <w:rPr>
          <w:b/>
          <w:bCs/>
          <w:sz w:val="22"/>
          <w:szCs w:val="22"/>
        </w:rPr>
        <w:t xml:space="preserve"> </w:t>
      </w:r>
      <w:r>
        <w:rPr>
          <w:b/>
          <w:bCs/>
          <w:sz w:val="22"/>
          <w:szCs w:val="22"/>
          <w:lang w:val="en-US"/>
        </w:rPr>
        <w:t>BANK</w:t>
      </w:r>
    </w:p>
    <w:p w:rsidR="00616830" w:rsidRDefault="00616830">
      <w:pPr>
        <w:pStyle w:val="Default"/>
        <w:jc w:val="center"/>
        <w:rPr>
          <w:b/>
          <w:bCs/>
          <w:sz w:val="22"/>
          <w:szCs w:val="22"/>
        </w:rPr>
      </w:pPr>
    </w:p>
    <w:p w:rsidR="00651960" w:rsidRPr="00641DCC"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u w:val="single"/>
        </w:rPr>
      </w:pPr>
    </w:p>
    <w:p w:rsidR="005D0625" w:rsidRDefault="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Pr>
          <w:b/>
          <w:bCs/>
          <w:sz w:val="22"/>
          <w:szCs w:val="22"/>
        </w:rPr>
        <w:t xml:space="preserve">Αύξηση 18% στα </w:t>
      </w:r>
      <w:r w:rsidR="00651960" w:rsidRPr="00641DCC">
        <w:rPr>
          <w:b/>
          <w:bCs/>
          <w:sz w:val="22"/>
          <w:szCs w:val="22"/>
        </w:rPr>
        <w:t>Οργανικ</w:t>
      </w:r>
      <w:r>
        <w:rPr>
          <w:b/>
          <w:bCs/>
          <w:sz w:val="22"/>
          <w:szCs w:val="22"/>
        </w:rPr>
        <w:t>ά</w:t>
      </w:r>
      <w:r w:rsidR="00651960" w:rsidRPr="00641DCC">
        <w:rPr>
          <w:b/>
          <w:bCs/>
          <w:sz w:val="22"/>
          <w:szCs w:val="22"/>
        </w:rPr>
        <w:t xml:space="preserve"> κ</w:t>
      </w:r>
      <w:r>
        <w:rPr>
          <w:b/>
          <w:bCs/>
          <w:sz w:val="22"/>
          <w:szCs w:val="22"/>
        </w:rPr>
        <w:t>έρδη (προ προβλέψεων)</w:t>
      </w:r>
    </w:p>
    <w:p w:rsidR="005D0625"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 xml:space="preserve"> </w:t>
      </w:r>
    </w:p>
    <w:p w:rsidR="003C7FE3" w:rsidRPr="00641DCC" w:rsidRDefault="005D062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Pr>
          <w:b/>
          <w:bCs/>
          <w:sz w:val="22"/>
          <w:szCs w:val="22"/>
        </w:rPr>
        <w:t>Σ</w:t>
      </w:r>
      <w:r w:rsidR="008955C5">
        <w:rPr>
          <w:b/>
          <w:bCs/>
          <w:sz w:val="22"/>
          <w:szCs w:val="22"/>
        </w:rPr>
        <w:t xml:space="preserve">τα </w:t>
      </w:r>
      <w:r w:rsidR="00651960" w:rsidRPr="00641DCC">
        <w:rPr>
          <w:b/>
          <w:bCs/>
          <w:sz w:val="22"/>
          <w:szCs w:val="22"/>
        </w:rPr>
        <w:t>4</w:t>
      </w:r>
      <w:r w:rsidR="00767202">
        <w:rPr>
          <w:b/>
          <w:bCs/>
          <w:sz w:val="22"/>
          <w:szCs w:val="22"/>
        </w:rPr>
        <w:t>1</w:t>
      </w:r>
      <w:r w:rsidR="00651960" w:rsidRPr="00641DCC">
        <w:rPr>
          <w:b/>
          <w:bCs/>
          <w:sz w:val="22"/>
          <w:szCs w:val="22"/>
        </w:rPr>
        <w:t>,</w:t>
      </w:r>
      <w:r w:rsidR="00767202">
        <w:rPr>
          <w:b/>
          <w:bCs/>
          <w:sz w:val="22"/>
          <w:szCs w:val="22"/>
        </w:rPr>
        <w:t>1</w:t>
      </w:r>
      <w:r w:rsidR="00651960" w:rsidRPr="00641DCC">
        <w:rPr>
          <w:b/>
          <w:bCs/>
          <w:sz w:val="22"/>
          <w:szCs w:val="22"/>
        </w:rPr>
        <w:t xml:space="preserve"> εκατ. ευρώ </w:t>
      </w:r>
      <w:r w:rsidR="003C7FE3" w:rsidRPr="00641DCC">
        <w:rPr>
          <w:b/>
          <w:bCs/>
          <w:sz w:val="22"/>
          <w:szCs w:val="22"/>
        </w:rPr>
        <w:t xml:space="preserve"> το Α’ εξάμηνο 2015</w:t>
      </w:r>
    </w:p>
    <w:p w:rsidR="00651960" w:rsidRPr="00641DCC"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έναντι 34,7 εκατ. ευρώ την αντίστοιχη συγκριτική περίοδο</w:t>
      </w:r>
    </w:p>
    <w:p w:rsidR="00651960" w:rsidRPr="00641DCC"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p>
    <w:p w:rsidR="008955C5" w:rsidRPr="00641DCC" w:rsidRDefault="008955C5" w:rsidP="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Μείωση λειτουργικών εξόδων 12% σε σχέση με τη συγκριτική περίοδο</w:t>
      </w:r>
    </w:p>
    <w:p w:rsidR="008955C5" w:rsidRDefault="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p>
    <w:p w:rsidR="003C7FE3" w:rsidRPr="00641DCC"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Προβλέψεις</w:t>
      </w:r>
      <w:r w:rsidR="003C7FE3" w:rsidRPr="00641DCC">
        <w:rPr>
          <w:b/>
          <w:bCs/>
          <w:sz w:val="22"/>
          <w:szCs w:val="22"/>
        </w:rPr>
        <w:t xml:space="preserve"> για πιστωτικούς κινδύνους </w:t>
      </w:r>
      <w:r w:rsidRPr="00641DCC">
        <w:rPr>
          <w:b/>
          <w:bCs/>
          <w:sz w:val="22"/>
          <w:szCs w:val="22"/>
        </w:rPr>
        <w:t xml:space="preserve">513 εκατ. ευρώ </w:t>
      </w:r>
    </w:p>
    <w:p w:rsidR="00651960"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το Ά εξάμηνο 2015</w:t>
      </w:r>
    </w:p>
    <w:p w:rsidR="008955C5" w:rsidRPr="00641DCC" w:rsidRDefault="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p>
    <w:p w:rsidR="00651960" w:rsidRDefault="003C7FE3">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Σωρ</w:t>
      </w:r>
      <w:r w:rsidR="00651960" w:rsidRPr="00641DCC">
        <w:rPr>
          <w:b/>
          <w:bCs/>
          <w:sz w:val="22"/>
          <w:szCs w:val="22"/>
        </w:rPr>
        <w:t>ευτικές προβλέψεις 1.056</w:t>
      </w:r>
      <w:r w:rsidRPr="00641DCC">
        <w:rPr>
          <w:b/>
          <w:bCs/>
          <w:sz w:val="22"/>
          <w:szCs w:val="22"/>
        </w:rPr>
        <w:t xml:space="preserve"> εκατ. ευρώ </w:t>
      </w:r>
    </w:p>
    <w:p w:rsidR="008955C5" w:rsidRPr="00641DCC" w:rsidRDefault="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p>
    <w:p w:rsidR="008955C5" w:rsidRDefault="008955C5" w:rsidP="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 xml:space="preserve">Κεφαλαιακές ανάγκες ύψους 857 εκατ. ευρώ στο βασικό σενάριο </w:t>
      </w:r>
    </w:p>
    <w:p w:rsidR="008955C5" w:rsidRPr="00641DCC" w:rsidRDefault="008955C5" w:rsidP="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rPr>
        <w:t xml:space="preserve">και 1.021 εκατ. ευρώ στο σενάριο δυσμενών εξελίξεων </w:t>
      </w:r>
    </w:p>
    <w:p w:rsidR="00641DCC" w:rsidRPr="00641DCC" w:rsidRDefault="008955C5" w:rsidP="008955C5">
      <w:pPr>
        <w:pStyle w:val="Default"/>
        <w:pBdr>
          <w:top w:val="single" w:sz="4" w:space="1" w:color="auto"/>
          <w:left w:val="single" w:sz="4" w:space="4" w:color="auto"/>
          <w:bottom w:val="single" w:sz="4" w:space="1" w:color="auto"/>
          <w:right w:val="single" w:sz="4" w:space="4" w:color="auto"/>
        </w:pBdr>
        <w:shd w:val="clear" w:color="auto" w:fill="99CCFF"/>
        <w:jc w:val="center"/>
        <w:rPr>
          <w:b/>
          <w:bCs/>
          <w:sz w:val="22"/>
          <w:szCs w:val="22"/>
        </w:rPr>
      </w:pPr>
      <w:r w:rsidRPr="00641DCC">
        <w:rPr>
          <w:b/>
          <w:bCs/>
          <w:sz w:val="22"/>
          <w:szCs w:val="22"/>
          <w:u w:val="single"/>
        </w:rPr>
        <w:t>χωρίς την αφαίρεση των κεφαλαίων που θα προκύψουν από τις ενέργειες κεφαλαιακής υποστήριξης της Τράπεζας</w:t>
      </w:r>
    </w:p>
    <w:p w:rsidR="00651960" w:rsidRPr="00651960" w:rsidRDefault="00651960">
      <w:pPr>
        <w:pStyle w:val="Default"/>
        <w:pBdr>
          <w:top w:val="single" w:sz="4" w:space="1" w:color="auto"/>
          <w:left w:val="single" w:sz="4" w:space="4" w:color="auto"/>
          <w:bottom w:val="single" w:sz="4" w:space="1" w:color="auto"/>
          <w:right w:val="single" w:sz="4" w:space="4" w:color="auto"/>
        </w:pBdr>
        <w:shd w:val="clear" w:color="auto" w:fill="99CCFF"/>
        <w:jc w:val="center"/>
        <w:rPr>
          <w:b/>
          <w:bCs/>
          <w:sz w:val="12"/>
          <w:szCs w:val="12"/>
        </w:rPr>
      </w:pPr>
    </w:p>
    <w:p w:rsidR="00DD293F" w:rsidRDefault="00DD293F">
      <w:pPr>
        <w:pStyle w:val="Default"/>
        <w:rPr>
          <w:b/>
          <w:bCs/>
          <w:sz w:val="20"/>
          <w:szCs w:val="20"/>
        </w:rPr>
      </w:pPr>
    </w:p>
    <w:p w:rsidR="00DD293F" w:rsidRDefault="00DD293F">
      <w:pPr>
        <w:pStyle w:val="Default"/>
        <w:jc w:val="both"/>
        <w:rPr>
          <w:b/>
          <w:bCs/>
          <w:sz w:val="20"/>
          <w:szCs w:val="20"/>
        </w:rPr>
      </w:pPr>
    </w:p>
    <w:p w:rsidR="00641DCC" w:rsidRPr="008B1D7E" w:rsidRDefault="00641DCC" w:rsidP="00641DCC">
      <w:pPr>
        <w:ind w:right="176"/>
        <w:jc w:val="both"/>
        <w:rPr>
          <w:rFonts w:ascii="Tahoma" w:hAnsi="Tahoma" w:cs="Tahoma"/>
          <w:sz w:val="20"/>
          <w:szCs w:val="20"/>
        </w:rPr>
      </w:pPr>
      <w:r w:rsidRPr="008B1D7E">
        <w:rPr>
          <w:rFonts w:ascii="Tahoma" w:hAnsi="Tahoma" w:cs="Tahoma"/>
          <w:sz w:val="20"/>
          <w:szCs w:val="20"/>
        </w:rPr>
        <w:t xml:space="preserve">Η άσκηση </w:t>
      </w:r>
      <w:r w:rsidR="008955C5">
        <w:rPr>
          <w:rFonts w:ascii="Tahoma" w:hAnsi="Tahoma" w:cs="Tahoma"/>
          <w:sz w:val="20"/>
          <w:szCs w:val="20"/>
        </w:rPr>
        <w:t>συνολικής εποπτικής</w:t>
      </w:r>
      <w:r w:rsidRPr="008B1D7E">
        <w:rPr>
          <w:rFonts w:ascii="Tahoma" w:hAnsi="Tahoma" w:cs="Tahoma"/>
          <w:sz w:val="20"/>
          <w:szCs w:val="20"/>
        </w:rPr>
        <w:t xml:space="preserve"> αξιολόγησης που διεξήγαγε η Τράπεζα της Ελλάδος για την Attica</w:t>
      </w:r>
      <w:r w:rsidR="00F14883" w:rsidRPr="00F14883">
        <w:rPr>
          <w:rFonts w:ascii="Tahoma" w:hAnsi="Tahoma" w:cs="Tahoma"/>
          <w:sz w:val="20"/>
          <w:szCs w:val="20"/>
        </w:rPr>
        <w:t xml:space="preserve"> </w:t>
      </w:r>
      <w:r w:rsidR="00F14883">
        <w:rPr>
          <w:rFonts w:ascii="Tahoma" w:hAnsi="Tahoma" w:cs="Tahoma"/>
          <w:sz w:val="20"/>
          <w:szCs w:val="20"/>
          <w:lang w:val="en-US"/>
        </w:rPr>
        <w:t>B</w:t>
      </w:r>
      <w:r w:rsidRPr="008B1D7E">
        <w:rPr>
          <w:rFonts w:ascii="Tahoma" w:hAnsi="Tahoma" w:cs="Tahoma"/>
          <w:sz w:val="20"/>
          <w:szCs w:val="20"/>
        </w:rPr>
        <w:t>ank περιελάμβανε δύο συνιστώσες:</w:t>
      </w:r>
    </w:p>
    <w:p w:rsidR="00641DCC" w:rsidRPr="008B1D7E" w:rsidRDefault="00641DCC" w:rsidP="00641DCC">
      <w:pPr>
        <w:ind w:right="176"/>
        <w:jc w:val="both"/>
        <w:rPr>
          <w:rFonts w:ascii="Tahoma" w:hAnsi="Tahoma" w:cs="Tahoma"/>
          <w:sz w:val="20"/>
          <w:szCs w:val="20"/>
        </w:rPr>
      </w:pPr>
      <w:r w:rsidRPr="008B1D7E">
        <w:rPr>
          <w:rFonts w:ascii="Tahoma" w:hAnsi="Tahoma" w:cs="Tahoma"/>
          <w:sz w:val="20"/>
          <w:szCs w:val="20"/>
        </w:rPr>
        <w:t>Α. διεξοδικό και λεπτομερή έλεγχο της ποιότητας των στοιχείων του ενεργητικού (As</w:t>
      </w:r>
      <w:r w:rsidR="005D0625">
        <w:rPr>
          <w:rFonts w:ascii="Tahoma" w:hAnsi="Tahoma" w:cs="Tahoma"/>
          <w:sz w:val="20"/>
          <w:szCs w:val="20"/>
          <w:lang w:val="en-US"/>
        </w:rPr>
        <w:t>s</w:t>
      </w:r>
      <w:r w:rsidRPr="008B1D7E">
        <w:rPr>
          <w:rFonts w:ascii="Tahoma" w:hAnsi="Tahoma" w:cs="Tahoma"/>
          <w:sz w:val="20"/>
          <w:szCs w:val="20"/>
        </w:rPr>
        <w:t>et</w:t>
      </w:r>
      <w:r w:rsidR="00F14883" w:rsidRPr="00F14883">
        <w:rPr>
          <w:rFonts w:ascii="Tahoma" w:hAnsi="Tahoma" w:cs="Tahoma"/>
          <w:sz w:val="20"/>
          <w:szCs w:val="20"/>
        </w:rPr>
        <w:t xml:space="preserve"> </w:t>
      </w:r>
      <w:r w:rsidRPr="008B1D7E">
        <w:rPr>
          <w:rFonts w:ascii="Tahoma" w:hAnsi="Tahoma" w:cs="Tahoma"/>
          <w:sz w:val="20"/>
          <w:szCs w:val="20"/>
        </w:rPr>
        <w:t>Quality</w:t>
      </w:r>
      <w:r w:rsidR="00F14883" w:rsidRPr="00F14883">
        <w:rPr>
          <w:rFonts w:ascii="Tahoma" w:hAnsi="Tahoma" w:cs="Tahoma"/>
          <w:sz w:val="20"/>
          <w:szCs w:val="20"/>
        </w:rPr>
        <w:t xml:space="preserve"> </w:t>
      </w:r>
      <w:r w:rsidRPr="008B1D7E">
        <w:rPr>
          <w:rFonts w:ascii="Tahoma" w:hAnsi="Tahoma" w:cs="Tahoma"/>
          <w:sz w:val="20"/>
          <w:szCs w:val="20"/>
        </w:rPr>
        <w:t xml:space="preserve">Review – AQR) και </w:t>
      </w:r>
    </w:p>
    <w:p w:rsidR="00641DCC" w:rsidRPr="008B1D7E" w:rsidRDefault="00641DCC" w:rsidP="00641DCC">
      <w:pPr>
        <w:ind w:right="176"/>
        <w:jc w:val="both"/>
        <w:rPr>
          <w:rFonts w:ascii="Tahoma" w:hAnsi="Tahoma" w:cs="Tahoma"/>
          <w:sz w:val="20"/>
          <w:szCs w:val="20"/>
        </w:rPr>
      </w:pPr>
      <w:r w:rsidRPr="008B1D7E">
        <w:rPr>
          <w:rFonts w:ascii="Tahoma" w:hAnsi="Tahoma" w:cs="Tahoma"/>
          <w:sz w:val="20"/>
          <w:szCs w:val="20"/>
        </w:rPr>
        <w:t>Β. άσκηση προσομοίωσης ακραίων καταστάσεων με προοπτικό χαρακτήρα (forward</w:t>
      </w:r>
      <w:r w:rsidR="007C20D9" w:rsidRPr="007C20D9">
        <w:rPr>
          <w:rFonts w:ascii="Tahoma" w:hAnsi="Tahoma" w:cs="Tahoma"/>
          <w:sz w:val="20"/>
          <w:szCs w:val="20"/>
        </w:rPr>
        <w:t xml:space="preserve"> </w:t>
      </w:r>
      <w:r w:rsidRPr="008B1D7E">
        <w:rPr>
          <w:rFonts w:ascii="Tahoma" w:hAnsi="Tahoma" w:cs="Tahoma"/>
          <w:sz w:val="20"/>
          <w:szCs w:val="20"/>
        </w:rPr>
        <w:t>-</w:t>
      </w:r>
      <w:r w:rsidR="007C20D9" w:rsidRPr="007C20D9">
        <w:rPr>
          <w:rFonts w:ascii="Tahoma" w:hAnsi="Tahoma" w:cs="Tahoma"/>
          <w:sz w:val="20"/>
          <w:szCs w:val="20"/>
        </w:rPr>
        <w:t xml:space="preserve"> </w:t>
      </w:r>
      <w:r w:rsidRPr="008B1D7E">
        <w:rPr>
          <w:rFonts w:ascii="Tahoma" w:hAnsi="Tahoma" w:cs="Tahoma"/>
          <w:sz w:val="20"/>
          <w:szCs w:val="20"/>
        </w:rPr>
        <w:t>looking</w:t>
      </w:r>
      <w:r w:rsidR="00F14883" w:rsidRPr="00F14883">
        <w:rPr>
          <w:rFonts w:ascii="Tahoma" w:hAnsi="Tahoma" w:cs="Tahoma"/>
          <w:sz w:val="20"/>
          <w:szCs w:val="20"/>
        </w:rPr>
        <w:t xml:space="preserve"> </w:t>
      </w:r>
      <w:r w:rsidRPr="008B1D7E">
        <w:rPr>
          <w:rFonts w:ascii="Tahoma" w:hAnsi="Tahoma" w:cs="Tahoma"/>
          <w:sz w:val="20"/>
          <w:szCs w:val="20"/>
        </w:rPr>
        <w:t>Stress</w:t>
      </w:r>
      <w:r w:rsidR="00F14883" w:rsidRPr="00F14883">
        <w:rPr>
          <w:rFonts w:ascii="Tahoma" w:hAnsi="Tahoma" w:cs="Tahoma"/>
          <w:sz w:val="20"/>
          <w:szCs w:val="20"/>
        </w:rPr>
        <w:t xml:space="preserve"> </w:t>
      </w:r>
      <w:r w:rsidRPr="008B1D7E">
        <w:rPr>
          <w:rFonts w:ascii="Tahoma" w:hAnsi="Tahoma" w:cs="Tahoma"/>
          <w:sz w:val="20"/>
          <w:szCs w:val="20"/>
        </w:rPr>
        <w:t>Test), με σκοπό την εκτίμηση των κεφαλαιακών αναγκών της Τράπεζας.</w:t>
      </w:r>
    </w:p>
    <w:p w:rsidR="00641DCC" w:rsidRPr="008B1D7E" w:rsidRDefault="00641DCC" w:rsidP="00641DCC">
      <w:pPr>
        <w:ind w:right="176"/>
        <w:jc w:val="both"/>
        <w:rPr>
          <w:rFonts w:ascii="Tahoma" w:hAnsi="Tahoma" w:cs="Tahoma"/>
          <w:sz w:val="20"/>
          <w:szCs w:val="20"/>
        </w:rPr>
      </w:pPr>
      <w:r w:rsidRPr="008B1D7E">
        <w:rPr>
          <w:rFonts w:ascii="Tahoma" w:hAnsi="Tahoma" w:cs="Tahoma"/>
          <w:sz w:val="20"/>
          <w:szCs w:val="20"/>
        </w:rPr>
        <w:t>Σκοπός της άσκησης ήταν να εξετασθεί η ανθεκτικότητα της φερεγγυότητας της Attica</w:t>
      </w:r>
      <w:r w:rsidR="00F14883" w:rsidRPr="00F14883">
        <w:rPr>
          <w:rFonts w:ascii="Tahoma" w:hAnsi="Tahoma" w:cs="Tahoma"/>
          <w:sz w:val="20"/>
          <w:szCs w:val="20"/>
        </w:rPr>
        <w:t xml:space="preserve"> </w:t>
      </w:r>
      <w:r w:rsidR="00F14883">
        <w:rPr>
          <w:rFonts w:ascii="Tahoma" w:hAnsi="Tahoma" w:cs="Tahoma"/>
          <w:sz w:val="20"/>
          <w:szCs w:val="20"/>
          <w:lang w:val="en-US"/>
        </w:rPr>
        <w:t>B</w:t>
      </w:r>
      <w:r w:rsidRPr="008B1D7E">
        <w:rPr>
          <w:rFonts w:ascii="Tahoma" w:hAnsi="Tahoma" w:cs="Tahoma"/>
          <w:sz w:val="20"/>
          <w:szCs w:val="20"/>
        </w:rPr>
        <w:t>ank σε δύο υποθετικά σενάρια:</w:t>
      </w:r>
    </w:p>
    <w:p w:rsidR="00641DCC" w:rsidRPr="007C20D9" w:rsidRDefault="00641DCC" w:rsidP="00641DCC">
      <w:pPr>
        <w:pStyle w:val="ListParagraph"/>
        <w:numPr>
          <w:ilvl w:val="0"/>
          <w:numId w:val="25"/>
        </w:numPr>
        <w:spacing w:after="0" w:line="240" w:lineRule="auto"/>
        <w:ind w:right="176"/>
        <w:jc w:val="both"/>
        <w:rPr>
          <w:rFonts w:ascii="Tahoma" w:hAnsi="Tahoma" w:cs="Tahoma"/>
          <w:sz w:val="20"/>
          <w:szCs w:val="20"/>
        </w:rPr>
      </w:pPr>
      <w:r w:rsidRPr="008B1D7E">
        <w:rPr>
          <w:rFonts w:ascii="Tahoma" w:hAnsi="Tahoma" w:cs="Tahoma"/>
          <w:sz w:val="20"/>
          <w:szCs w:val="20"/>
        </w:rPr>
        <w:t>Το βασικό σενάριο που έχει ως προϋπόθεση Δείκτη Κεφαλαίου Κοινών Μετοχών CET1 9,5%, και</w:t>
      </w:r>
    </w:p>
    <w:p w:rsidR="00641DCC" w:rsidRPr="00F14883" w:rsidRDefault="007C20D9" w:rsidP="00641DCC">
      <w:pPr>
        <w:pStyle w:val="ListParagraph"/>
        <w:numPr>
          <w:ilvl w:val="0"/>
          <w:numId w:val="25"/>
        </w:numPr>
        <w:spacing w:after="0" w:line="240" w:lineRule="auto"/>
        <w:ind w:right="176"/>
        <w:jc w:val="both"/>
        <w:rPr>
          <w:rFonts w:ascii="Tahoma" w:hAnsi="Tahoma" w:cs="Tahoma"/>
          <w:sz w:val="20"/>
          <w:szCs w:val="20"/>
        </w:rPr>
      </w:pPr>
      <w:r>
        <w:rPr>
          <w:rFonts w:ascii="Tahoma" w:hAnsi="Tahoma" w:cs="Tahoma"/>
          <w:sz w:val="20"/>
          <w:szCs w:val="20"/>
          <w:lang w:val="en-US"/>
        </w:rPr>
        <w:t>T</w:t>
      </w:r>
      <w:r w:rsidR="00641DCC" w:rsidRPr="008B1D7E">
        <w:rPr>
          <w:rFonts w:ascii="Tahoma" w:hAnsi="Tahoma" w:cs="Tahoma"/>
          <w:sz w:val="20"/>
          <w:szCs w:val="20"/>
        </w:rPr>
        <w:t>ο σενάριο δυσμενών εξελίξεων, που προϋποθέτει Δείκτη Κεφαλαίου Κοινών Μετοχών CET1 8%.</w:t>
      </w:r>
    </w:p>
    <w:p w:rsidR="00F14883" w:rsidRPr="008B1D7E" w:rsidRDefault="00F14883" w:rsidP="00F14883">
      <w:pPr>
        <w:pStyle w:val="ListParagraph"/>
        <w:spacing w:after="0" w:line="240" w:lineRule="auto"/>
        <w:ind w:right="176"/>
        <w:jc w:val="both"/>
        <w:rPr>
          <w:rFonts w:ascii="Tahoma" w:hAnsi="Tahoma" w:cs="Tahoma"/>
          <w:sz w:val="20"/>
          <w:szCs w:val="20"/>
        </w:rPr>
      </w:pPr>
    </w:p>
    <w:p w:rsidR="00FE7742" w:rsidRDefault="00641DCC" w:rsidP="00641DCC">
      <w:pPr>
        <w:ind w:right="176"/>
        <w:jc w:val="both"/>
        <w:rPr>
          <w:rFonts w:ascii="Tahoma" w:hAnsi="Tahoma" w:cs="Tahoma"/>
          <w:b/>
          <w:sz w:val="20"/>
          <w:szCs w:val="20"/>
        </w:rPr>
      </w:pPr>
      <w:r w:rsidRPr="00616830">
        <w:rPr>
          <w:rFonts w:ascii="Tahoma" w:hAnsi="Tahoma" w:cs="Tahoma"/>
          <w:b/>
          <w:sz w:val="20"/>
          <w:szCs w:val="20"/>
        </w:rPr>
        <w:t xml:space="preserve">Με βάση τα αποτελέσματα της Συνολικής Αξιολόγησης, η </w:t>
      </w:r>
      <w:r w:rsidR="002F16DB">
        <w:rPr>
          <w:rFonts w:ascii="Tahoma" w:hAnsi="Tahoma" w:cs="Tahoma"/>
          <w:b/>
          <w:sz w:val="20"/>
          <w:szCs w:val="20"/>
          <w:lang w:val="en-US"/>
        </w:rPr>
        <w:t>Attica</w:t>
      </w:r>
      <w:r w:rsidR="002F16DB" w:rsidRPr="00D9795A">
        <w:rPr>
          <w:rFonts w:ascii="Tahoma" w:hAnsi="Tahoma" w:cs="Tahoma"/>
          <w:b/>
          <w:sz w:val="20"/>
          <w:szCs w:val="20"/>
        </w:rPr>
        <w:t xml:space="preserve"> </w:t>
      </w:r>
      <w:r w:rsidR="002F16DB">
        <w:rPr>
          <w:rFonts w:ascii="Tahoma" w:hAnsi="Tahoma" w:cs="Tahoma"/>
          <w:b/>
          <w:sz w:val="20"/>
          <w:szCs w:val="20"/>
          <w:lang w:val="en-US"/>
        </w:rPr>
        <w:t>Bank</w:t>
      </w:r>
      <w:r w:rsidR="002F16DB" w:rsidRPr="00D9795A">
        <w:rPr>
          <w:rFonts w:ascii="Tahoma" w:hAnsi="Tahoma" w:cs="Tahoma"/>
          <w:b/>
          <w:sz w:val="20"/>
          <w:szCs w:val="20"/>
        </w:rPr>
        <w:t xml:space="preserve"> </w:t>
      </w:r>
      <w:r w:rsidRPr="00616830">
        <w:rPr>
          <w:rFonts w:ascii="Tahoma" w:hAnsi="Tahoma" w:cs="Tahoma"/>
          <w:b/>
          <w:sz w:val="20"/>
          <w:szCs w:val="20"/>
        </w:rPr>
        <w:t xml:space="preserve">παρουσιάζει </w:t>
      </w:r>
      <w:r w:rsidR="008955C5" w:rsidRPr="00616830">
        <w:rPr>
          <w:rFonts w:ascii="Tahoma" w:hAnsi="Tahoma" w:cs="Tahoma"/>
          <w:b/>
          <w:sz w:val="20"/>
          <w:szCs w:val="20"/>
        </w:rPr>
        <w:t xml:space="preserve">κεφαλαιακή </w:t>
      </w:r>
      <w:r w:rsidRPr="00616830">
        <w:rPr>
          <w:rFonts w:ascii="Tahoma" w:hAnsi="Tahoma" w:cs="Tahoma"/>
          <w:b/>
          <w:sz w:val="20"/>
          <w:szCs w:val="20"/>
        </w:rPr>
        <w:t>υστέρηση ύψους 857 εκατ. ευρώ στο βασικό σενάριο και 1.021 εκατ. ευρώ στο δυσμενές, χωρίς όμως να έχουν προσμετρηθεί οι ενέργειες κεφαλαιακής υποστήριξης της Τράπεζας.</w:t>
      </w:r>
    </w:p>
    <w:p w:rsidR="00641DCC" w:rsidRPr="005D0625" w:rsidRDefault="00641DCC" w:rsidP="00641DCC">
      <w:pPr>
        <w:ind w:right="176"/>
        <w:jc w:val="both"/>
        <w:rPr>
          <w:rFonts w:ascii="Tahoma" w:hAnsi="Tahoma" w:cs="Tahoma"/>
          <w:sz w:val="20"/>
          <w:szCs w:val="20"/>
        </w:rPr>
      </w:pPr>
      <w:r w:rsidRPr="00616830">
        <w:rPr>
          <w:rFonts w:ascii="Tahoma" w:hAnsi="Tahoma" w:cs="Tahoma"/>
          <w:b/>
          <w:sz w:val="20"/>
          <w:szCs w:val="20"/>
        </w:rPr>
        <w:t xml:space="preserve"> </w:t>
      </w:r>
      <w:r w:rsidRPr="005D0625">
        <w:rPr>
          <w:rFonts w:ascii="Tahoma" w:hAnsi="Tahoma" w:cs="Tahoma"/>
          <w:sz w:val="20"/>
          <w:szCs w:val="20"/>
        </w:rPr>
        <w:t xml:space="preserve">Στις ενέργειες </w:t>
      </w:r>
      <w:r w:rsidR="008955C5" w:rsidRPr="005D0625">
        <w:rPr>
          <w:rFonts w:ascii="Tahoma" w:hAnsi="Tahoma" w:cs="Tahoma"/>
          <w:sz w:val="20"/>
          <w:szCs w:val="20"/>
        </w:rPr>
        <w:t>αυτές</w:t>
      </w:r>
      <w:r w:rsidRPr="005D0625">
        <w:rPr>
          <w:rFonts w:ascii="Tahoma" w:hAnsi="Tahoma" w:cs="Tahoma"/>
          <w:sz w:val="20"/>
          <w:szCs w:val="20"/>
        </w:rPr>
        <w:t xml:space="preserve"> περιλαμβάνονται κατ’ ελάχιστον:</w:t>
      </w:r>
    </w:p>
    <w:p w:rsidR="00641DCC" w:rsidRPr="00616830" w:rsidRDefault="00641DCC" w:rsidP="00641DCC">
      <w:pPr>
        <w:pStyle w:val="ListParagraph"/>
        <w:numPr>
          <w:ilvl w:val="0"/>
          <w:numId w:val="26"/>
        </w:numPr>
        <w:spacing w:after="0" w:line="240" w:lineRule="auto"/>
        <w:ind w:right="176"/>
        <w:jc w:val="both"/>
        <w:rPr>
          <w:rFonts w:ascii="Tahoma" w:hAnsi="Tahoma" w:cs="Tahoma"/>
          <w:sz w:val="20"/>
          <w:szCs w:val="20"/>
        </w:rPr>
      </w:pPr>
      <w:r w:rsidRPr="008B1D7E">
        <w:rPr>
          <w:rFonts w:ascii="Tahoma" w:hAnsi="Tahoma" w:cs="Tahoma"/>
          <w:sz w:val="20"/>
          <w:szCs w:val="20"/>
        </w:rPr>
        <w:t xml:space="preserve">η μετατροπή του Μετατρέψιμου Ομολογιακού Δανείου ύψους 95,5 εκατ. ευρώ σε κοινές μετοχές το οποίο αντιπροσωπεύει ποσοστό της τάξης 11,1% επί των κεφαλαιακών </w:t>
      </w:r>
      <w:r w:rsidRPr="008B1D7E">
        <w:rPr>
          <w:rFonts w:ascii="Tahoma" w:hAnsi="Tahoma" w:cs="Tahoma"/>
          <w:sz w:val="20"/>
          <w:szCs w:val="20"/>
        </w:rPr>
        <w:lastRenderedPageBreak/>
        <w:t xml:space="preserve">αναγκών του βασικού σεναρίου και ποσοστό 9,4% επί των κεφαλαιακών αναγκών του δυσμενούς σεναρίου, </w:t>
      </w:r>
    </w:p>
    <w:p w:rsidR="00616830" w:rsidRPr="008B1D7E" w:rsidRDefault="00616830" w:rsidP="00616830">
      <w:pPr>
        <w:pStyle w:val="ListParagraph"/>
        <w:spacing w:after="0" w:line="240" w:lineRule="auto"/>
        <w:ind w:right="176"/>
        <w:jc w:val="both"/>
        <w:rPr>
          <w:rFonts w:ascii="Tahoma" w:hAnsi="Tahoma" w:cs="Tahoma"/>
          <w:sz w:val="20"/>
          <w:szCs w:val="20"/>
        </w:rPr>
      </w:pPr>
    </w:p>
    <w:p w:rsidR="00641DCC" w:rsidRPr="008B1D7E" w:rsidRDefault="00641DCC" w:rsidP="00641DCC">
      <w:pPr>
        <w:pStyle w:val="ListParagraph"/>
        <w:numPr>
          <w:ilvl w:val="0"/>
          <w:numId w:val="26"/>
        </w:numPr>
        <w:spacing w:after="0" w:line="240" w:lineRule="auto"/>
        <w:ind w:right="176"/>
        <w:jc w:val="both"/>
        <w:rPr>
          <w:rFonts w:ascii="Tahoma" w:hAnsi="Tahoma" w:cs="Tahoma"/>
          <w:sz w:val="20"/>
          <w:szCs w:val="20"/>
        </w:rPr>
      </w:pPr>
      <w:r w:rsidRPr="008B1D7E">
        <w:rPr>
          <w:rFonts w:ascii="Tahoma" w:hAnsi="Tahoma" w:cs="Tahoma"/>
          <w:sz w:val="20"/>
          <w:szCs w:val="20"/>
        </w:rPr>
        <w:t>η προσμέτρηση της αναβαλλόμενης φορολογικής απαίτησης ύψους 104 εκατ. ευρώ που αναλογεί στις προβλέψεις για πιστωτικό κίνδυνο που σχηματίσθηκαν την 30/06/2015 λόγω των δυσμενών οικονομικών συνθηκών. Το ποσό</w:t>
      </w:r>
      <w:r w:rsidR="00616830" w:rsidRPr="00616830">
        <w:rPr>
          <w:rFonts w:ascii="Tahoma" w:hAnsi="Tahoma" w:cs="Tahoma"/>
          <w:sz w:val="20"/>
          <w:szCs w:val="20"/>
        </w:rPr>
        <w:t xml:space="preserve"> </w:t>
      </w:r>
      <w:r>
        <w:rPr>
          <w:rFonts w:ascii="Tahoma" w:hAnsi="Tahoma" w:cs="Tahoma"/>
          <w:sz w:val="20"/>
          <w:szCs w:val="20"/>
        </w:rPr>
        <w:t xml:space="preserve">αυτό </w:t>
      </w:r>
      <w:r w:rsidRPr="008B1D7E">
        <w:rPr>
          <w:rFonts w:ascii="Tahoma" w:hAnsi="Tahoma" w:cs="Tahoma"/>
          <w:sz w:val="20"/>
          <w:szCs w:val="20"/>
        </w:rPr>
        <w:t xml:space="preserve">της αναβαλλόμενης φορολογικής απαίτησης αντιπροσωπεύει ποσοστό 12,1% επί των κεφαλαιακών αναγκών του βασικού σεναρίου και ποσοστό 10,2% επί των κεφαλαιακών αναγκών του δυσμενούς σεναρίου, </w:t>
      </w:r>
    </w:p>
    <w:p w:rsidR="00641DCC" w:rsidRPr="00616830" w:rsidRDefault="00641DCC" w:rsidP="00641DCC">
      <w:pPr>
        <w:ind w:right="176"/>
        <w:jc w:val="both"/>
        <w:rPr>
          <w:rFonts w:ascii="Tahoma" w:hAnsi="Tahoma" w:cs="Tahoma"/>
          <w:b/>
          <w:sz w:val="20"/>
          <w:szCs w:val="20"/>
        </w:rPr>
      </w:pPr>
    </w:p>
    <w:p w:rsidR="00641DCC" w:rsidRPr="008B1D7E" w:rsidRDefault="00122F75" w:rsidP="00641DCC">
      <w:pPr>
        <w:ind w:right="176"/>
        <w:jc w:val="both"/>
        <w:rPr>
          <w:rFonts w:ascii="Tahoma" w:hAnsi="Tahoma" w:cs="Tahoma"/>
          <w:sz w:val="20"/>
          <w:szCs w:val="20"/>
        </w:rPr>
      </w:pPr>
      <w:r w:rsidRPr="00616830">
        <w:rPr>
          <w:rFonts w:ascii="Tahoma" w:hAnsi="Tahoma" w:cs="Tahoma"/>
          <w:b/>
          <w:sz w:val="20"/>
          <w:szCs w:val="20"/>
        </w:rPr>
        <w:t xml:space="preserve">Το σύνολο των ενεργειών κεφαλαιακής υποστήριξης τελούν υπό την αξιολόγηση και έγκριση της εποπτικής αρχής. </w:t>
      </w:r>
      <w:r w:rsidR="00641DCC" w:rsidRPr="00616830">
        <w:rPr>
          <w:rFonts w:ascii="Tahoma" w:hAnsi="Tahoma" w:cs="Tahoma"/>
          <w:b/>
          <w:sz w:val="20"/>
          <w:szCs w:val="20"/>
        </w:rPr>
        <w:t>Εάν προσμετρηθούν οι ενέργειες</w:t>
      </w:r>
      <w:r w:rsidRPr="00616830">
        <w:rPr>
          <w:rFonts w:ascii="Tahoma" w:hAnsi="Tahoma" w:cs="Tahoma"/>
          <w:b/>
          <w:sz w:val="20"/>
          <w:szCs w:val="20"/>
        </w:rPr>
        <w:t xml:space="preserve"> αυτές</w:t>
      </w:r>
      <w:r w:rsidR="00641DCC" w:rsidRPr="00616830">
        <w:rPr>
          <w:rFonts w:ascii="Tahoma" w:hAnsi="Tahoma" w:cs="Tahoma"/>
          <w:b/>
          <w:sz w:val="20"/>
          <w:szCs w:val="20"/>
        </w:rPr>
        <w:t>, το ύψος των κεφαλαιακών αναγκών δύναται να περιορισθεί σημαντικά.</w:t>
      </w:r>
      <w:r w:rsidR="00641DCC" w:rsidRPr="008B1D7E">
        <w:rPr>
          <w:rFonts w:ascii="Tahoma" w:hAnsi="Tahoma" w:cs="Tahoma"/>
          <w:sz w:val="20"/>
          <w:szCs w:val="20"/>
        </w:rPr>
        <w:t xml:space="preserve"> </w:t>
      </w:r>
    </w:p>
    <w:p w:rsidR="00641DCC" w:rsidRDefault="00641DCC" w:rsidP="00641DCC">
      <w:pPr>
        <w:ind w:right="176"/>
        <w:jc w:val="both"/>
        <w:rPr>
          <w:rFonts w:ascii="Tahoma" w:hAnsi="Tahoma" w:cs="Tahoma"/>
          <w:sz w:val="20"/>
          <w:szCs w:val="20"/>
        </w:rPr>
      </w:pPr>
      <w:r w:rsidRPr="008B1D7E">
        <w:rPr>
          <w:rFonts w:ascii="Tahoma" w:hAnsi="Tahoma" w:cs="Tahoma"/>
          <w:sz w:val="20"/>
          <w:szCs w:val="20"/>
        </w:rPr>
        <w:t>Εντός της πρώτης εβδομάδας του μηνός Νοεμβρίου 2015, η Attica</w:t>
      </w:r>
      <w:r w:rsidR="00F14883" w:rsidRPr="00F14883">
        <w:rPr>
          <w:rFonts w:ascii="Tahoma" w:hAnsi="Tahoma" w:cs="Tahoma"/>
          <w:sz w:val="20"/>
          <w:szCs w:val="20"/>
        </w:rPr>
        <w:t xml:space="preserve"> </w:t>
      </w:r>
      <w:r w:rsidR="00F14883">
        <w:rPr>
          <w:rFonts w:ascii="Tahoma" w:hAnsi="Tahoma" w:cs="Tahoma"/>
          <w:sz w:val="20"/>
          <w:szCs w:val="20"/>
          <w:lang w:val="en-US"/>
        </w:rPr>
        <w:t>Bank</w:t>
      </w:r>
      <w:r w:rsidRPr="008B1D7E">
        <w:rPr>
          <w:rFonts w:ascii="Tahoma" w:hAnsi="Tahoma" w:cs="Tahoma"/>
          <w:sz w:val="20"/>
          <w:szCs w:val="20"/>
        </w:rPr>
        <w:t xml:space="preserve"> θα υποβάλλει στην Τράπεζα της Ελλάδος σχέδιο κεφαλαιακής </w:t>
      </w:r>
      <w:r w:rsidR="00122F75">
        <w:rPr>
          <w:rFonts w:ascii="Tahoma" w:hAnsi="Tahoma" w:cs="Tahoma"/>
          <w:sz w:val="20"/>
          <w:szCs w:val="20"/>
        </w:rPr>
        <w:t>ενίσχυσης καθώς και χρονοδιάγρα</w:t>
      </w:r>
      <w:r w:rsidR="00616830">
        <w:rPr>
          <w:rFonts w:ascii="Tahoma" w:hAnsi="Tahoma" w:cs="Tahoma"/>
          <w:sz w:val="20"/>
          <w:szCs w:val="20"/>
        </w:rPr>
        <w:t>μ</w:t>
      </w:r>
      <w:r w:rsidR="00122F75">
        <w:rPr>
          <w:rFonts w:ascii="Tahoma" w:hAnsi="Tahoma" w:cs="Tahoma"/>
          <w:sz w:val="20"/>
          <w:szCs w:val="20"/>
        </w:rPr>
        <w:t>μα υλοποίησης</w:t>
      </w:r>
      <w:r w:rsidRPr="008B1D7E">
        <w:rPr>
          <w:rFonts w:ascii="Tahoma" w:hAnsi="Tahoma" w:cs="Tahoma"/>
          <w:sz w:val="20"/>
          <w:szCs w:val="20"/>
        </w:rPr>
        <w:t>, το οποίο θα αναφέρει λεπτομερώς τις ενέργειες κεφαλαιακής υποστήριξης στις οποίες θα προβεί για την κάλυψη των κεφαλαιακών αναγκών</w:t>
      </w:r>
      <w:r w:rsidR="00FC5669">
        <w:rPr>
          <w:rFonts w:ascii="Tahoma" w:hAnsi="Tahoma" w:cs="Tahoma"/>
          <w:sz w:val="20"/>
          <w:szCs w:val="20"/>
        </w:rPr>
        <w:t>. Σ</w:t>
      </w:r>
      <w:r w:rsidRPr="008B1D7E">
        <w:rPr>
          <w:rFonts w:ascii="Tahoma" w:hAnsi="Tahoma" w:cs="Tahoma"/>
          <w:sz w:val="20"/>
          <w:szCs w:val="20"/>
        </w:rPr>
        <w:t>τη συνέχεια</w:t>
      </w:r>
      <w:r w:rsidR="00FC5669">
        <w:rPr>
          <w:rFonts w:ascii="Tahoma" w:hAnsi="Tahoma" w:cs="Tahoma"/>
          <w:sz w:val="20"/>
          <w:szCs w:val="20"/>
        </w:rPr>
        <w:t>,</w:t>
      </w:r>
      <w:r w:rsidRPr="008B1D7E">
        <w:rPr>
          <w:rFonts w:ascii="Tahoma" w:hAnsi="Tahoma" w:cs="Tahoma"/>
          <w:sz w:val="20"/>
          <w:szCs w:val="20"/>
        </w:rPr>
        <w:t xml:space="preserve"> </w:t>
      </w:r>
      <w:r w:rsidR="00FC5669" w:rsidRPr="008B1D7E">
        <w:rPr>
          <w:rFonts w:ascii="Tahoma" w:hAnsi="Tahoma" w:cs="Tahoma"/>
          <w:sz w:val="20"/>
          <w:szCs w:val="20"/>
        </w:rPr>
        <w:t>μετά την αξιολόγηση του σχεδίου</w:t>
      </w:r>
      <w:r w:rsidR="00FC5669">
        <w:rPr>
          <w:rFonts w:ascii="Tahoma" w:hAnsi="Tahoma" w:cs="Tahoma"/>
          <w:sz w:val="20"/>
          <w:szCs w:val="20"/>
        </w:rPr>
        <w:t>,</w:t>
      </w:r>
      <w:r w:rsidR="00FC5669" w:rsidRPr="008B1D7E">
        <w:rPr>
          <w:rFonts w:ascii="Tahoma" w:hAnsi="Tahoma" w:cs="Tahoma"/>
          <w:sz w:val="20"/>
          <w:szCs w:val="20"/>
        </w:rPr>
        <w:t xml:space="preserve"> </w:t>
      </w:r>
      <w:r w:rsidRPr="008B1D7E">
        <w:rPr>
          <w:rFonts w:ascii="Tahoma" w:hAnsi="Tahoma" w:cs="Tahoma"/>
          <w:sz w:val="20"/>
          <w:szCs w:val="20"/>
        </w:rPr>
        <w:t xml:space="preserve">η Τράπεζα της Ελλάδος θα καθορίσει </w:t>
      </w:r>
      <w:r w:rsidR="00FC5669">
        <w:rPr>
          <w:rFonts w:ascii="Tahoma" w:hAnsi="Tahoma" w:cs="Tahoma"/>
          <w:sz w:val="20"/>
          <w:szCs w:val="20"/>
        </w:rPr>
        <w:t xml:space="preserve">και </w:t>
      </w:r>
      <w:r w:rsidRPr="008B1D7E">
        <w:rPr>
          <w:rFonts w:ascii="Tahoma" w:hAnsi="Tahoma" w:cs="Tahoma"/>
          <w:sz w:val="20"/>
          <w:szCs w:val="20"/>
        </w:rPr>
        <w:t>το τελικό ύψος των κεφαλαιακών αναγκών.</w:t>
      </w:r>
    </w:p>
    <w:p w:rsidR="00EE2245" w:rsidRDefault="00EE2245" w:rsidP="00EE2245">
      <w:pPr>
        <w:ind w:right="176"/>
        <w:jc w:val="both"/>
        <w:rPr>
          <w:rFonts w:ascii="Tahoma" w:hAnsi="Tahoma" w:cs="Tahoma"/>
          <w:sz w:val="20"/>
          <w:szCs w:val="20"/>
        </w:rPr>
      </w:pPr>
      <w:r w:rsidRPr="00EE2245">
        <w:rPr>
          <w:rFonts w:ascii="Tahoma" w:hAnsi="Tahoma" w:cs="Tahoma"/>
          <w:sz w:val="20"/>
          <w:szCs w:val="20"/>
        </w:rPr>
        <w:t>Η καταχώρηση στις οικονο</w:t>
      </w:r>
      <w:r w:rsidR="00A868FB">
        <w:rPr>
          <w:rFonts w:ascii="Tahoma" w:hAnsi="Tahoma" w:cs="Tahoma"/>
          <w:sz w:val="20"/>
          <w:szCs w:val="20"/>
        </w:rPr>
        <w:t>μικές καταστάσεις του Α’ εξαμήνου</w:t>
      </w:r>
      <w:r w:rsidRPr="00EE2245">
        <w:rPr>
          <w:rFonts w:ascii="Tahoma" w:hAnsi="Tahoma" w:cs="Tahoma"/>
          <w:sz w:val="20"/>
          <w:szCs w:val="20"/>
        </w:rPr>
        <w:t xml:space="preserve"> 2015 πολύ μεγάλου ύψους προβλέψεων για επισφαλείς απαιτήσεις της τάξης των 513 εκατ. ευρώ λόγω της επιδείνωσης του οικονομικού περιβάλλοντος όπως αποτυπώθηκαν και με την άσκηση για τον Έλεγχο της Ποιότητας των Στοιχείων Ενεργητικού (Asset</w:t>
      </w:r>
      <w:r w:rsidR="00F14883" w:rsidRPr="00F14883">
        <w:rPr>
          <w:rFonts w:ascii="Tahoma" w:hAnsi="Tahoma" w:cs="Tahoma"/>
          <w:sz w:val="20"/>
          <w:szCs w:val="20"/>
        </w:rPr>
        <w:t xml:space="preserve"> </w:t>
      </w:r>
      <w:r w:rsidRPr="00EE2245">
        <w:rPr>
          <w:rFonts w:ascii="Tahoma" w:hAnsi="Tahoma" w:cs="Tahoma"/>
          <w:sz w:val="20"/>
          <w:szCs w:val="20"/>
        </w:rPr>
        <w:t>Quality</w:t>
      </w:r>
      <w:r w:rsidR="00F14883" w:rsidRPr="00F14883">
        <w:rPr>
          <w:rFonts w:ascii="Tahoma" w:hAnsi="Tahoma" w:cs="Tahoma"/>
          <w:sz w:val="20"/>
          <w:szCs w:val="20"/>
        </w:rPr>
        <w:t xml:space="preserve"> </w:t>
      </w:r>
      <w:r w:rsidR="00F14883">
        <w:rPr>
          <w:rFonts w:ascii="Tahoma" w:hAnsi="Tahoma" w:cs="Tahoma"/>
          <w:sz w:val="20"/>
          <w:szCs w:val="20"/>
        </w:rPr>
        <w:t>Rev</w:t>
      </w:r>
      <w:r w:rsidRPr="00EE2245">
        <w:rPr>
          <w:rFonts w:ascii="Tahoma" w:hAnsi="Tahoma" w:cs="Tahoma"/>
          <w:sz w:val="20"/>
          <w:szCs w:val="20"/>
        </w:rPr>
        <w:t>i</w:t>
      </w:r>
      <w:r w:rsidR="00F14883">
        <w:rPr>
          <w:rFonts w:ascii="Tahoma" w:hAnsi="Tahoma" w:cs="Tahoma"/>
          <w:sz w:val="20"/>
          <w:szCs w:val="20"/>
          <w:lang w:val="en-US"/>
        </w:rPr>
        <w:t>e</w:t>
      </w:r>
      <w:r w:rsidRPr="00EE2245">
        <w:rPr>
          <w:rFonts w:ascii="Tahoma" w:hAnsi="Tahoma" w:cs="Tahoma"/>
          <w:sz w:val="20"/>
          <w:szCs w:val="20"/>
        </w:rPr>
        <w:t>w) που διεξήγαγε η Τράπεζα της Ελλάδος, έχει ως αποτέλεσμα τη διαμόρφωση του δείκτη κεφαλαιακής επάρκειας σε πολύ χαμηλά επίπεδα σημαντικά κάτω από το ελάχιστο όριο που έχει τεθεί από την εποπτική αρχή. Σημειώνεται όμως ότι και μετά τον σχηματισμό των προβλέψεων τόσο τα ονομαστικ</w:t>
      </w:r>
      <w:r w:rsidR="00B861D3">
        <w:rPr>
          <w:rFonts w:ascii="Tahoma" w:hAnsi="Tahoma" w:cs="Tahoma"/>
          <w:sz w:val="20"/>
          <w:szCs w:val="20"/>
        </w:rPr>
        <w:t>ά,</w:t>
      </w:r>
      <w:r w:rsidRPr="00EE2245">
        <w:rPr>
          <w:rFonts w:ascii="Tahoma" w:hAnsi="Tahoma" w:cs="Tahoma"/>
          <w:sz w:val="20"/>
          <w:szCs w:val="20"/>
        </w:rPr>
        <w:t xml:space="preserve"> όσο και τα εποπτικά ίδια κεφάλαια του Ομίλου εξακολουθούν να είναι θετικά.</w:t>
      </w:r>
    </w:p>
    <w:p w:rsidR="00EE2245" w:rsidRDefault="00EE2245" w:rsidP="00EE2245">
      <w:pPr>
        <w:ind w:right="176"/>
        <w:jc w:val="both"/>
        <w:rPr>
          <w:rFonts w:ascii="Tahoma" w:hAnsi="Tahoma" w:cs="Tahoma"/>
          <w:sz w:val="20"/>
          <w:szCs w:val="20"/>
        </w:rPr>
      </w:pPr>
      <w:r w:rsidRPr="00EE2245">
        <w:rPr>
          <w:rFonts w:ascii="Tahoma" w:hAnsi="Tahoma" w:cs="Tahoma"/>
          <w:sz w:val="20"/>
          <w:szCs w:val="20"/>
        </w:rPr>
        <w:t>Μέχρι την ολοκλήρωση της ανακεφαλαιοποίησης της Τράπεζας και την αποκατάστ</w:t>
      </w:r>
      <w:r w:rsidR="004B166E">
        <w:rPr>
          <w:rFonts w:ascii="Tahoma" w:hAnsi="Tahoma" w:cs="Tahoma"/>
          <w:sz w:val="20"/>
          <w:szCs w:val="20"/>
        </w:rPr>
        <w:t xml:space="preserve">αση των δεικτών της κεφαλαιακής </w:t>
      </w:r>
      <w:r w:rsidRPr="00EE2245">
        <w:rPr>
          <w:rFonts w:ascii="Tahoma" w:hAnsi="Tahoma" w:cs="Tahoma"/>
          <w:sz w:val="20"/>
          <w:szCs w:val="20"/>
        </w:rPr>
        <w:t xml:space="preserve">επάρκειας, η Τράπεζα θα βρίσκεται σε συνεχή συνεργασία </w:t>
      </w:r>
      <w:r w:rsidR="00A07E3E">
        <w:rPr>
          <w:rFonts w:ascii="Tahoma" w:hAnsi="Tahoma" w:cs="Tahoma"/>
          <w:sz w:val="20"/>
          <w:szCs w:val="20"/>
        </w:rPr>
        <w:t xml:space="preserve">με την εποπτική αρχή, </w:t>
      </w:r>
      <w:r w:rsidRPr="00EE2245">
        <w:rPr>
          <w:rFonts w:ascii="Tahoma" w:hAnsi="Tahoma" w:cs="Tahoma"/>
          <w:sz w:val="20"/>
          <w:szCs w:val="20"/>
        </w:rPr>
        <w:t>για τον καθορισμό και την πορεία υλοποίησης των ενεργειών που έχουν καθορισθεί για το σκοπό αυτό, υποκείμενη σε ειδικό έλεγχο.</w:t>
      </w:r>
    </w:p>
    <w:p w:rsidR="001B66FE" w:rsidRPr="001B66FE" w:rsidRDefault="001B66FE" w:rsidP="00EE2245">
      <w:pPr>
        <w:ind w:right="176"/>
        <w:jc w:val="both"/>
        <w:rPr>
          <w:rFonts w:ascii="Tahoma" w:hAnsi="Tahoma" w:cs="Tahoma"/>
          <w:b/>
          <w:sz w:val="20"/>
          <w:szCs w:val="20"/>
        </w:rPr>
      </w:pPr>
      <w:r w:rsidRPr="001B66FE">
        <w:rPr>
          <w:rFonts w:ascii="Tahoma" w:hAnsi="Tahoma" w:cs="Tahoma"/>
          <w:b/>
          <w:sz w:val="20"/>
          <w:szCs w:val="20"/>
        </w:rPr>
        <w:t xml:space="preserve">Για τα </w:t>
      </w:r>
      <w:r>
        <w:rPr>
          <w:rFonts w:ascii="Tahoma" w:hAnsi="Tahoma" w:cs="Tahoma"/>
          <w:b/>
          <w:sz w:val="20"/>
          <w:szCs w:val="20"/>
        </w:rPr>
        <w:t xml:space="preserve">αποτελέσματα της συνολικής αξιολόγησης έτους 2015 για την </w:t>
      </w:r>
      <w:r>
        <w:rPr>
          <w:rFonts w:ascii="Tahoma" w:hAnsi="Tahoma" w:cs="Tahoma"/>
          <w:b/>
          <w:sz w:val="20"/>
          <w:szCs w:val="20"/>
          <w:lang w:val="en-US"/>
        </w:rPr>
        <w:t>Attica</w:t>
      </w:r>
      <w:r w:rsidR="00616830">
        <w:rPr>
          <w:rFonts w:ascii="Tahoma" w:hAnsi="Tahoma" w:cs="Tahoma"/>
          <w:b/>
          <w:sz w:val="20"/>
          <w:szCs w:val="20"/>
        </w:rPr>
        <w:t xml:space="preserve"> </w:t>
      </w:r>
      <w:r>
        <w:rPr>
          <w:rFonts w:ascii="Tahoma" w:hAnsi="Tahoma" w:cs="Tahoma"/>
          <w:b/>
          <w:sz w:val="20"/>
          <w:szCs w:val="20"/>
          <w:lang w:val="en-US"/>
        </w:rPr>
        <w:t>Bank</w:t>
      </w:r>
      <w:r w:rsidR="005D0625" w:rsidRPr="00616830">
        <w:rPr>
          <w:rFonts w:ascii="Tahoma" w:hAnsi="Tahoma" w:cs="Tahoma"/>
          <w:b/>
          <w:sz w:val="20"/>
          <w:szCs w:val="20"/>
        </w:rPr>
        <w:t xml:space="preserve"> </w:t>
      </w:r>
      <w:r>
        <w:rPr>
          <w:rFonts w:ascii="Tahoma" w:hAnsi="Tahoma" w:cs="Tahoma"/>
          <w:b/>
          <w:sz w:val="20"/>
          <w:szCs w:val="20"/>
        </w:rPr>
        <w:t xml:space="preserve">που διεξήγαγε η Τράπεζα της Ελλάδος, </w:t>
      </w:r>
      <w:r w:rsidR="00090E5A">
        <w:rPr>
          <w:rFonts w:ascii="Tahoma" w:hAnsi="Tahoma" w:cs="Tahoma"/>
          <w:b/>
          <w:sz w:val="20"/>
          <w:szCs w:val="20"/>
        </w:rPr>
        <w:t xml:space="preserve">η Διοίκηση </w:t>
      </w:r>
      <w:r>
        <w:rPr>
          <w:rFonts w:ascii="Tahoma" w:hAnsi="Tahoma" w:cs="Tahoma"/>
          <w:b/>
          <w:sz w:val="20"/>
          <w:szCs w:val="20"/>
        </w:rPr>
        <w:t>της Τράπεζας δήλωσε ότι</w:t>
      </w:r>
      <w:r w:rsidRPr="001B66FE">
        <w:rPr>
          <w:rFonts w:ascii="Tahoma" w:hAnsi="Tahoma" w:cs="Tahoma"/>
          <w:b/>
          <w:sz w:val="20"/>
          <w:szCs w:val="20"/>
        </w:rPr>
        <w:t>:</w:t>
      </w:r>
    </w:p>
    <w:p w:rsidR="00FF35E3" w:rsidRPr="00FF35E3" w:rsidRDefault="001B66FE" w:rsidP="00EE2245">
      <w:pPr>
        <w:ind w:right="176"/>
        <w:jc w:val="both"/>
        <w:rPr>
          <w:rFonts w:ascii="Tahoma" w:hAnsi="Tahoma" w:cs="Tahoma"/>
          <w:i/>
          <w:sz w:val="20"/>
          <w:szCs w:val="20"/>
        </w:rPr>
      </w:pPr>
      <w:r w:rsidRPr="001B66FE">
        <w:rPr>
          <w:rFonts w:ascii="Tahoma" w:hAnsi="Tahoma" w:cs="Tahoma"/>
          <w:i/>
          <w:sz w:val="20"/>
          <w:szCs w:val="20"/>
        </w:rPr>
        <w:t xml:space="preserve">«Το σημείο από το οποίο ξεκινάει η προσπάθεια της </w:t>
      </w:r>
      <w:r w:rsidRPr="001B66FE">
        <w:rPr>
          <w:rFonts w:ascii="Tahoma" w:hAnsi="Tahoma" w:cs="Tahoma"/>
          <w:i/>
          <w:sz w:val="20"/>
          <w:szCs w:val="20"/>
          <w:lang w:val="en-US"/>
        </w:rPr>
        <w:t>Attica</w:t>
      </w:r>
      <w:r w:rsidR="00616830">
        <w:rPr>
          <w:rFonts w:ascii="Tahoma" w:hAnsi="Tahoma" w:cs="Tahoma"/>
          <w:i/>
          <w:sz w:val="20"/>
          <w:szCs w:val="20"/>
        </w:rPr>
        <w:t xml:space="preserve"> </w:t>
      </w:r>
      <w:r w:rsidRPr="001B66FE">
        <w:rPr>
          <w:rFonts w:ascii="Tahoma" w:hAnsi="Tahoma" w:cs="Tahoma"/>
          <w:i/>
          <w:sz w:val="20"/>
          <w:szCs w:val="20"/>
          <w:lang w:val="en-US"/>
        </w:rPr>
        <w:t>Bank</w:t>
      </w:r>
      <w:r w:rsidR="00090E5A">
        <w:rPr>
          <w:rFonts w:ascii="Tahoma" w:hAnsi="Tahoma" w:cs="Tahoma"/>
          <w:i/>
          <w:sz w:val="20"/>
          <w:szCs w:val="20"/>
        </w:rPr>
        <w:t xml:space="preserve"> </w:t>
      </w:r>
      <w:r>
        <w:rPr>
          <w:rFonts w:ascii="Tahoma" w:hAnsi="Tahoma" w:cs="Tahoma"/>
          <w:i/>
          <w:sz w:val="20"/>
          <w:szCs w:val="20"/>
        </w:rPr>
        <w:t xml:space="preserve">για την κεφαλαιακή της θωράκιση είναι </w:t>
      </w:r>
      <w:r w:rsidR="00090E5A">
        <w:rPr>
          <w:rFonts w:ascii="Tahoma" w:hAnsi="Tahoma" w:cs="Tahoma"/>
          <w:i/>
          <w:sz w:val="20"/>
          <w:szCs w:val="20"/>
        </w:rPr>
        <w:t>αναμφίβολα διαφορετικό.</w:t>
      </w:r>
      <w:r>
        <w:rPr>
          <w:rFonts w:ascii="Tahoma" w:hAnsi="Tahoma" w:cs="Tahoma"/>
          <w:i/>
          <w:sz w:val="20"/>
          <w:szCs w:val="20"/>
        </w:rPr>
        <w:t xml:space="preserve"> </w:t>
      </w:r>
      <w:r w:rsidR="00F910BD">
        <w:rPr>
          <w:rFonts w:ascii="Tahoma" w:hAnsi="Tahoma" w:cs="Tahoma"/>
          <w:i/>
          <w:sz w:val="20"/>
          <w:szCs w:val="20"/>
        </w:rPr>
        <w:t>Η ολοκλήρωση της ανακεφαλ</w:t>
      </w:r>
      <w:r w:rsidR="00FF35E3">
        <w:rPr>
          <w:rFonts w:ascii="Tahoma" w:hAnsi="Tahoma" w:cs="Tahoma"/>
          <w:i/>
          <w:sz w:val="20"/>
          <w:szCs w:val="20"/>
        </w:rPr>
        <w:t>αι</w:t>
      </w:r>
      <w:r w:rsidR="00F910BD">
        <w:rPr>
          <w:rFonts w:ascii="Tahoma" w:hAnsi="Tahoma" w:cs="Tahoma"/>
          <w:i/>
          <w:sz w:val="20"/>
          <w:szCs w:val="20"/>
        </w:rPr>
        <w:t xml:space="preserve">οποίησης θα αποτελέσει την αφετηρία για τη θεμελίωση της διακριτής </w:t>
      </w:r>
      <w:r w:rsidR="00C410A5">
        <w:rPr>
          <w:rFonts w:ascii="Tahoma" w:hAnsi="Tahoma" w:cs="Tahoma"/>
          <w:i/>
          <w:sz w:val="20"/>
          <w:szCs w:val="20"/>
        </w:rPr>
        <w:t xml:space="preserve">αναπτυξιακής </w:t>
      </w:r>
      <w:r w:rsidR="00F910BD">
        <w:rPr>
          <w:rFonts w:ascii="Tahoma" w:hAnsi="Tahoma" w:cs="Tahoma"/>
          <w:i/>
          <w:sz w:val="20"/>
          <w:szCs w:val="20"/>
        </w:rPr>
        <w:t>της πορείας</w:t>
      </w:r>
      <w:r w:rsidR="00C410A5">
        <w:rPr>
          <w:rFonts w:ascii="Tahoma" w:hAnsi="Tahoma" w:cs="Tahoma"/>
          <w:i/>
          <w:sz w:val="20"/>
          <w:szCs w:val="20"/>
        </w:rPr>
        <w:t xml:space="preserve">, </w:t>
      </w:r>
      <w:r w:rsidR="00F910BD">
        <w:rPr>
          <w:rFonts w:ascii="Tahoma" w:hAnsi="Tahoma" w:cs="Tahoma"/>
          <w:i/>
          <w:sz w:val="20"/>
          <w:szCs w:val="20"/>
        </w:rPr>
        <w:t xml:space="preserve">ως μια τράπεζα σύγχρονη, </w:t>
      </w:r>
      <w:r w:rsidR="00C410A5" w:rsidRPr="00AF018D">
        <w:rPr>
          <w:rFonts w:ascii="Tahoma" w:hAnsi="Tahoma" w:cs="Tahoma"/>
          <w:i/>
          <w:sz w:val="20"/>
          <w:szCs w:val="20"/>
        </w:rPr>
        <w:t xml:space="preserve">καινοτόμα, </w:t>
      </w:r>
      <w:r w:rsidR="00F910BD" w:rsidRPr="00AF018D">
        <w:rPr>
          <w:rFonts w:ascii="Tahoma" w:hAnsi="Tahoma" w:cs="Tahoma"/>
          <w:i/>
          <w:sz w:val="20"/>
          <w:szCs w:val="20"/>
        </w:rPr>
        <w:t xml:space="preserve">ευέλικτη, φιλική, </w:t>
      </w:r>
      <w:r w:rsidR="00C410A5" w:rsidRPr="00AF018D">
        <w:rPr>
          <w:rFonts w:ascii="Tahoma" w:hAnsi="Tahoma" w:cs="Tahoma"/>
          <w:i/>
          <w:sz w:val="20"/>
          <w:szCs w:val="20"/>
        </w:rPr>
        <w:t xml:space="preserve">και </w:t>
      </w:r>
      <w:r w:rsidR="00F910BD" w:rsidRPr="00AF018D">
        <w:rPr>
          <w:rFonts w:ascii="Tahoma" w:hAnsi="Tahoma" w:cs="Tahoma"/>
          <w:i/>
          <w:sz w:val="20"/>
          <w:szCs w:val="20"/>
        </w:rPr>
        <w:t>αποτελεσματικ</w:t>
      </w:r>
      <w:r w:rsidR="00C410A5" w:rsidRPr="00AF018D">
        <w:rPr>
          <w:rFonts w:ascii="Tahoma" w:hAnsi="Tahoma" w:cs="Tahoma"/>
          <w:i/>
          <w:sz w:val="20"/>
          <w:szCs w:val="20"/>
        </w:rPr>
        <w:t>ή</w:t>
      </w:r>
      <w:r w:rsidR="00F910BD" w:rsidRPr="00AF018D">
        <w:rPr>
          <w:rFonts w:ascii="Tahoma" w:hAnsi="Tahoma" w:cs="Tahoma"/>
          <w:i/>
          <w:sz w:val="20"/>
          <w:szCs w:val="20"/>
        </w:rPr>
        <w:t xml:space="preserve">. </w:t>
      </w:r>
      <w:r w:rsidR="00090E5A" w:rsidRPr="00AF018D">
        <w:rPr>
          <w:rFonts w:ascii="Tahoma" w:hAnsi="Tahoma" w:cs="Tahoma"/>
          <w:i/>
          <w:sz w:val="20"/>
          <w:szCs w:val="20"/>
        </w:rPr>
        <w:t>Η</w:t>
      </w:r>
      <w:r w:rsidRPr="00AF018D">
        <w:rPr>
          <w:rFonts w:ascii="Tahoma" w:hAnsi="Tahoma" w:cs="Tahoma"/>
          <w:i/>
          <w:sz w:val="20"/>
          <w:szCs w:val="20"/>
        </w:rPr>
        <w:t xml:space="preserve"> Τράπεζα δεν είχε ολοκληρώσει την αύξηση μετοχικού κεφαλαίου ύψους 43</w:t>
      </w:r>
      <w:r w:rsidR="004C0A9B" w:rsidRPr="00AF018D">
        <w:rPr>
          <w:rFonts w:ascii="Tahoma" w:hAnsi="Tahoma" w:cs="Tahoma"/>
          <w:i/>
          <w:sz w:val="20"/>
          <w:szCs w:val="20"/>
        </w:rPr>
        <w:t>4</w:t>
      </w:r>
      <w:r w:rsidRPr="00AF018D">
        <w:rPr>
          <w:rFonts w:ascii="Tahoma" w:hAnsi="Tahoma" w:cs="Tahoma"/>
          <w:i/>
          <w:sz w:val="20"/>
          <w:szCs w:val="20"/>
        </w:rPr>
        <w:t xml:space="preserve"> εκατ. ευρώ που είχε αποφασιστεί για την κάλυψη των αναγκών που είχαν προκύψει </w:t>
      </w:r>
      <w:r w:rsidR="00AF018D">
        <w:rPr>
          <w:rFonts w:ascii="Tahoma" w:hAnsi="Tahoma" w:cs="Tahoma"/>
          <w:i/>
          <w:sz w:val="20"/>
          <w:szCs w:val="20"/>
        </w:rPr>
        <w:t xml:space="preserve">βάσει του δυσμενούς σεναρίου </w:t>
      </w:r>
      <w:r w:rsidR="00AF018D" w:rsidRPr="00AF018D">
        <w:rPr>
          <w:rFonts w:ascii="Tahoma" w:hAnsi="Tahoma" w:cs="Tahoma"/>
          <w:i/>
          <w:sz w:val="20"/>
          <w:szCs w:val="20"/>
        </w:rPr>
        <w:t>(</w:t>
      </w:r>
      <w:r w:rsidR="00AF018D">
        <w:rPr>
          <w:rFonts w:ascii="Tahoma" w:hAnsi="Tahoma" w:cs="Tahoma"/>
          <w:i/>
          <w:sz w:val="20"/>
          <w:szCs w:val="20"/>
        </w:rPr>
        <w:t>ελάχιστο</w:t>
      </w:r>
      <w:r w:rsidR="00AF018D" w:rsidRPr="00AF018D">
        <w:rPr>
          <w:rFonts w:ascii="Tahoma" w:hAnsi="Tahoma" w:cs="Tahoma"/>
          <w:i/>
          <w:sz w:val="20"/>
          <w:szCs w:val="20"/>
        </w:rPr>
        <w:t xml:space="preserve"> όριο δεικτών κεφαλαιακής επάρκειας 5,5%)</w:t>
      </w:r>
      <w:r w:rsidR="000045E7">
        <w:rPr>
          <w:rFonts w:ascii="Tahoma" w:hAnsi="Tahoma" w:cs="Tahoma"/>
          <w:i/>
          <w:sz w:val="20"/>
          <w:szCs w:val="20"/>
        </w:rPr>
        <w:t xml:space="preserve"> </w:t>
      </w:r>
      <w:r w:rsidR="00AF018D">
        <w:rPr>
          <w:rFonts w:ascii="Tahoma" w:hAnsi="Tahoma" w:cs="Tahoma"/>
          <w:i/>
          <w:sz w:val="20"/>
          <w:szCs w:val="20"/>
        </w:rPr>
        <w:t>της</w:t>
      </w:r>
      <w:r w:rsidRPr="00AF018D">
        <w:rPr>
          <w:rFonts w:ascii="Tahoma" w:hAnsi="Tahoma" w:cs="Tahoma"/>
          <w:i/>
          <w:sz w:val="20"/>
          <w:szCs w:val="20"/>
        </w:rPr>
        <w:t xml:space="preserve"> προηγούμενη</w:t>
      </w:r>
      <w:r w:rsidR="00AF018D">
        <w:rPr>
          <w:rFonts w:ascii="Tahoma" w:hAnsi="Tahoma" w:cs="Tahoma"/>
          <w:i/>
          <w:sz w:val="20"/>
          <w:szCs w:val="20"/>
        </w:rPr>
        <w:t>ς</w:t>
      </w:r>
      <w:r w:rsidRPr="00AF018D">
        <w:rPr>
          <w:rFonts w:ascii="Tahoma" w:hAnsi="Tahoma" w:cs="Tahoma"/>
          <w:i/>
          <w:sz w:val="20"/>
          <w:szCs w:val="20"/>
        </w:rPr>
        <w:t xml:space="preserve"> άσκηση</w:t>
      </w:r>
      <w:r w:rsidR="005D1B26">
        <w:rPr>
          <w:rFonts w:ascii="Tahoma" w:hAnsi="Tahoma" w:cs="Tahoma"/>
          <w:i/>
          <w:sz w:val="20"/>
          <w:szCs w:val="20"/>
        </w:rPr>
        <w:t>ς</w:t>
      </w:r>
      <w:r w:rsidRPr="00AF018D">
        <w:rPr>
          <w:rFonts w:ascii="Tahoma" w:hAnsi="Tahoma" w:cs="Tahoma"/>
          <w:i/>
          <w:sz w:val="20"/>
          <w:szCs w:val="20"/>
        </w:rPr>
        <w:t xml:space="preserve"> Προσομοίωσης Ακραίων Καταστάσεων που είχε διεξάγει η Τράπεζα της Ελλάδος το 2014</w:t>
      </w:r>
      <w:r w:rsidR="00AF018D">
        <w:rPr>
          <w:rFonts w:ascii="Tahoma" w:hAnsi="Tahoma" w:cs="Tahoma"/>
          <w:i/>
          <w:sz w:val="20"/>
          <w:szCs w:val="20"/>
        </w:rPr>
        <w:t>,</w:t>
      </w:r>
      <w:r w:rsidRPr="00AF018D">
        <w:rPr>
          <w:rFonts w:ascii="Tahoma" w:hAnsi="Tahoma" w:cs="Tahoma"/>
          <w:i/>
          <w:sz w:val="20"/>
          <w:szCs w:val="20"/>
        </w:rPr>
        <w:t xml:space="preserve"> με αναφορά τα οικονομικά στοιχεία της 30</w:t>
      </w:r>
      <w:r w:rsidRPr="00AF018D">
        <w:rPr>
          <w:rFonts w:ascii="Tahoma" w:hAnsi="Tahoma" w:cs="Tahoma"/>
          <w:i/>
          <w:sz w:val="20"/>
          <w:szCs w:val="20"/>
          <w:vertAlign w:val="superscript"/>
        </w:rPr>
        <w:t>ης</w:t>
      </w:r>
      <w:r w:rsidRPr="00AF018D">
        <w:rPr>
          <w:rFonts w:ascii="Tahoma" w:hAnsi="Tahoma" w:cs="Tahoma"/>
          <w:i/>
          <w:sz w:val="20"/>
          <w:szCs w:val="20"/>
        </w:rPr>
        <w:t xml:space="preserve"> Ιουνίου 2013.</w:t>
      </w:r>
      <w:r>
        <w:rPr>
          <w:rFonts w:ascii="Tahoma" w:hAnsi="Tahoma" w:cs="Tahoma"/>
          <w:i/>
          <w:sz w:val="20"/>
          <w:szCs w:val="20"/>
        </w:rPr>
        <w:t xml:space="preserve"> </w:t>
      </w:r>
    </w:p>
    <w:p w:rsidR="001B66FE" w:rsidRDefault="001B66FE" w:rsidP="00EE2245">
      <w:pPr>
        <w:ind w:right="176"/>
        <w:jc w:val="both"/>
        <w:rPr>
          <w:rFonts w:ascii="Tahoma" w:hAnsi="Tahoma" w:cs="Tahoma"/>
          <w:i/>
          <w:sz w:val="20"/>
          <w:szCs w:val="20"/>
        </w:rPr>
      </w:pPr>
      <w:r>
        <w:rPr>
          <w:rFonts w:ascii="Tahoma" w:hAnsi="Tahoma" w:cs="Tahoma"/>
          <w:i/>
          <w:sz w:val="20"/>
          <w:szCs w:val="20"/>
        </w:rPr>
        <w:t>Συνεπώς</w:t>
      </w:r>
      <w:r w:rsidR="005D1B26">
        <w:rPr>
          <w:rFonts w:ascii="Tahoma" w:hAnsi="Tahoma" w:cs="Tahoma"/>
          <w:i/>
          <w:sz w:val="20"/>
          <w:szCs w:val="20"/>
        </w:rPr>
        <w:t>,</w:t>
      </w:r>
      <w:r>
        <w:rPr>
          <w:rFonts w:ascii="Tahoma" w:hAnsi="Tahoma" w:cs="Tahoma"/>
          <w:i/>
          <w:sz w:val="20"/>
          <w:szCs w:val="20"/>
        </w:rPr>
        <w:t xml:space="preserve"> το ύψος των κεφαλαίων </w:t>
      </w:r>
      <w:r w:rsidRPr="004C0A9B">
        <w:rPr>
          <w:rFonts w:ascii="Tahoma" w:hAnsi="Tahoma" w:cs="Tahoma"/>
          <w:i/>
          <w:sz w:val="20"/>
          <w:szCs w:val="20"/>
        </w:rPr>
        <w:t>των 43</w:t>
      </w:r>
      <w:r w:rsidR="004C0A9B" w:rsidRPr="00616830">
        <w:rPr>
          <w:rFonts w:ascii="Tahoma" w:hAnsi="Tahoma" w:cs="Tahoma"/>
          <w:i/>
          <w:sz w:val="20"/>
          <w:szCs w:val="20"/>
        </w:rPr>
        <w:t>4</w:t>
      </w:r>
      <w:r>
        <w:rPr>
          <w:rFonts w:ascii="Tahoma" w:hAnsi="Tahoma" w:cs="Tahoma"/>
          <w:i/>
          <w:sz w:val="20"/>
          <w:szCs w:val="20"/>
        </w:rPr>
        <w:t xml:space="preserve"> εκατ. ευρώ συμπεριλαμβάνονται στο ύψος της κεφαλαιακής υστέρησης που προέκυψε από την συνολική αξιολόγηση που διεξήγαγε η εποπτική αρχή το έτος 2015 με στοιχεία αναφοράς τη</w:t>
      </w:r>
      <w:r w:rsidR="004B166E">
        <w:rPr>
          <w:rFonts w:ascii="Tahoma" w:hAnsi="Tahoma" w:cs="Tahoma"/>
          <w:i/>
          <w:sz w:val="20"/>
          <w:szCs w:val="20"/>
        </w:rPr>
        <w:t>ς</w:t>
      </w:r>
      <w:r>
        <w:rPr>
          <w:rFonts w:ascii="Tahoma" w:hAnsi="Tahoma" w:cs="Tahoma"/>
          <w:i/>
          <w:sz w:val="20"/>
          <w:szCs w:val="20"/>
        </w:rPr>
        <w:t xml:space="preserve"> 30/06/2015. </w:t>
      </w:r>
      <w:r w:rsidR="002C0730">
        <w:rPr>
          <w:rFonts w:ascii="Tahoma" w:hAnsi="Tahoma" w:cs="Tahoma"/>
          <w:i/>
          <w:sz w:val="20"/>
          <w:szCs w:val="20"/>
        </w:rPr>
        <w:t>Το ύψος των σημερινών κεφαλαιακών αναγκών με βάση την αξιολόγηση του έτους 2015 από την Τράπεζα της Ελλάδος προσδιορίζεται σε 857 εκατ. ευρώ στο βασικό σενάριο</w:t>
      </w:r>
      <w:r w:rsidR="00FF35E3">
        <w:rPr>
          <w:rFonts w:ascii="Tahoma" w:hAnsi="Tahoma" w:cs="Tahoma"/>
          <w:i/>
          <w:sz w:val="20"/>
          <w:szCs w:val="20"/>
        </w:rPr>
        <w:t xml:space="preserve"> </w:t>
      </w:r>
      <w:r w:rsidR="000045E7">
        <w:rPr>
          <w:rFonts w:ascii="Tahoma" w:hAnsi="Tahoma" w:cs="Tahoma"/>
          <w:i/>
          <w:sz w:val="20"/>
          <w:szCs w:val="20"/>
        </w:rPr>
        <w:t>(</w:t>
      </w:r>
      <w:r w:rsidR="00FF35E3">
        <w:rPr>
          <w:rFonts w:ascii="Tahoma" w:hAnsi="Tahoma" w:cs="Tahoma"/>
          <w:i/>
          <w:sz w:val="20"/>
          <w:szCs w:val="20"/>
        </w:rPr>
        <w:t xml:space="preserve">ελάχιστο όριο </w:t>
      </w:r>
      <w:r w:rsidR="000045E7">
        <w:rPr>
          <w:rFonts w:ascii="Tahoma" w:hAnsi="Tahoma" w:cs="Tahoma"/>
          <w:i/>
          <w:sz w:val="20"/>
          <w:szCs w:val="20"/>
        </w:rPr>
        <w:t xml:space="preserve">δείκτη </w:t>
      </w:r>
      <w:r w:rsidR="00FF35E3">
        <w:rPr>
          <w:rFonts w:ascii="Tahoma" w:hAnsi="Tahoma" w:cs="Tahoma"/>
          <w:i/>
          <w:sz w:val="20"/>
          <w:szCs w:val="20"/>
          <w:lang w:val="en-GB"/>
        </w:rPr>
        <w:t>CET</w:t>
      </w:r>
      <w:r w:rsidR="000045E7">
        <w:rPr>
          <w:rFonts w:ascii="Tahoma" w:hAnsi="Tahoma" w:cs="Tahoma"/>
          <w:i/>
          <w:sz w:val="20"/>
          <w:szCs w:val="20"/>
        </w:rPr>
        <w:t xml:space="preserve">1 </w:t>
      </w:r>
      <w:r w:rsidR="00FF35E3" w:rsidRPr="00FF35E3">
        <w:rPr>
          <w:rFonts w:ascii="Tahoma" w:hAnsi="Tahoma" w:cs="Tahoma"/>
          <w:i/>
          <w:sz w:val="20"/>
          <w:szCs w:val="20"/>
        </w:rPr>
        <w:t>9,5</w:t>
      </w:r>
      <w:r w:rsidR="00FB4D01">
        <w:rPr>
          <w:rFonts w:ascii="Tahoma" w:hAnsi="Tahoma" w:cs="Tahoma"/>
          <w:i/>
          <w:sz w:val="20"/>
          <w:szCs w:val="20"/>
        </w:rPr>
        <w:t>%</w:t>
      </w:r>
      <w:r w:rsidR="00FF35E3" w:rsidRPr="00FF35E3">
        <w:rPr>
          <w:rFonts w:ascii="Tahoma" w:hAnsi="Tahoma" w:cs="Tahoma"/>
          <w:i/>
          <w:sz w:val="20"/>
          <w:szCs w:val="20"/>
        </w:rPr>
        <w:t xml:space="preserve">) </w:t>
      </w:r>
      <w:r w:rsidR="002C0730">
        <w:rPr>
          <w:rFonts w:ascii="Tahoma" w:hAnsi="Tahoma" w:cs="Tahoma"/>
          <w:i/>
          <w:sz w:val="20"/>
          <w:szCs w:val="20"/>
        </w:rPr>
        <w:t xml:space="preserve"> και </w:t>
      </w:r>
      <w:r w:rsidR="00FB4D01">
        <w:rPr>
          <w:rFonts w:ascii="Tahoma" w:hAnsi="Tahoma" w:cs="Tahoma"/>
          <w:i/>
          <w:sz w:val="20"/>
          <w:szCs w:val="20"/>
        </w:rPr>
        <w:t xml:space="preserve">σε </w:t>
      </w:r>
      <w:r w:rsidR="002C0730">
        <w:rPr>
          <w:rFonts w:ascii="Tahoma" w:hAnsi="Tahoma" w:cs="Tahoma"/>
          <w:i/>
          <w:sz w:val="20"/>
          <w:szCs w:val="20"/>
        </w:rPr>
        <w:t>1.021 εκατ. ευρώ στο σενάριο δυσμενών εξελίξεων</w:t>
      </w:r>
      <w:r w:rsidR="00FF35E3" w:rsidRPr="00FF35E3">
        <w:rPr>
          <w:rFonts w:ascii="Tahoma" w:hAnsi="Tahoma" w:cs="Tahoma"/>
          <w:i/>
          <w:sz w:val="20"/>
          <w:szCs w:val="20"/>
        </w:rPr>
        <w:t xml:space="preserve"> </w:t>
      </w:r>
      <w:r w:rsidR="00FF35E3">
        <w:rPr>
          <w:rFonts w:ascii="Tahoma" w:hAnsi="Tahoma" w:cs="Tahoma"/>
          <w:i/>
          <w:sz w:val="20"/>
          <w:szCs w:val="20"/>
        </w:rPr>
        <w:t xml:space="preserve">(ελάχιστο </w:t>
      </w:r>
      <w:r w:rsidR="00FB4D01">
        <w:rPr>
          <w:rFonts w:ascii="Tahoma" w:hAnsi="Tahoma" w:cs="Tahoma"/>
          <w:i/>
          <w:sz w:val="20"/>
          <w:szCs w:val="20"/>
        </w:rPr>
        <w:t xml:space="preserve">όριο δείκτη </w:t>
      </w:r>
      <w:r w:rsidR="00FF35E3">
        <w:rPr>
          <w:rFonts w:ascii="Tahoma" w:hAnsi="Tahoma" w:cs="Tahoma"/>
          <w:i/>
          <w:sz w:val="20"/>
          <w:szCs w:val="20"/>
          <w:lang w:val="en-GB"/>
        </w:rPr>
        <w:t>CET</w:t>
      </w:r>
      <w:r w:rsidR="000045E7">
        <w:rPr>
          <w:rFonts w:ascii="Tahoma" w:hAnsi="Tahoma" w:cs="Tahoma"/>
          <w:i/>
          <w:sz w:val="20"/>
          <w:szCs w:val="20"/>
        </w:rPr>
        <w:t>1</w:t>
      </w:r>
      <w:r w:rsidR="00FB4D01">
        <w:rPr>
          <w:rFonts w:ascii="Tahoma" w:hAnsi="Tahoma" w:cs="Tahoma"/>
          <w:i/>
          <w:sz w:val="20"/>
          <w:szCs w:val="20"/>
        </w:rPr>
        <w:t xml:space="preserve"> 8% έναντι 5,5% στο </w:t>
      </w:r>
      <w:r w:rsidR="00FB4D01">
        <w:rPr>
          <w:rFonts w:ascii="Tahoma" w:hAnsi="Tahoma" w:cs="Tahoma"/>
          <w:i/>
          <w:sz w:val="20"/>
          <w:szCs w:val="20"/>
        </w:rPr>
        <w:lastRenderedPageBreak/>
        <w:t>αντίστοιχο σενάριο της άσκησης του 2014)</w:t>
      </w:r>
      <w:r w:rsidR="000B486C">
        <w:rPr>
          <w:rFonts w:ascii="Tahoma" w:hAnsi="Tahoma" w:cs="Tahoma"/>
          <w:i/>
          <w:sz w:val="20"/>
          <w:szCs w:val="20"/>
        </w:rPr>
        <w:t>,</w:t>
      </w:r>
      <w:r w:rsidR="002C0730">
        <w:rPr>
          <w:rFonts w:ascii="Tahoma" w:hAnsi="Tahoma" w:cs="Tahoma"/>
          <w:i/>
          <w:sz w:val="20"/>
          <w:szCs w:val="20"/>
        </w:rPr>
        <w:t xml:space="preserve"> </w:t>
      </w:r>
      <w:r w:rsidR="002C0730" w:rsidRPr="002C0730">
        <w:rPr>
          <w:rFonts w:ascii="Tahoma" w:hAnsi="Tahoma" w:cs="Tahoma"/>
          <w:i/>
          <w:sz w:val="20"/>
          <w:szCs w:val="20"/>
          <w:u w:val="single"/>
        </w:rPr>
        <w:t>χωρίς μάλιστα να έχουν προσμετρηθεί οι ενέργειες κεφαλαιακής υποστήριξης της Τράπεζας.</w:t>
      </w:r>
    </w:p>
    <w:p w:rsidR="00A81CAF" w:rsidRDefault="00F910BD" w:rsidP="00EE2245">
      <w:pPr>
        <w:ind w:right="176"/>
        <w:jc w:val="both"/>
        <w:rPr>
          <w:rFonts w:ascii="Tahoma" w:hAnsi="Tahoma" w:cs="Tahoma"/>
          <w:i/>
          <w:sz w:val="20"/>
          <w:szCs w:val="20"/>
        </w:rPr>
      </w:pPr>
      <w:r>
        <w:rPr>
          <w:rFonts w:ascii="Tahoma" w:hAnsi="Tahoma" w:cs="Tahoma"/>
          <w:i/>
          <w:sz w:val="20"/>
          <w:szCs w:val="20"/>
        </w:rPr>
        <w:t xml:space="preserve">Όλα τα στοιχεία της Τράπεζας </w:t>
      </w:r>
      <w:r w:rsidR="00A81CAF">
        <w:rPr>
          <w:rFonts w:ascii="Tahoma" w:hAnsi="Tahoma" w:cs="Tahoma"/>
          <w:i/>
          <w:sz w:val="20"/>
          <w:szCs w:val="20"/>
        </w:rPr>
        <w:t>επιβεβαιών</w:t>
      </w:r>
      <w:r>
        <w:rPr>
          <w:rFonts w:ascii="Tahoma" w:hAnsi="Tahoma" w:cs="Tahoma"/>
          <w:i/>
          <w:sz w:val="20"/>
          <w:szCs w:val="20"/>
        </w:rPr>
        <w:t>ουν</w:t>
      </w:r>
      <w:r w:rsidR="00A81CAF">
        <w:rPr>
          <w:rFonts w:ascii="Tahoma" w:hAnsi="Tahoma" w:cs="Tahoma"/>
          <w:i/>
          <w:sz w:val="20"/>
          <w:szCs w:val="20"/>
        </w:rPr>
        <w:t xml:space="preserve"> την πρόοδο που έχει συντελεστεί σε επίπεδο δομών, οργάνωσης και λειτουργίας όσο και τον επιτυχή στρατηγικό σχεδιασμό που ακολουθείται, ο οποίος έχει ήδη αρχίσει να παράγει αποτελέσματα στην κατεύθυνση εκσυγχρονισμού </w:t>
      </w:r>
      <w:r w:rsidR="00885E97">
        <w:rPr>
          <w:rFonts w:ascii="Tahoma" w:hAnsi="Tahoma" w:cs="Tahoma"/>
          <w:i/>
          <w:sz w:val="20"/>
          <w:szCs w:val="20"/>
        </w:rPr>
        <w:t xml:space="preserve">, κάτι το οποίο αποτυπώνεται στην επαναφορά της </w:t>
      </w:r>
      <w:r>
        <w:rPr>
          <w:rFonts w:ascii="Tahoma" w:hAnsi="Tahoma" w:cs="Tahoma"/>
          <w:i/>
          <w:sz w:val="20"/>
          <w:szCs w:val="20"/>
        </w:rPr>
        <w:t>σ</w:t>
      </w:r>
      <w:r w:rsidR="00885E97">
        <w:rPr>
          <w:rFonts w:ascii="Tahoma" w:hAnsi="Tahoma" w:cs="Tahoma"/>
          <w:i/>
          <w:sz w:val="20"/>
          <w:szCs w:val="20"/>
        </w:rPr>
        <w:t>ε οργανική κερδοφορία</w:t>
      </w:r>
      <w:r w:rsidR="000B486C">
        <w:rPr>
          <w:rFonts w:ascii="Tahoma" w:hAnsi="Tahoma" w:cs="Tahoma"/>
          <w:i/>
          <w:sz w:val="20"/>
          <w:szCs w:val="20"/>
        </w:rPr>
        <w:t xml:space="preserve"> </w:t>
      </w:r>
      <w:r>
        <w:rPr>
          <w:rFonts w:ascii="Tahoma" w:hAnsi="Tahoma" w:cs="Tahoma"/>
          <w:i/>
          <w:sz w:val="20"/>
          <w:szCs w:val="20"/>
        </w:rPr>
        <w:t>και</w:t>
      </w:r>
      <w:r w:rsidR="000B486C">
        <w:rPr>
          <w:rFonts w:ascii="Tahoma" w:hAnsi="Tahoma" w:cs="Tahoma"/>
          <w:i/>
          <w:sz w:val="20"/>
          <w:szCs w:val="20"/>
        </w:rPr>
        <w:t xml:space="preserve"> αυξανόμενη δημιουργία εσωτερικού κεφαλαίου</w:t>
      </w:r>
      <w:r w:rsidR="00885E97">
        <w:rPr>
          <w:rFonts w:ascii="Tahoma" w:hAnsi="Tahoma" w:cs="Tahoma"/>
          <w:i/>
          <w:sz w:val="20"/>
          <w:szCs w:val="20"/>
        </w:rPr>
        <w:t>.</w:t>
      </w:r>
    </w:p>
    <w:p w:rsidR="00F01159" w:rsidRDefault="00F01159" w:rsidP="00EE2245">
      <w:pPr>
        <w:ind w:right="176"/>
        <w:jc w:val="both"/>
        <w:rPr>
          <w:rFonts w:ascii="Tahoma" w:hAnsi="Tahoma" w:cs="Tahoma"/>
          <w:i/>
          <w:sz w:val="20"/>
          <w:szCs w:val="20"/>
        </w:rPr>
      </w:pPr>
      <w:r>
        <w:rPr>
          <w:rFonts w:ascii="Tahoma" w:hAnsi="Tahoma" w:cs="Tahoma"/>
          <w:i/>
          <w:sz w:val="20"/>
          <w:szCs w:val="20"/>
        </w:rPr>
        <w:t xml:space="preserve">Η Τράπεζα με την ενεργή στήριξη </w:t>
      </w:r>
      <w:r w:rsidR="00C410A5">
        <w:rPr>
          <w:rFonts w:ascii="Tahoma" w:hAnsi="Tahoma" w:cs="Tahoma"/>
          <w:i/>
          <w:sz w:val="20"/>
          <w:szCs w:val="20"/>
        </w:rPr>
        <w:t xml:space="preserve">και εμπιστοσύνη </w:t>
      </w:r>
      <w:r>
        <w:rPr>
          <w:rFonts w:ascii="Tahoma" w:hAnsi="Tahoma" w:cs="Tahoma"/>
          <w:i/>
          <w:sz w:val="20"/>
          <w:szCs w:val="20"/>
        </w:rPr>
        <w:t xml:space="preserve">του βασικού της μετόχου ΕΤΑΑ-ΤΣΜΕΔΕ, των λοιπών μετόχων </w:t>
      </w:r>
      <w:r w:rsidR="008665D5">
        <w:rPr>
          <w:rFonts w:ascii="Tahoma" w:hAnsi="Tahoma" w:cs="Tahoma"/>
          <w:i/>
          <w:sz w:val="20"/>
          <w:szCs w:val="20"/>
        </w:rPr>
        <w:t>της,</w:t>
      </w:r>
      <w:r>
        <w:rPr>
          <w:rFonts w:ascii="Tahoma" w:hAnsi="Tahoma" w:cs="Tahoma"/>
          <w:i/>
          <w:sz w:val="20"/>
          <w:szCs w:val="20"/>
        </w:rPr>
        <w:t xml:space="preserve"> αλλά και προσ</w:t>
      </w:r>
      <w:r w:rsidR="008B1472">
        <w:rPr>
          <w:rFonts w:ascii="Tahoma" w:hAnsi="Tahoma" w:cs="Tahoma"/>
          <w:i/>
          <w:sz w:val="20"/>
          <w:szCs w:val="20"/>
        </w:rPr>
        <w:t>ελκύοντας</w:t>
      </w:r>
      <w:r>
        <w:rPr>
          <w:rFonts w:ascii="Tahoma" w:hAnsi="Tahoma" w:cs="Tahoma"/>
          <w:i/>
          <w:sz w:val="20"/>
          <w:szCs w:val="20"/>
        </w:rPr>
        <w:t xml:space="preserve"> νέ</w:t>
      </w:r>
      <w:r w:rsidR="005D0625">
        <w:rPr>
          <w:rFonts w:ascii="Tahoma" w:hAnsi="Tahoma" w:cs="Tahoma"/>
          <w:i/>
          <w:sz w:val="20"/>
          <w:szCs w:val="20"/>
        </w:rPr>
        <w:t>α</w:t>
      </w:r>
      <w:r>
        <w:rPr>
          <w:rFonts w:ascii="Tahoma" w:hAnsi="Tahoma" w:cs="Tahoma"/>
          <w:i/>
          <w:sz w:val="20"/>
          <w:szCs w:val="20"/>
        </w:rPr>
        <w:t xml:space="preserve"> ιδιωτικ</w:t>
      </w:r>
      <w:r w:rsidR="005D0625">
        <w:rPr>
          <w:rFonts w:ascii="Tahoma" w:hAnsi="Tahoma" w:cs="Tahoma"/>
          <w:i/>
          <w:sz w:val="20"/>
          <w:szCs w:val="20"/>
        </w:rPr>
        <w:t>ά</w:t>
      </w:r>
      <w:r w:rsidR="005D0625" w:rsidRPr="00616830">
        <w:rPr>
          <w:rFonts w:ascii="Tahoma" w:hAnsi="Tahoma" w:cs="Tahoma"/>
          <w:i/>
          <w:sz w:val="20"/>
          <w:szCs w:val="20"/>
        </w:rPr>
        <w:t xml:space="preserve"> </w:t>
      </w:r>
      <w:r>
        <w:rPr>
          <w:rFonts w:ascii="Tahoma" w:hAnsi="Tahoma" w:cs="Tahoma"/>
          <w:i/>
          <w:sz w:val="20"/>
          <w:szCs w:val="20"/>
        </w:rPr>
        <w:t>κεφ</w:t>
      </w:r>
      <w:r w:rsidR="00DA6AB0">
        <w:rPr>
          <w:rFonts w:ascii="Tahoma" w:hAnsi="Tahoma" w:cs="Tahoma"/>
          <w:i/>
          <w:sz w:val="20"/>
          <w:szCs w:val="20"/>
        </w:rPr>
        <w:t>ά</w:t>
      </w:r>
      <w:r>
        <w:rPr>
          <w:rFonts w:ascii="Tahoma" w:hAnsi="Tahoma" w:cs="Tahoma"/>
          <w:i/>
          <w:sz w:val="20"/>
          <w:szCs w:val="20"/>
        </w:rPr>
        <w:t>λ</w:t>
      </w:r>
      <w:r w:rsidR="005D0625">
        <w:rPr>
          <w:rFonts w:ascii="Tahoma" w:hAnsi="Tahoma" w:cs="Tahoma"/>
          <w:i/>
          <w:sz w:val="20"/>
          <w:szCs w:val="20"/>
        </w:rPr>
        <w:t xml:space="preserve">αια </w:t>
      </w:r>
      <w:r w:rsidR="00720A3D">
        <w:rPr>
          <w:rFonts w:ascii="Tahoma" w:hAnsi="Tahoma" w:cs="Tahoma"/>
          <w:i/>
          <w:sz w:val="20"/>
          <w:szCs w:val="20"/>
        </w:rPr>
        <w:t xml:space="preserve">με στρατηγικό </w:t>
      </w:r>
      <w:r w:rsidR="008665D5">
        <w:rPr>
          <w:rFonts w:ascii="Tahoma" w:hAnsi="Tahoma" w:cs="Tahoma"/>
          <w:i/>
          <w:sz w:val="20"/>
          <w:szCs w:val="20"/>
        </w:rPr>
        <w:t xml:space="preserve"> κυρίως </w:t>
      </w:r>
      <w:r w:rsidR="00720A3D">
        <w:rPr>
          <w:rFonts w:ascii="Tahoma" w:hAnsi="Tahoma" w:cs="Tahoma"/>
          <w:i/>
          <w:sz w:val="20"/>
          <w:szCs w:val="20"/>
        </w:rPr>
        <w:t>προσανατολισμό, θα</w:t>
      </w:r>
      <w:r w:rsidR="00DA6AB0">
        <w:rPr>
          <w:rFonts w:ascii="Tahoma" w:hAnsi="Tahoma" w:cs="Tahoma"/>
          <w:i/>
          <w:sz w:val="20"/>
          <w:szCs w:val="20"/>
        </w:rPr>
        <w:t xml:space="preserve"> προβεί σε όλες τις απαραίτητες ενέργειες για </w:t>
      </w:r>
      <w:r w:rsidR="00720A3D">
        <w:rPr>
          <w:rFonts w:ascii="Tahoma" w:hAnsi="Tahoma" w:cs="Tahoma"/>
          <w:i/>
          <w:sz w:val="20"/>
          <w:szCs w:val="20"/>
        </w:rPr>
        <w:t xml:space="preserve"> να καλύψει το συνολικό ύψος των κεφαλαιακών αναγκών που έχουν προκύψει </w:t>
      </w:r>
      <w:r w:rsidR="008665D5">
        <w:rPr>
          <w:rFonts w:ascii="Tahoma" w:hAnsi="Tahoma" w:cs="Tahoma"/>
          <w:i/>
          <w:sz w:val="20"/>
          <w:szCs w:val="20"/>
        </w:rPr>
        <w:t>από ιδιωτικά επενδυτικά κεφάλαια</w:t>
      </w:r>
      <w:r w:rsidR="008B1472">
        <w:rPr>
          <w:rFonts w:ascii="Tahoma" w:hAnsi="Tahoma" w:cs="Tahoma"/>
          <w:i/>
          <w:sz w:val="20"/>
          <w:szCs w:val="20"/>
        </w:rPr>
        <w:t xml:space="preserve">. </w:t>
      </w:r>
      <w:r w:rsidR="00A033BB">
        <w:rPr>
          <w:rFonts w:ascii="Tahoma" w:hAnsi="Tahoma" w:cs="Tahoma"/>
          <w:i/>
          <w:sz w:val="20"/>
          <w:szCs w:val="20"/>
        </w:rPr>
        <w:t>Οι προϋποθέσεις</w:t>
      </w:r>
      <w:r w:rsidR="00DA6AB0">
        <w:rPr>
          <w:rFonts w:ascii="Tahoma" w:hAnsi="Tahoma" w:cs="Tahoma"/>
          <w:i/>
          <w:sz w:val="20"/>
          <w:szCs w:val="20"/>
        </w:rPr>
        <w:t xml:space="preserve"> για </w:t>
      </w:r>
      <w:r w:rsidR="00A033BB">
        <w:rPr>
          <w:rFonts w:ascii="Tahoma" w:hAnsi="Tahoma" w:cs="Tahoma"/>
          <w:i/>
          <w:sz w:val="20"/>
          <w:szCs w:val="20"/>
        </w:rPr>
        <w:t>να καταλήξει στο επιθυμητό αποτέλεσμα υπάρχουν και θα ενισχυθούν</w:t>
      </w:r>
      <w:r w:rsidR="001900DF">
        <w:rPr>
          <w:rFonts w:ascii="Tahoma" w:hAnsi="Tahoma" w:cs="Tahoma"/>
          <w:i/>
          <w:sz w:val="20"/>
          <w:szCs w:val="20"/>
        </w:rPr>
        <w:t xml:space="preserve">. Σε περίπτωση μη επίτευξης </w:t>
      </w:r>
      <w:r w:rsidR="00A033BB">
        <w:rPr>
          <w:rFonts w:ascii="Tahoma" w:hAnsi="Tahoma" w:cs="Tahoma"/>
          <w:i/>
          <w:sz w:val="20"/>
          <w:szCs w:val="20"/>
        </w:rPr>
        <w:t xml:space="preserve">όμως </w:t>
      </w:r>
      <w:r w:rsidR="001900DF">
        <w:rPr>
          <w:rFonts w:ascii="Tahoma" w:hAnsi="Tahoma" w:cs="Tahoma"/>
          <w:i/>
          <w:sz w:val="20"/>
          <w:szCs w:val="20"/>
        </w:rPr>
        <w:t>του στόχου της κάλυψης εξ ολοκλήρου των κεφαλαιακών αναγκών από ιδιωτικά κεφάλαια, η Τράπεζα</w:t>
      </w:r>
      <w:r w:rsidR="00A033BB">
        <w:rPr>
          <w:rFonts w:ascii="Tahoma" w:hAnsi="Tahoma" w:cs="Tahoma"/>
          <w:i/>
          <w:sz w:val="20"/>
          <w:szCs w:val="20"/>
        </w:rPr>
        <w:t>,</w:t>
      </w:r>
      <w:r w:rsidR="001900DF">
        <w:rPr>
          <w:rFonts w:ascii="Tahoma" w:hAnsi="Tahoma" w:cs="Tahoma"/>
          <w:i/>
          <w:sz w:val="20"/>
          <w:szCs w:val="20"/>
        </w:rPr>
        <w:t xml:space="preserve"> </w:t>
      </w:r>
      <w:r w:rsidR="00A033BB">
        <w:rPr>
          <w:rFonts w:ascii="Tahoma" w:hAnsi="Tahoma" w:cs="Tahoma"/>
          <w:i/>
          <w:sz w:val="20"/>
          <w:szCs w:val="20"/>
        </w:rPr>
        <w:t xml:space="preserve">για </w:t>
      </w:r>
      <w:r w:rsidR="001900DF">
        <w:rPr>
          <w:rFonts w:ascii="Tahoma" w:hAnsi="Tahoma" w:cs="Tahoma"/>
          <w:i/>
          <w:sz w:val="20"/>
          <w:szCs w:val="20"/>
        </w:rPr>
        <w:t>το όποιο κεφαλαιακό έλλειμμα</w:t>
      </w:r>
      <w:r w:rsidR="00A033BB">
        <w:rPr>
          <w:rFonts w:ascii="Tahoma" w:hAnsi="Tahoma" w:cs="Tahoma"/>
          <w:i/>
          <w:sz w:val="20"/>
          <w:szCs w:val="20"/>
        </w:rPr>
        <w:t>,</w:t>
      </w:r>
      <w:r w:rsidR="001900DF">
        <w:rPr>
          <w:rFonts w:ascii="Tahoma" w:hAnsi="Tahoma" w:cs="Tahoma"/>
          <w:i/>
          <w:sz w:val="20"/>
          <w:szCs w:val="20"/>
        </w:rPr>
        <w:t xml:space="preserve"> θα </w:t>
      </w:r>
      <w:r w:rsidR="00C410A5">
        <w:rPr>
          <w:rFonts w:ascii="Tahoma" w:hAnsi="Tahoma" w:cs="Tahoma"/>
          <w:i/>
          <w:sz w:val="20"/>
          <w:szCs w:val="20"/>
        </w:rPr>
        <w:t>εξαντλήσει</w:t>
      </w:r>
      <w:r w:rsidR="001900DF">
        <w:rPr>
          <w:rFonts w:ascii="Tahoma" w:hAnsi="Tahoma" w:cs="Tahoma"/>
          <w:i/>
          <w:sz w:val="20"/>
          <w:szCs w:val="20"/>
        </w:rPr>
        <w:t xml:space="preserve"> </w:t>
      </w:r>
      <w:r w:rsidR="00C410A5">
        <w:rPr>
          <w:rFonts w:ascii="Tahoma" w:hAnsi="Tahoma" w:cs="Tahoma"/>
          <w:i/>
          <w:sz w:val="20"/>
          <w:szCs w:val="20"/>
        </w:rPr>
        <w:t>τις σχετικές δυνατότητες</w:t>
      </w:r>
      <w:r w:rsidR="001900DF">
        <w:rPr>
          <w:rFonts w:ascii="Tahoma" w:hAnsi="Tahoma" w:cs="Tahoma"/>
          <w:i/>
          <w:sz w:val="20"/>
          <w:szCs w:val="20"/>
        </w:rPr>
        <w:t xml:space="preserve"> του νέου πλαισίου ανακεφαλαιοποίησης των πιστωτικών ιδρυμάτων</w:t>
      </w:r>
      <w:r w:rsidR="00C410A5">
        <w:rPr>
          <w:rFonts w:ascii="Tahoma" w:hAnsi="Tahoma" w:cs="Tahoma"/>
          <w:i/>
          <w:sz w:val="20"/>
          <w:szCs w:val="20"/>
        </w:rPr>
        <w:t>, κάνοντας χρήση του</w:t>
      </w:r>
      <w:r w:rsidR="001900DF">
        <w:rPr>
          <w:rFonts w:ascii="Tahoma" w:hAnsi="Tahoma" w:cs="Tahoma"/>
          <w:i/>
          <w:sz w:val="20"/>
          <w:szCs w:val="20"/>
        </w:rPr>
        <w:t>.</w:t>
      </w:r>
    </w:p>
    <w:p w:rsidR="00A301D6" w:rsidRPr="001B66FE" w:rsidRDefault="00FE6D53" w:rsidP="00EE2245">
      <w:pPr>
        <w:ind w:right="176"/>
        <w:jc w:val="both"/>
        <w:rPr>
          <w:rFonts w:ascii="Tahoma" w:hAnsi="Tahoma" w:cs="Tahoma"/>
          <w:i/>
          <w:sz w:val="20"/>
          <w:szCs w:val="20"/>
        </w:rPr>
      </w:pPr>
      <w:r>
        <w:rPr>
          <w:rFonts w:ascii="Tahoma" w:hAnsi="Tahoma" w:cs="Tahoma"/>
          <w:i/>
          <w:sz w:val="20"/>
          <w:szCs w:val="20"/>
        </w:rPr>
        <w:t>Μετά την πλήρη ανακεφαλαιοποίησή της η Τράπεζα θα είναι σε θέση να υποστη</w:t>
      </w:r>
      <w:bookmarkStart w:id="0" w:name="_GoBack"/>
      <w:bookmarkEnd w:id="0"/>
      <w:r>
        <w:rPr>
          <w:rFonts w:ascii="Tahoma" w:hAnsi="Tahoma" w:cs="Tahoma"/>
          <w:i/>
          <w:sz w:val="20"/>
          <w:szCs w:val="20"/>
        </w:rPr>
        <w:t xml:space="preserve">ρίξει </w:t>
      </w:r>
      <w:r w:rsidR="00434ECA">
        <w:rPr>
          <w:rFonts w:ascii="Tahoma" w:hAnsi="Tahoma" w:cs="Tahoma"/>
          <w:i/>
          <w:sz w:val="20"/>
          <w:szCs w:val="20"/>
        </w:rPr>
        <w:t xml:space="preserve">ουσιαστικά </w:t>
      </w:r>
      <w:r>
        <w:rPr>
          <w:rFonts w:ascii="Tahoma" w:hAnsi="Tahoma" w:cs="Tahoma"/>
          <w:i/>
          <w:sz w:val="20"/>
          <w:szCs w:val="20"/>
        </w:rPr>
        <w:t xml:space="preserve">την πραγματική οικονομία χρηματοδοτώντας,  </w:t>
      </w:r>
      <w:r w:rsidR="00434ECA">
        <w:rPr>
          <w:rFonts w:ascii="Tahoma" w:hAnsi="Tahoma" w:cs="Tahoma"/>
          <w:i/>
          <w:sz w:val="20"/>
          <w:szCs w:val="20"/>
        </w:rPr>
        <w:t xml:space="preserve">κυρίως </w:t>
      </w:r>
      <w:r>
        <w:rPr>
          <w:rFonts w:ascii="Tahoma" w:hAnsi="Tahoma" w:cs="Tahoma"/>
          <w:i/>
          <w:sz w:val="20"/>
          <w:szCs w:val="20"/>
        </w:rPr>
        <w:t xml:space="preserve">υγιείς επιχειρήσεις </w:t>
      </w:r>
      <w:r w:rsidR="00434ECA">
        <w:rPr>
          <w:rFonts w:ascii="Tahoma" w:hAnsi="Tahoma" w:cs="Tahoma"/>
          <w:i/>
          <w:sz w:val="20"/>
          <w:szCs w:val="20"/>
        </w:rPr>
        <w:t xml:space="preserve">στους κλάδους που θα οδηγήσουν την ανάπτυξη τα επόμενα έτη αλλά </w:t>
      </w:r>
      <w:r>
        <w:rPr>
          <w:rFonts w:ascii="Tahoma" w:hAnsi="Tahoma" w:cs="Tahoma"/>
          <w:i/>
          <w:sz w:val="20"/>
          <w:szCs w:val="20"/>
        </w:rPr>
        <w:t>και νοικοκυριά.</w:t>
      </w:r>
      <w:r w:rsidR="00767202">
        <w:rPr>
          <w:rFonts w:ascii="Tahoma" w:hAnsi="Tahoma" w:cs="Tahoma"/>
          <w:i/>
          <w:sz w:val="20"/>
          <w:szCs w:val="20"/>
        </w:rPr>
        <w:t xml:space="preserve"> </w:t>
      </w:r>
      <w:r w:rsidR="00434ECA">
        <w:rPr>
          <w:rFonts w:ascii="Tahoma" w:hAnsi="Tahoma" w:cs="Tahoma"/>
          <w:i/>
          <w:sz w:val="20"/>
          <w:szCs w:val="20"/>
        </w:rPr>
        <w:t>Σε κάθε περίπτωση η</w:t>
      </w:r>
      <w:r w:rsidR="00767202">
        <w:rPr>
          <w:rFonts w:ascii="Tahoma" w:hAnsi="Tahoma" w:cs="Tahoma"/>
          <w:i/>
          <w:sz w:val="20"/>
          <w:szCs w:val="20"/>
        </w:rPr>
        <w:t xml:space="preserve"> συνολική ανακεφαλαιοποίηση του τραπεζικού συστήματος και η </w:t>
      </w:r>
      <w:r w:rsidR="001169DA">
        <w:rPr>
          <w:rFonts w:ascii="Tahoma" w:hAnsi="Tahoma" w:cs="Tahoma"/>
          <w:i/>
          <w:sz w:val="20"/>
          <w:szCs w:val="20"/>
        </w:rPr>
        <w:t xml:space="preserve">συνεπακόλουθη αύξηση της ρευστότητας, </w:t>
      </w:r>
      <w:r w:rsidR="00767202">
        <w:rPr>
          <w:rFonts w:ascii="Tahoma" w:hAnsi="Tahoma" w:cs="Tahoma"/>
          <w:i/>
          <w:sz w:val="20"/>
          <w:szCs w:val="20"/>
        </w:rPr>
        <w:t xml:space="preserve">θα δημιουργήσουν </w:t>
      </w:r>
      <w:r w:rsidR="001169DA">
        <w:rPr>
          <w:rFonts w:ascii="Tahoma" w:hAnsi="Tahoma" w:cs="Tahoma"/>
          <w:i/>
          <w:sz w:val="20"/>
          <w:szCs w:val="20"/>
        </w:rPr>
        <w:t>ευνοϊκότερες</w:t>
      </w:r>
      <w:r w:rsidR="00767202">
        <w:rPr>
          <w:rFonts w:ascii="Tahoma" w:hAnsi="Tahoma" w:cs="Tahoma"/>
          <w:i/>
          <w:sz w:val="20"/>
          <w:szCs w:val="20"/>
        </w:rPr>
        <w:t xml:space="preserve"> προϋποθέσεις λειτουργίας της οικονομίας </w:t>
      </w:r>
      <w:r w:rsidR="001169DA">
        <w:rPr>
          <w:rFonts w:ascii="Tahoma" w:hAnsi="Tahoma" w:cs="Tahoma"/>
          <w:i/>
          <w:sz w:val="20"/>
          <w:szCs w:val="20"/>
        </w:rPr>
        <w:t xml:space="preserve">της χώρας </w:t>
      </w:r>
      <w:r w:rsidR="00767202">
        <w:rPr>
          <w:rFonts w:ascii="Tahoma" w:hAnsi="Tahoma" w:cs="Tahoma"/>
          <w:i/>
          <w:sz w:val="20"/>
          <w:szCs w:val="20"/>
        </w:rPr>
        <w:t>και θα υποβοηθήσ</w:t>
      </w:r>
      <w:r w:rsidR="001169DA">
        <w:rPr>
          <w:rFonts w:ascii="Tahoma" w:hAnsi="Tahoma" w:cs="Tahoma"/>
          <w:i/>
          <w:sz w:val="20"/>
          <w:szCs w:val="20"/>
        </w:rPr>
        <w:t>ουν</w:t>
      </w:r>
      <w:r w:rsidR="00767202">
        <w:rPr>
          <w:rFonts w:ascii="Tahoma" w:hAnsi="Tahoma" w:cs="Tahoma"/>
          <w:i/>
          <w:sz w:val="20"/>
          <w:szCs w:val="20"/>
        </w:rPr>
        <w:t xml:space="preserve"> σημαντικά στην επαναφορά της στην ανάπτυξη. </w:t>
      </w:r>
    </w:p>
    <w:p w:rsidR="000022AB" w:rsidRPr="00C42A26" w:rsidRDefault="000022AB" w:rsidP="000022AB">
      <w:pPr>
        <w:pStyle w:val="Default"/>
        <w:jc w:val="both"/>
        <w:rPr>
          <w:i/>
          <w:iCs/>
          <w:sz w:val="20"/>
          <w:szCs w:val="20"/>
        </w:rPr>
      </w:pPr>
    </w:p>
    <w:p w:rsidR="00DD293F" w:rsidRDefault="00DD293F" w:rsidP="000E16A3">
      <w:pPr>
        <w:pStyle w:val="Default"/>
        <w:jc w:val="center"/>
        <w:rPr>
          <w:b/>
          <w:bCs/>
          <w:sz w:val="20"/>
          <w:szCs w:val="20"/>
        </w:rPr>
      </w:pPr>
      <w:r>
        <w:rPr>
          <w:b/>
          <w:bCs/>
          <w:sz w:val="20"/>
          <w:szCs w:val="20"/>
        </w:rPr>
        <w:t>ΒΑΣΙΚΑ ΜΕΓΕΘΗ ΚΑΙ ΑΠΟΤΕΛΕΣΜΑΤΑ</w:t>
      </w:r>
    </w:p>
    <w:p w:rsidR="00DD293F" w:rsidRDefault="00DD293F">
      <w:pPr>
        <w:pStyle w:val="Default"/>
        <w:jc w:val="both"/>
        <w:rPr>
          <w:sz w:val="20"/>
          <w:szCs w:val="20"/>
        </w:rPr>
      </w:pPr>
    </w:p>
    <w:p w:rsidR="00573D65" w:rsidRPr="00767202" w:rsidRDefault="00573D65">
      <w:pPr>
        <w:pStyle w:val="Default"/>
        <w:numPr>
          <w:ilvl w:val="0"/>
          <w:numId w:val="22"/>
        </w:numPr>
        <w:jc w:val="both"/>
        <w:rPr>
          <w:sz w:val="20"/>
          <w:szCs w:val="20"/>
        </w:rPr>
      </w:pPr>
      <w:r w:rsidRPr="00767202">
        <w:rPr>
          <w:sz w:val="20"/>
          <w:szCs w:val="20"/>
        </w:rPr>
        <w:t xml:space="preserve">Τα οργανικά κέρδη διαμορφώθηκαν σε </w:t>
      </w:r>
      <w:r w:rsidR="00767202" w:rsidRPr="00767202">
        <w:rPr>
          <w:sz w:val="20"/>
          <w:szCs w:val="20"/>
        </w:rPr>
        <w:t>41</w:t>
      </w:r>
      <w:r w:rsidR="00E4130A" w:rsidRPr="00767202">
        <w:rPr>
          <w:sz w:val="20"/>
          <w:szCs w:val="20"/>
        </w:rPr>
        <w:t>,</w:t>
      </w:r>
      <w:r w:rsidR="00767202" w:rsidRPr="00767202">
        <w:rPr>
          <w:sz w:val="20"/>
          <w:szCs w:val="20"/>
        </w:rPr>
        <w:t>1</w:t>
      </w:r>
      <w:r w:rsidRPr="00767202">
        <w:rPr>
          <w:sz w:val="20"/>
          <w:szCs w:val="20"/>
        </w:rPr>
        <w:t xml:space="preserve"> εκ</w:t>
      </w:r>
      <w:r w:rsidR="00767202">
        <w:rPr>
          <w:sz w:val="20"/>
          <w:szCs w:val="20"/>
        </w:rPr>
        <w:t>ατ</w:t>
      </w:r>
      <w:r w:rsidRPr="00767202">
        <w:rPr>
          <w:sz w:val="20"/>
          <w:szCs w:val="20"/>
        </w:rPr>
        <w:t>. ευρώ έναντι οργανικών κερδών</w:t>
      </w:r>
      <w:r w:rsidR="00767202">
        <w:rPr>
          <w:sz w:val="20"/>
          <w:szCs w:val="20"/>
        </w:rPr>
        <w:t xml:space="preserve"> 34,7 εκατ.</w:t>
      </w:r>
      <w:r w:rsidRPr="00767202">
        <w:rPr>
          <w:sz w:val="20"/>
          <w:szCs w:val="20"/>
        </w:rPr>
        <w:t xml:space="preserve"> ευρώ περίπου την αντίστοιχη συγκριτική περίοδο.</w:t>
      </w:r>
    </w:p>
    <w:p w:rsidR="00573D65" w:rsidRPr="00573D65" w:rsidRDefault="00573D65" w:rsidP="00573D65">
      <w:pPr>
        <w:pStyle w:val="Default"/>
        <w:ind w:left="720"/>
        <w:jc w:val="both"/>
        <w:rPr>
          <w:sz w:val="20"/>
          <w:szCs w:val="20"/>
        </w:rPr>
      </w:pPr>
    </w:p>
    <w:p w:rsidR="00DD293F" w:rsidRPr="007D08F9" w:rsidRDefault="00DD293F">
      <w:pPr>
        <w:pStyle w:val="Default"/>
        <w:numPr>
          <w:ilvl w:val="0"/>
          <w:numId w:val="22"/>
        </w:numPr>
        <w:jc w:val="both"/>
        <w:rPr>
          <w:sz w:val="20"/>
          <w:szCs w:val="20"/>
        </w:rPr>
      </w:pPr>
      <w:r w:rsidRPr="007D08F9">
        <w:rPr>
          <w:color w:val="auto"/>
          <w:sz w:val="20"/>
          <w:szCs w:val="20"/>
        </w:rPr>
        <w:t xml:space="preserve">Το αποτέλεσμα προ φόρων </w:t>
      </w:r>
      <w:r w:rsidR="00103C59">
        <w:rPr>
          <w:color w:val="auto"/>
          <w:sz w:val="20"/>
          <w:szCs w:val="20"/>
        </w:rPr>
        <w:t>του Ο</w:t>
      </w:r>
      <w:r w:rsidRPr="007D08F9">
        <w:rPr>
          <w:color w:val="auto"/>
          <w:sz w:val="20"/>
          <w:szCs w:val="20"/>
        </w:rPr>
        <w:t>μ</w:t>
      </w:r>
      <w:r w:rsidR="00103C59">
        <w:rPr>
          <w:color w:val="auto"/>
          <w:sz w:val="20"/>
          <w:szCs w:val="20"/>
        </w:rPr>
        <w:t>ί</w:t>
      </w:r>
      <w:r w:rsidRPr="007D08F9">
        <w:rPr>
          <w:color w:val="auto"/>
          <w:sz w:val="20"/>
          <w:szCs w:val="20"/>
        </w:rPr>
        <w:t>λο</w:t>
      </w:r>
      <w:r w:rsidR="00103C59">
        <w:rPr>
          <w:color w:val="auto"/>
          <w:sz w:val="20"/>
          <w:szCs w:val="20"/>
        </w:rPr>
        <w:t>υ</w:t>
      </w:r>
      <w:r w:rsidR="002B721D" w:rsidRPr="00616830">
        <w:rPr>
          <w:color w:val="auto"/>
          <w:sz w:val="20"/>
          <w:szCs w:val="20"/>
        </w:rPr>
        <w:t xml:space="preserve"> </w:t>
      </w:r>
      <w:r w:rsidR="00103C59">
        <w:rPr>
          <w:color w:val="auto"/>
          <w:sz w:val="20"/>
          <w:szCs w:val="20"/>
        </w:rPr>
        <w:t>για τ</w:t>
      </w:r>
      <w:r w:rsidR="00BA62C5">
        <w:rPr>
          <w:color w:val="auto"/>
          <w:sz w:val="20"/>
          <w:szCs w:val="20"/>
        </w:rPr>
        <w:t xml:space="preserve">ο </w:t>
      </w:r>
      <w:r w:rsidR="00FB658B">
        <w:rPr>
          <w:color w:val="auto"/>
          <w:sz w:val="20"/>
          <w:szCs w:val="20"/>
        </w:rPr>
        <w:t>Α’ εξά</w:t>
      </w:r>
      <w:r w:rsidR="006B1C81">
        <w:rPr>
          <w:color w:val="auto"/>
          <w:sz w:val="20"/>
          <w:szCs w:val="20"/>
        </w:rPr>
        <w:t>μηνο</w:t>
      </w:r>
      <w:r w:rsidR="00BA62C5">
        <w:rPr>
          <w:color w:val="auto"/>
          <w:sz w:val="20"/>
          <w:szCs w:val="20"/>
        </w:rPr>
        <w:t xml:space="preserve"> του </w:t>
      </w:r>
      <w:r w:rsidRPr="007D08F9">
        <w:rPr>
          <w:color w:val="auto"/>
          <w:sz w:val="20"/>
          <w:szCs w:val="20"/>
        </w:rPr>
        <w:t>201</w:t>
      </w:r>
      <w:r w:rsidR="00BA62C5">
        <w:rPr>
          <w:color w:val="auto"/>
          <w:sz w:val="20"/>
          <w:szCs w:val="20"/>
        </w:rPr>
        <w:t>5</w:t>
      </w:r>
      <w:r w:rsidR="002B721D" w:rsidRPr="00616830">
        <w:rPr>
          <w:color w:val="auto"/>
          <w:sz w:val="20"/>
          <w:szCs w:val="20"/>
        </w:rPr>
        <w:t xml:space="preserve"> </w:t>
      </w:r>
      <w:r w:rsidR="004040A3">
        <w:rPr>
          <w:color w:val="auto"/>
          <w:sz w:val="20"/>
          <w:szCs w:val="20"/>
        </w:rPr>
        <w:t xml:space="preserve">μετά τον σχηματισμό 513 εκατ. ευρώ προβλέψεων για επισφαλείς χορηγήσεις </w:t>
      </w:r>
      <w:r w:rsidRPr="007D08F9">
        <w:rPr>
          <w:color w:val="auto"/>
          <w:sz w:val="20"/>
          <w:szCs w:val="20"/>
        </w:rPr>
        <w:t xml:space="preserve">διαμορφώθηκε σε </w:t>
      </w:r>
      <w:r w:rsidR="00E042B6" w:rsidRPr="007D08F9">
        <w:rPr>
          <w:color w:val="auto"/>
          <w:sz w:val="20"/>
          <w:szCs w:val="20"/>
        </w:rPr>
        <w:t xml:space="preserve">ζημία </w:t>
      </w:r>
      <w:r w:rsidR="00E4130A" w:rsidRPr="00E4130A">
        <w:rPr>
          <w:color w:val="auto"/>
          <w:sz w:val="20"/>
          <w:szCs w:val="20"/>
        </w:rPr>
        <w:t>473,1</w:t>
      </w:r>
      <w:r w:rsidRPr="007D08F9">
        <w:rPr>
          <w:color w:val="auto"/>
          <w:sz w:val="20"/>
          <w:szCs w:val="20"/>
        </w:rPr>
        <w:t xml:space="preserve"> εκατ. ευρώ, έναντι </w:t>
      </w:r>
      <w:r w:rsidR="00ED6600">
        <w:rPr>
          <w:color w:val="auto"/>
          <w:sz w:val="20"/>
          <w:szCs w:val="20"/>
        </w:rPr>
        <w:t xml:space="preserve">κέρδους </w:t>
      </w:r>
      <w:r w:rsidR="006B1C81">
        <w:rPr>
          <w:color w:val="auto"/>
          <w:sz w:val="20"/>
          <w:szCs w:val="20"/>
        </w:rPr>
        <w:t>4,6</w:t>
      </w:r>
      <w:r w:rsidRPr="007D08F9">
        <w:rPr>
          <w:color w:val="auto"/>
          <w:sz w:val="20"/>
          <w:szCs w:val="20"/>
        </w:rPr>
        <w:t xml:space="preserve"> εκατ. ευρώ στ</w:t>
      </w:r>
      <w:r w:rsidR="00103C59">
        <w:rPr>
          <w:color w:val="auto"/>
          <w:sz w:val="20"/>
          <w:szCs w:val="20"/>
        </w:rPr>
        <w:t xml:space="preserve">η συγκριτική </w:t>
      </w:r>
      <w:r w:rsidR="00BA62C5">
        <w:rPr>
          <w:color w:val="auto"/>
          <w:sz w:val="20"/>
          <w:szCs w:val="20"/>
        </w:rPr>
        <w:t>περίοδο του</w:t>
      </w:r>
      <w:r w:rsidR="002B721D" w:rsidRPr="00616830">
        <w:rPr>
          <w:color w:val="auto"/>
          <w:sz w:val="20"/>
          <w:szCs w:val="20"/>
        </w:rPr>
        <w:t xml:space="preserve"> </w:t>
      </w:r>
      <w:r w:rsidRPr="007D08F9">
        <w:rPr>
          <w:color w:val="auto"/>
          <w:sz w:val="20"/>
          <w:szCs w:val="20"/>
        </w:rPr>
        <w:t>201</w:t>
      </w:r>
      <w:r w:rsidR="00BA62C5">
        <w:rPr>
          <w:color w:val="auto"/>
          <w:sz w:val="20"/>
          <w:szCs w:val="20"/>
        </w:rPr>
        <w:t>4</w:t>
      </w:r>
      <w:r w:rsidRPr="007D08F9">
        <w:rPr>
          <w:sz w:val="20"/>
          <w:szCs w:val="20"/>
        </w:rPr>
        <w:t>. Αντίστοιχα</w:t>
      </w:r>
      <w:r w:rsidR="001A3B4E">
        <w:rPr>
          <w:sz w:val="20"/>
          <w:szCs w:val="20"/>
        </w:rPr>
        <w:t>,</w:t>
      </w:r>
      <w:r w:rsidRPr="007D08F9">
        <w:rPr>
          <w:sz w:val="20"/>
          <w:szCs w:val="20"/>
        </w:rPr>
        <w:t xml:space="preserve"> το μετά φόρων αποτέλεσμα διαμορφώθηκε σε </w:t>
      </w:r>
      <w:r w:rsidR="00E4130A">
        <w:rPr>
          <w:sz w:val="20"/>
          <w:szCs w:val="20"/>
        </w:rPr>
        <w:t>ζημία</w:t>
      </w:r>
      <w:r w:rsidR="002B721D" w:rsidRPr="00616830">
        <w:rPr>
          <w:sz w:val="20"/>
          <w:szCs w:val="20"/>
        </w:rPr>
        <w:t xml:space="preserve"> </w:t>
      </w:r>
      <w:r w:rsidRPr="007D08F9">
        <w:rPr>
          <w:sz w:val="20"/>
          <w:szCs w:val="20"/>
        </w:rPr>
        <w:t xml:space="preserve">ύψους </w:t>
      </w:r>
      <w:r w:rsidR="00E4130A">
        <w:rPr>
          <w:sz w:val="20"/>
          <w:szCs w:val="20"/>
        </w:rPr>
        <w:t>300,3</w:t>
      </w:r>
      <w:r w:rsidRPr="007D08F9">
        <w:rPr>
          <w:sz w:val="20"/>
          <w:szCs w:val="20"/>
        </w:rPr>
        <w:t xml:space="preserve"> εκατ. ευρώ, έναντι </w:t>
      </w:r>
      <w:r w:rsidR="00ED6600">
        <w:rPr>
          <w:sz w:val="20"/>
          <w:szCs w:val="20"/>
        </w:rPr>
        <w:t xml:space="preserve">κέρδους </w:t>
      </w:r>
      <w:r w:rsidR="006B1C81">
        <w:rPr>
          <w:sz w:val="20"/>
          <w:szCs w:val="20"/>
        </w:rPr>
        <w:t>1,1</w:t>
      </w:r>
      <w:r w:rsidRPr="007D08F9">
        <w:rPr>
          <w:sz w:val="20"/>
          <w:szCs w:val="20"/>
        </w:rPr>
        <w:t xml:space="preserve"> εκατ. ευρώ </w:t>
      </w:r>
      <w:r w:rsidR="00103C59">
        <w:rPr>
          <w:sz w:val="20"/>
          <w:szCs w:val="20"/>
        </w:rPr>
        <w:t xml:space="preserve">της </w:t>
      </w:r>
      <w:bookmarkStart w:id="1" w:name="OLE_LINK1"/>
      <w:bookmarkStart w:id="2" w:name="OLE_LINK2"/>
      <w:r w:rsidRPr="007D08F9">
        <w:rPr>
          <w:sz w:val="20"/>
          <w:szCs w:val="20"/>
        </w:rPr>
        <w:t>συγκριτική</w:t>
      </w:r>
      <w:r w:rsidR="00103C59">
        <w:rPr>
          <w:sz w:val="20"/>
          <w:szCs w:val="20"/>
        </w:rPr>
        <w:t>ς</w:t>
      </w:r>
      <w:r w:rsidR="00BA62C5">
        <w:rPr>
          <w:sz w:val="20"/>
          <w:szCs w:val="20"/>
        </w:rPr>
        <w:t xml:space="preserve"> περιόδου</w:t>
      </w:r>
      <w:r w:rsidR="00103C59">
        <w:rPr>
          <w:sz w:val="20"/>
          <w:szCs w:val="20"/>
        </w:rPr>
        <w:t>.</w:t>
      </w:r>
      <w:r w:rsidRPr="007D08F9">
        <w:rPr>
          <w:sz w:val="20"/>
          <w:szCs w:val="20"/>
        </w:rPr>
        <w:t xml:space="preserve"> Τα συγκεντρωτικά </w:t>
      </w:r>
      <w:r w:rsidR="001D395C" w:rsidRPr="007D08F9">
        <w:rPr>
          <w:sz w:val="20"/>
          <w:szCs w:val="20"/>
        </w:rPr>
        <w:t>συνολικά</w:t>
      </w:r>
      <w:r w:rsidR="004040A3">
        <w:rPr>
          <w:sz w:val="20"/>
          <w:szCs w:val="20"/>
        </w:rPr>
        <w:t xml:space="preserve"> έσοδα μετά από φόρους </w:t>
      </w:r>
      <w:r w:rsidR="001D395C" w:rsidRPr="007D08F9">
        <w:rPr>
          <w:sz w:val="20"/>
          <w:szCs w:val="20"/>
        </w:rPr>
        <w:t>διαμορφώθηκαν</w:t>
      </w:r>
      <w:r w:rsidRPr="007D08F9">
        <w:rPr>
          <w:sz w:val="20"/>
          <w:szCs w:val="20"/>
        </w:rPr>
        <w:t xml:space="preserve"> σε </w:t>
      </w:r>
      <w:r w:rsidR="00E4130A">
        <w:rPr>
          <w:sz w:val="20"/>
          <w:szCs w:val="20"/>
        </w:rPr>
        <w:t>ζημία 304,2</w:t>
      </w:r>
      <w:r w:rsidRPr="007D08F9">
        <w:rPr>
          <w:sz w:val="20"/>
          <w:szCs w:val="20"/>
        </w:rPr>
        <w:t xml:space="preserve"> εκατ. ευρώ</w:t>
      </w:r>
      <w:r w:rsidR="001A3B4E">
        <w:rPr>
          <w:sz w:val="20"/>
          <w:szCs w:val="20"/>
        </w:rPr>
        <w:t>,</w:t>
      </w:r>
      <w:r w:rsidRPr="007D08F9">
        <w:rPr>
          <w:sz w:val="20"/>
          <w:szCs w:val="20"/>
        </w:rPr>
        <w:t xml:space="preserve"> έναντι </w:t>
      </w:r>
      <w:r w:rsidR="00ED6600">
        <w:rPr>
          <w:sz w:val="20"/>
          <w:szCs w:val="20"/>
        </w:rPr>
        <w:t>κερδών 4,</w:t>
      </w:r>
      <w:r w:rsidR="006B1C81">
        <w:rPr>
          <w:sz w:val="20"/>
          <w:szCs w:val="20"/>
        </w:rPr>
        <w:t>5</w:t>
      </w:r>
      <w:r w:rsidRPr="007D08F9">
        <w:rPr>
          <w:sz w:val="20"/>
          <w:szCs w:val="20"/>
        </w:rPr>
        <w:t xml:space="preserve"> εκατ. ευρώ τη </w:t>
      </w:r>
      <w:r w:rsidR="00BA62C5">
        <w:rPr>
          <w:sz w:val="20"/>
          <w:szCs w:val="20"/>
        </w:rPr>
        <w:t>συγκριτική περίοδο</w:t>
      </w:r>
      <w:r w:rsidRPr="007D08F9">
        <w:rPr>
          <w:sz w:val="20"/>
          <w:szCs w:val="20"/>
        </w:rPr>
        <w:t>.</w:t>
      </w:r>
    </w:p>
    <w:p w:rsidR="00DD293F" w:rsidRPr="004203F0" w:rsidRDefault="00DD293F">
      <w:pPr>
        <w:pStyle w:val="Default"/>
        <w:ind w:left="720"/>
        <w:jc w:val="both"/>
        <w:rPr>
          <w:sz w:val="10"/>
          <w:szCs w:val="10"/>
        </w:rPr>
      </w:pPr>
    </w:p>
    <w:p w:rsidR="00DD293F" w:rsidRPr="007D08F9" w:rsidRDefault="00DD293F">
      <w:pPr>
        <w:pStyle w:val="Default"/>
        <w:numPr>
          <w:ilvl w:val="0"/>
          <w:numId w:val="22"/>
        </w:numPr>
        <w:jc w:val="both"/>
        <w:rPr>
          <w:sz w:val="20"/>
          <w:szCs w:val="20"/>
        </w:rPr>
      </w:pPr>
      <w:r w:rsidRPr="007D08F9">
        <w:rPr>
          <w:sz w:val="20"/>
          <w:szCs w:val="20"/>
        </w:rPr>
        <w:t xml:space="preserve">Τα ίδια κεφάλαια του Ομίλου διαμορφώθηκαν σε </w:t>
      </w:r>
      <w:r w:rsidR="00E4130A">
        <w:rPr>
          <w:sz w:val="20"/>
          <w:szCs w:val="20"/>
        </w:rPr>
        <w:t>50</w:t>
      </w:r>
      <w:r w:rsidR="006B1C81">
        <w:rPr>
          <w:sz w:val="20"/>
          <w:szCs w:val="20"/>
        </w:rPr>
        <w:t>,</w:t>
      </w:r>
      <w:r w:rsidR="00E4130A">
        <w:rPr>
          <w:sz w:val="20"/>
          <w:szCs w:val="20"/>
        </w:rPr>
        <w:t>9</w:t>
      </w:r>
      <w:r w:rsidRPr="007D08F9">
        <w:rPr>
          <w:sz w:val="20"/>
          <w:szCs w:val="20"/>
        </w:rPr>
        <w:t xml:space="preserve"> εκατ. ευρώ</w:t>
      </w:r>
    </w:p>
    <w:p w:rsidR="00DD293F" w:rsidRPr="004203F0" w:rsidRDefault="00DD293F">
      <w:pPr>
        <w:pStyle w:val="Default"/>
        <w:jc w:val="both"/>
        <w:rPr>
          <w:sz w:val="10"/>
          <w:szCs w:val="10"/>
        </w:rPr>
      </w:pPr>
    </w:p>
    <w:bookmarkEnd w:id="1"/>
    <w:bookmarkEnd w:id="2"/>
    <w:p w:rsidR="00DD293F" w:rsidRPr="007D08F9" w:rsidRDefault="00DD293F">
      <w:pPr>
        <w:pStyle w:val="Default"/>
        <w:numPr>
          <w:ilvl w:val="0"/>
          <w:numId w:val="21"/>
        </w:numPr>
        <w:jc w:val="both"/>
        <w:rPr>
          <w:color w:val="auto"/>
          <w:sz w:val="20"/>
          <w:szCs w:val="20"/>
        </w:rPr>
      </w:pPr>
      <w:r w:rsidRPr="007D08F9">
        <w:rPr>
          <w:color w:val="auto"/>
          <w:sz w:val="20"/>
          <w:szCs w:val="20"/>
        </w:rPr>
        <w:t xml:space="preserve">Το σύνολο του ενεργητικού του Ομίλου ανήλθε σε </w:t>
      </w:r>
      <w:r w:rsidR="00ED6600">
        <w:rPr>
          <w:color w:val="auto"/>
          <w:sz w:val="20"/>
          <w:szCs w:val="20"/>
        </w:rPr>
        <w:t>3,</w:t>
      </w:r>
      <w:r w:rsidR="00E4130A">
        <w:rPr>
          <w:color w:val="auto"/>
          <w:sz w:val="20"/>
          <w:szCs w:val="20"/>
        </w:rPr>
        <w:t>6</w:t>
      </w:r>
      <w:r w:rsidR="00F14883">
        <w:rPr>
          <w:color w:val="auto"/>
          <w:sz w:val="20"/>
          <w:szCs w:val="20"/>
        </w:rPr>
        <w:t xml:space="preserve"> δισ. ευρώ. </w:t>
      </w:r>
    </w:p>
    <w:p w:rsidR="00DD293F" w:rsidRPr="004203F0" w:rsidRDefault="00DD293F">
      <w:pPr>
        <w:pStyle w:val="Default"/>
        <w:ind w:left="420"/>
        <w:jc w:val="both"/>
        <w:rPr>
          <w:sz w:val="10"/>
          <w:szCs w:val="10"/>
        </w:rPr>
      </w:pPr>
    </w:p>
    <w:p w:rsidR="00ED7B3A" w:rsidRPr="00ED7B3A" w:rsidRDefault="00DD293F" w:rsidP="00CB38F6">
      <w:pPr>
        <w:pStyle w:val="Default"/>
        <w:numPr>
          <w:ilvl w:val="0"/>
          <w:numId w:val="21"/>
        </w:numPr>
        <w:jc w:val="both"/>
        <w:rPr>
          <w:sz w:val="10"/>
          <w:szCs w:val="10"/>
        </w:rPr>
      </w:pPr>
      <w:r w:rsidRPr="00573D65">
        <w:rPr>
          <w:sz w:val="20"/>
          <w:szCs w:val="20"/>
        </w:rPr>
        <w:t xml:space="preserve">Σε ό,τι αφορά </w:t>
      </w:r>
      <w:r w:rsidR="009C5FDF" w:rsidRPr="00573D65">
        <w:rPr>
          <w:sz w:val="20"/>
          <w:szCs w:val="20"/>
        </w:rPr>
        <w:t>τη</w:t>
      </w:r>
      <w:r w:rsidR="00BA62C5" w:rsidRPr="00573D65">
        <w:rPr>
          <w:sz w:val="20"/>
          <w:szCs w:val="20"/>
        </w:rPr>
        <w:t>ν περίοδο</w:t>
      </w:r>
      <w:r w:rsidRPr="00573D65">
        <w:rPr>
          <w:sz w:val="20"/>
          <w:szCs w:val="20"/>
        </w:rPr>
        <w:t xml:space="preserve"> που έληξε την 3</w:t>
      </w:r>
      <w:r w:rsidR="006B1C81">
        <w:rPr>
          <w:sz w:val="20"/>
          <w:szCs w:val="20"/>
        </w:rPr>
        <w:t>0</w:t>
      </w:r>
      <w:r w:rsidRPr="00573D65">
        <w:rPr>
          <w:sz w:val="20"/>
          <w:szCs w:val="20"/>
        </w:rPr>
        <w:t>/</w:t>
      </w:r>
      <w:r w:rsidR="00BA62C5" w:rsidRPr="00573D65">
        <w:rPr>
          <w:sz w:val="20"/>
          <w:szCs w:val="20"/>
        </w:rPr>
        <w:t>0</w:t>
      </w:r>
      <w:r w:rsidR="006B1C81">
        <w:rPr>
          <w:sz w:val="20"/>
          <w:szCs w:val="20"/>
        </w:rPr>
        <w:t>6</w:t>
      </w:r>
      <w:r w:rsidRPr="00573D65">
        <w:rPr>
          <w:sz w:val="20"/>
          <w:szCs w:val="20"/>
        </w:rPr>
        <w:t>/201</w:t>
      </w:r>
      <w:r w:rsidR="00BA62C5" w:rsidRPr="00573D65">
        <w:rPr>
          <w:sz w:val="20"/>
          <w:szCs w:val="20"/>
        </w:rPr>
        <w:t>5</w:t>
      </w:r>
      <w:r w:rsidRPr="00573D65">
        <w:rPr>
          <w:sz w:val="20"/>
          <w:szCs w:val="20"/>
        </w:rPr>
        <w:t xml:space="preserve"> οι προβλέψεις για επισφαλείς χορηγήσεις </w:t>
      </w:r>
      <w:r w:rsidR="00F32EFF" w:rsidRPr="00573D65">
        <w:rPr>
          <w:sz w:val="20"/>
          <w:szCs w:val="20"/>
        </w:rPr>
        <w:t>που διενεργήθηκαν ανήλθαν</w:t>
      </w:r>
      <w:r w:rsidRPr="00573D65">
        <w:rPr>
          <w:sz w:val="20"/>
          <w:szCs w:val="20"/>
        </w:rPr>
        <w:t xml:space="preserve"> σε </w:t>
      </w:r>
      <w:r w:rsidR="00E4130A">
        <w:rPr>
          <w:sz w:val="20"/>
          <w:szCs w:val="20"/>
        </w:rPr>
        <w:t>513</w:t>
      </w:r>
      <w:r w:rsidRPr="00573D65">
        <w:rPr>
          <w:sz w:val="20"/>
          <w:szCs w:val="20"/>
        </w:rPr>
        <w:t xml:space="preserve"> εκ</w:t>
      </w:r>
      <w:r w:rsidR="004040A3">
        <w:rPr>
          <w:sz w:val="20"/>
          <w:szCs w:val="20"/>
        </w:rPr>
        <w:t xml:space="preserve">ατ. ευρώ λόγω της επιδείνωσης των οικονομικών συνθηκών όπως αποτυπώθηκαν και από την άσκηση του </w:t>
      </w:r>
      <w:r w:rsidR="004040A3">
        <w:rPr>
          <w:sz w:val="20"/>
          <w:szCs w:val="20"/>
          <w:lang w:val="en-US"/>
        </w:rPr>
        <w:t>AQR</w:t>
      </w:r>
      <w:r w:rsidR="00F14883" w:rsidRPr="00F14883">
        <w:rPr>
          <w:sz w:val="20"/>
          <w:szCs w:val="20"/>
        </w:rPr>
        <w:t xml:space="preserve"> </w:t>
      </w:r>
      <w:r w:rsidR="004040A3">
        <w:rPr>
          <w:sz w:val="20"/>
          <w:szCs w:val="20"/>
        </w:rPr>
        <w:t>που διεξήγαγε η Τράπεζα της Ελλάδος,</w:t>
      </w:r>
      <w:r w:rsidR="001D395C" w:rsidRPr="00573D65">
        <w:rPr>
          <w:sz w:val="20"/>
          <w:szCs w:val="20"/>
        </w:rPr>
        <w:t xml:space="preserve"> έναντι προβλέψεων </w:t>
      </w:r>
      <w:r w:rsidR="006B1C81">
        <w:rPr>
          <w:sz w:val="20"/>
          <w:szCs w:val="20"/>
        </w:rPr>
        <w:t>30</w:t>
      </w:r>
      <w:r w:rsidR="001D395C" w:rsidRPr="00573D65">
        <w:rPr>
          <w:sz w:val="20"/>
          <w:szCs w:val="20"/>
        </w:rPr>
        <w:t xml:space="preserve"> εκ</w:t>
      </w:r>
      <w:r w:rsidR="004040A3">
        <w:rPr>
          <w:sz w:val="20"/>
          <w:szCs w:val="20"/>
        </w:rPr>
        <w:t>ατ</w:t>
      </w:r>
      <w:r w:rsidR="001D395C" w:rsidRPr="00573D65">
        <w:rPr>
          <w:sz w:val="20"/>
          <w:szCs w:val="20"/>
        </w:rPr>
        <w:t xml:space="preserve">. ευρώ </w:t>
      </w:r>
      <w:r w:rsidR="004040A3">
        <w:rPr>
          <w:sz w:val="20"/>
          <w:szCs w:val="20"/>
        </w:rPr>
        <w:t xml:space="preserve">που είχαν σχηματιστεί την αντίστοιχη </w:t>
      </w:r>
      <w:r w:rsidR="001D395C" w:rsidRPr="00573D65">
        <w:rPr>
          <w:sz w:val="20"/>
          <w:szCs w:val="20"/>
        </w:rPr>
        <w:t xml:space="preserve">συγκριτική </w:t>
      </w:r>
      <w:r w:rsidR="00BA62C5" w:rsidRPr="00573D65">
        <w:rPr>
          <w:sz w:val="20"/>
          <w:szCs w:val="20"/>
        </w:rPr>
        <w:t>περίοδο</w:t>
      </w:r>
      <w:r w:rsidR="002B721D" w:rsidRPr="00616830">
        <w:rPr>
          <w:sz w:val="20"/>
          <w:szCs w:val="20"/>
        </w:rPr>
        <w:t xml:space="preserve">. </w:t>
      </w:r>
      <w:r w:rsidRPr="00573D65">
        <w:rPr>
          <w:sz w:val="20"/>
          <w:szCs w:val="20"/>
        </w:rPr>
        <w:t xml:space="preserve">Οι σωρευμένες </w:t>
      </w:r>
      <w:r w:rsidR="001D395C" w:rsidRPr="00573D65">
        <w:rPr>
          <w:sz w:val="20"/>
          <w:szCs w:val="20"/>
        </w:rPr>
        <w:t xml:space="preserve">δε </w:t>
      </w:r>
      <w:r w:rsidRPr="00573D65">
        <w:rPr>
          <w:sz w:val="20"/>
          <w:szCs w:val="20"/>
        </w:rPr>
        <w:t xml:space="preserve">προβλέψεις ανέρχονται πλέον σε </w:t>
      </w:r>
      <w:r w:rsidR="00AB50F4">
        <w:rPr>
          <w:sz w:val="20"/>
          <w:szCs w:val="20"/>
        </w:rPr>
        <w:t xml:space="preserve">1.056 </w:t>
      </w:r>
      <w:r w:rsidRPr="00573D65">
        <w:rPr>
          <w:sz w:val="20"/>
          <w:szCs w:val="20"/>
        </w:rPr>
        <w:t xml:space="preserve">εκατ. ευρώ έναντι </w:t>
      </w:r>
      <w:r w:rsidR="00BA62C5" w:rsidRPr="00573D65">
        <w:rPr>
          <w:sz w:val="20"/>
          <w:szCs w:val="20"/>
        </w:rPr>
        <w:t>546,3</w:t>
      </w:r>
      <w:r w:rsidRPr="00573D65">
        <w:rPr>
          <w:sz w:val="20"/>
          <w:szCs w:val="20"/>
        </w:rPr>
        <w:t xml:space="preserve"> εκατ. ευρώ κατά την 31/12/201</w:t>
      </w:r>
      <w:r w:rsidR="00BA62C5" w:rsidRPr="00573D65">
        <w:rPr>
          <w:sz w:val="20"/>
          <w:szCs w:val="20"/>
        </w:rPr>
        <w:t>4</w:t>
      </w:r>
      <w:r w:rsidRPr="00573D65">
        <w:rPr>
          <w:sz w:val="20"/>
          <w:szCs w:val="20"/>
        </w:rPr>
        <w:t>.</w:t>
      </w:r>
    </w:p>
    <w:p w:rsidR="00ED7B3A" w:rsidRDefault="00ED7B3A" w:rsidP="00ED7B3A">
      <w:pPr>
        <w:pStyle w:val="ListParagraph"/>
        <w:rPr>
          <w:sz w:val="10"/>
          <w:szCs w:val="10"/>
        </w:rPr>
      </w:pPr>
    </w:p>
    <w:p w:rsidR="00DD293F" w:rsidRPr="00573D65" w:rsidRDefault="00ED7B3A" w:rsidP="00CB38F6">
      <w:pPr>
        <w:pStyle w:val="Default"/>
        <w:numPr>
          <w:ilvl w:val="0"/>
          <w:numId w:val="21"/>
        </w:numPr>
        <w:jc w:val="both"/>
        <w:rPr>
          <w:sz w:val="10"/>
          <w:szCs w:val="10"/>
        </w:rPr>
      </w:pPr>
      <w:r>
        <w:rPr>
          <w:sz w:val="20"/>
          <w:szCs w:val="20"/>
        </w:rPr>
        <w:t>Οι συνολικές προβλέψεις καλύπτουν το σύνολο του δανειακού χαρτοφυλακίου κατά 28% χωρίς να λαμβάνονται υπόψη οι εμπράγματες εξασφαλίσεις.</w:t>
      </w:r>
    </w:p>
    <w:p w:rsidR="00CB38F6" w:rsidRPr="00CB38F6" w:rsidRDefault="00CB38F6" w:rsidP="00CB38F6">
      <w:pPr>
        <w:pStyle w:val="Default"/>
        <w:ind w:left="720"/>
        <w:jc w:val="both"/>
        <w:rPr>
          <w:sz w:val="10"/>
          <w:szCs w:val="10"/>
        </w:rPr>
      </w:pPr>
    </w:p>
    <w:p w:rsidR="00DD293F" w:rsidRPr="00ED6394" w:rsidRDefault="00DD293F" w:rsidP="00573D65">
      <w:pPr>
        <w:pStyle w:val="Default"/>
        <w:numPr>
          <w:ilvl w:val="0"/>
          <w:numId w:val="21"/>
        </w:numPr>
        <w:ind w:left="780"/>
        <w:jc w:val="both"/>
        <w:rPr>
          <w:color w:val="auto"/>
          <w:sz w:val="10"/>
          <w:szCs w:val="10"/>
        </w:rPr>
      </w:pPr>
      <w:r w:rsidRPr="00573D65">
        <w:rPr>
          <w:color w:val="auto"/>
          <w:sz w:val="20"/>
          <w:szCs w:val="20"/>
        </w:rPr>
        <w:lastRenderedPageBreak/>
        <w:t>Οι καθαροί τόκοι</w:t>
      </w:r>
      <w:r w:rsidR="002B721D" w:rsidRPr="00616830">
        <w:rPr>
          <w:color w:val="auto"/>
          <w:sz w:val="20"/>
          <w:szCs w:val="20"/>
        </w:rPr>
        <w:t xml:space="preserve"> </w:t>
      </w:r>
      <w:r w:rsidRPr="00573D65">
        <w:rPr>
          <w:color w:val="auto"/>
          <w:sz w:val="20"/>
          <w:szCs w:val="20"/>
        </w:rPr>
        <w:t xml:space="preserve">για τον Όμιλο ανήλθαν σε </w:t>
      </w:r>
      <w:r w:rsidR="006B1C81">
        <w:rPr>
          <w:color w:val="auto"/>
          <w:sz w:val="20"/>
          <w:szCs w:val="20"/>
        </w:rPr>
        <w:t>46,</w:t>
      </w:r>
      <w:r w:rsidR="00E4130A">
        <w:rPr>
          <w:color w:val="auto"/>
          <w:sz w:val="20"/>
          <w:szCs w:val="20"/>
        </w:rPr>
        <w:t>5</w:t>
      </w:r>
      <w:r w:rsidRPr="00573D65">
        <w:rPr>
          <w:color w:val="auto"/>
          <w:sz w:val="20"/>
          <w:szCs w:val="20"/>
        </w:rPr>
        <w:t xml:space="preserve"> εκατ. ευρώ </w:t>
      </w:r>
      <w:r w:rsidR="00573D65" w:rsidRPr="00573D65">
        <w:rPr>
          <w:color w:val="auto"/>
          <w:sz w:val="20"/>
          <w:szCs w:val="20"/>
        </w:rPr>
        <w:t xml:space="preserve">έναντι </w:t>
      </w:r>
      <w:r w:rsidR="006B1C81">
        <w:rPr>
          <w:color w:val="auto"/>
          <w:sz w:val="20"/>
          <w:szCs w:val="20"/>
        </w:rPr>
        <w:t>50,7</w:t>
      </w:r>
      <w:r w:rsidR="00573D65" w:rsidRPr="00573D65">
        <w:rPr>
          <w:color w:val="auto"/>
          <w:sz w:val="20"/>
          <w:szCs w:val="20"/>
        </w:rPr>
        <w:t xml:space="preserve"> εκατ. ευρώ την αντίστοιχη συγκριτική περίοδο. Η μείωση αυτή οφείλεται σε μη </w:t>
      </w:r>
      <w:r w:rsidR="00573D65" w:rsidRPr="00ED6394">
        <w:rPr>
          <w:color w:val="auto"/>
          <w:sz w:val="20"/>
          <w:szCs w:val="20"/>
        </w:rPr>
        <w:t>επαναλαμβανόμενους τόκους ειδικής κατηγορίας χρεογράφων του ελληνικού Δημοσίου.</w:t>
      </w:r>
    </w:p>
    <w:p w:rsidR="00573D65" w:rsidRPr="00573D65" w:rsidRDefault="00573D65" w:rsidP="00573D65">
      <w:pPr>
        <w:pStyle w:val="Default"/>
        <w:ind w:left="780"/>
        <w:jc w:val="both"/>
        <w:rPr>
          <w:sz w:val="10"/>
          <w:szCs w:val="10"/>
        </w:rPr>
      </w:pPr>
    </w:p>
    <w:p w:rsidR="0043762F" w:rsidRPr="004203F0" w:rsidRDefault="00DD293F" w:rsidP="004203F0">
      <w:pPr>
        <w:pStyle w:val="Default"/>
        <w:numPr>
          <w:ilvl w:val="0"/>
          <w:numId w:val="21"/>
        </w:numPr>
        <w:jc w:val="both"/>
        <w:rPr>
          <w:b/>
          <w:bCs/>
          <w:sz w:val="20"/>
          <w:szCs w:val="20"/>
        </w:rPr>
      </w:pPr>
      <w:r w:rsidRPr="007D08F9">
        <w:rPr>
          <w:color w:val="auto"/>
          <w:sz w:val="20"/>
          <w:szCs w:val="20"/>
        </w:rPr>
        <w:t xml:space="preserve">Το σύνολο των εσόδων για τον Όμιλο από λειτουργικές δραστηριότητες ανήλθε σε </w:t>
      </w:r>
      <w:r w:rsidR="00FB658B">
        <w:rPr>
          <w:color w:val="auto"/>
          <w:sz w:val="20"/>
          <w:szCs w:val="20"/>
        </w:rPr>
        <w:t>7</w:t>
      </w:r>
      <w:r w:rsidR="007F6C04">
        <w:rPr>
          <w:color w:val="auto"/>
          <w:sz w:val="20"/>
          <w:szCs w:val="20"/>
        </w:rPr>
        <w:t>5</w:t>
      </w:r>
      <w:r w:rsidR="00FB658B">
        <w:rPr>
          <w:color w:val="auto"/>
          <w:sz w:val="20"/>
          <w:szCs w:val="20"/>
        </w:rPr>
        <w:t>,</w:t>
      </w:r>
      <w:r w:rsidR="007F6C04">
        <w:rPr>
          <w:color w:val="auto"/>
          <w:sz w:val="20"/>
          <w:szCs w:val="20"/>
        </w:rPr>
        <w:t>7</w:t>
      </w:r>
      <w:r w:rsidRPr="007D08F9">
        <w:rPr>
          <w:color w:val="auto"/>
          <w:sz w:val="20"/>
          <w:szCs w:val="20"/>
        </w:rPr>
        <w:t xml:space="preserve"> εκατ. ευρώ </w:t>
      </w:r>
      <w:r w:rsidR="001D395C" w:rsidRPr="007D08F9">
        <w:rPr>
          <w:color w:val="auto"/>
          <w:sz w:val="20"/>
          <w:szCs w:val="20"/>
        </w:rPr>
        <w:t xml:space="preserve">έναντι </w:t>
      </w:r>
      <w:r w:rsidR="00FB658B">
        <w:rPr>
          <w:color w:val="auto"/>
          <w:sz w:val="20"/>
          <w:szCs w:val="20"/>
        </w:rPr>
        <w:t>77</w:t>
      </w:r>
      <w:r w:rsidR="001D395C" w:rsidRPr="007D08F9">
        <w:rPr>
          <w:color w:val="auto"/>
          <w:sz w:val="20"/>
          <w:szCs w:val="20"/>
        </w:rPr>
        <w:t xml:space="preserve"> εκατ. ευρώ την αντίστοιχη συγκριτική </w:t>
      </w:r>
      <w:r w:rsidR="00BA62C5">
        <w:rPr>
          <w:color w:val="auto"/>
          <w:sz w:val="20"/>
          <w:szCs w:val="20"/>
        </w:rPr>
        <w:t>περίοδο</w:t>
      </w:r>
      <w:r w:rsidR="0043762F">
        <w:rPr>
          <w:color w:val="auto"/>
          <w:sz w:val="20"/>
          <w:szCs w:val="20"/>
        </w:rPr>
        <w:t xml:space="preserve">, παρουσιάζοντας </w:t>
      </w:r>
      <w:r w:rsidR="00AB50F4">
        <w:rPr>
          <w:color w:val="auto"/>
          <w:sz w:val="20"/>
          <w:szCs w:val="20"/>
        </w:rPr>
        <w:t xml:space="preserve">οριακή </w:t>
      </w:r>
      <w:r w:rsidR="00F41AFD">
        <w:rPr>
          <w:color w:val="auto"/>
          <w:sz w:val="20"/>
          <w:szCs w:val="20"/>
        </w:rPr>
        <w:t>μείωση</w:t>
      </w:r>
      <w:r w:rsidR="0043762F">
        <w:rPr>
          <w:color w:val="auto"/>
          <w:sz w:val="20"/>
          <w:szCs w:val="20"/>
        </w:rPr>
        <w:t xml:space="preserve"> της τάξης του </w:t>
      </w:r>
      <w:r w:rsidR="007F6C04">
        <w:rPr>
          <w:color w:val="auto"/>
          <w:sz w:val="20"/>
          <w:szCs w:val="20"/>
        </w:rPr>
        <w:t>1</w:t>
      </w:r>
      <w:r w:rsidR="00FB658B">
        <w:rPr>
          <w:color w:val="auto"/>
          <w:sz w:val="20"/>
          <w:szCs w:val="20"/>
        </w:rPr>
        <w:t>,</w:t>
      </w:r>
      <w:r w:rsidR="007F6C04">
        <w:rPr>
          <w:color w:val="auto"/>
          <w:sz w:val="20"/>
          <w:szCs w:val="20"/>
        </w:rPr>
        <w:t>7</w:t>
      </w:r>
      <w:r w:rsidR="0043762F">
        <w:rPr>
          <w:color w:val="auto"/>
          <w:sz w:val="20"/>
          <w:szCs w:val="20"/>
        </w:rPr>
        <w:t>%.</w:t>
      </w:r>
    </w:p>
    <w:p w:rsidR="004203F0" w:rsidRPr="004203F0" w:rsidRDefault="004203F0" w:rsidP="004203F0">
      <w:pPr>
        <w:pStyle w:val="Default"/>
        <w:jc w:val="both"/>
        <w:rPr>
          <w:b/>
          <w:bCs/>
          <w:sz w:val="10"/>
          <w:szCs w:val="10"/>
        </w:rPr>
      </w:pPr>
    </w:p>
    <w:p w:rsidR="0043762F" w:rsidRPr="00F14883" w:rsidRDefault="0043762F" w:rsidP="0043762F">
      <w:pPr>
        <w:pStyle w:val="Default"/>
        <w:numPr>
          <w:ilvl w:val="0"/>
          <w:numId w:val="21"/>
        </w:numPr>
        <w:jc w:val="both"/>
        <w:rPr>
          <w:sz w:val="20"/>
          <w:szCs w:val="20"/>
        </w:rPr>
      </w:pPr>
      <w:r w:rsidRPr="00F14883">
        <w:rPr>
          <w:sz w:val="20"/>
          <w:szCs w:val="20"/>
        </w:rPr>
        <w:t>Το σύνολο των λειτουργικών εξόδω</w:t>
      </w:r>
      <w:r w:rsidR="0096565D">
        <w:rPr>
          <w:sz w:val="20"/>
          <w:szCs w:val="20"/>
        </w:rPr>
        <w:t xml:space="preserve">ν προ προβλέψεων και αποσβέσεων </w:t>
      </w:r>
      <w:r w:rsidRPr="00F14883">
        <w:rPr>
          <w:sz w:val="20"/>
          <w:szCs w:val="20"/>
        </w:rPr>
        <w:t xml:space="preserve">για πιστωτικούς κινδύνους μειώθηκε κατά </w:t>
      </w:r>
      <w:r w:rsidR="007F6C04" w:rsidRPr="00F14883">
        <w:rPr>
          <w:sz w:val="20"/>
          <w:szCs w:val="20"/>
        </w:rPr>
        <w:t>1</w:t>
      </w:r>
      <w:r w:rsidR="00F14883" w:rsidRPr="00F14883">
        <w:rPr>
          <w:sz w:val="20"/>
          <w:szCs w:val="20"/>
        </w:rPr>
        <w:t>2</w:t>
      </w:r>
      <w:r w:rsidRPr="00F14883">
        <w:rPr>
          <w:sz w:val="20"/>
          <w:szCs w:val="20"/>
        </w:rPr>
        <w:t xml:space="preserve">% και διαμορφώθηκε σε </w:t>
      </w:r>
      <w:r w:rsidR="0096565D">
        <w:rPr>
          <w:sz w:val="20"/>
          <w:szCs w:val="20"/>
        </w:rPr>
        <w:t xml:space="preserve">34,9 </w:t>
      </w:r>
      <w:r w:rsidRPr="00F14883">
        <w:rPr>
          <w:sz w:val="20"/>
          <w:szCs w:val="20"/>
        </w:rPr>
        <w:t xml:space="preserve">εκατ. ευρώ έναντι </w:t>
      </w:r>
      <w:r w:rsidR="0096565D">
        <w:rPr>
          <w:sz w:val="20"/>
          <w:szCs w:val="20"/>
        </w:rPr>
        <w:t>39,5</w:t>
      </w:r>
      <w:r w:rsidRPr="00F14883">
        <w:rPr>
          <w:sz w:val="20"/>
          <w:szCs w:val="20"/>
        </w:rPr>
        <w:t xml:space="preserve"> εκατ. ευρώ κατά την 3</w:t>
      </w:r>
      <w:r w:rsidR="00FB658B" w:rsidRPr="00F14883">
        <w:rPr>
          <w:sz w:val="20"/>
          <w:szCs w:val="20"/>
        </w:rPr>
        <w:t>0</w:t>
      </w:r>
      <w:r w:rsidRPr="00F14883">
        <w:rPr>
          <w:sz w:val="20"/>
          <w:szCs w:val="20"/>
        </w:rPr>
        <w:t>/</w:t>
      </w:r>
      <w:r w:rsidR="00BA62C5" w:rsidRPr="00F14883">
        <w:rPr>
          <w:sz w:val="20"/>
          <w:szCs w:val="20"/>
        </w:rPr>
        <w:t>0</w:t>
      </w:r>
      <w:r w:rsidR="00FB658B" w:rsidRPr="00F14883">
        <w:rPr>
          <w:sz w:val="20"/>
          <w:szCs w:val="20"/>
        </w:rPr>
        <w:t>6</w:t>
      </w:r>
      <w:r w:rsidRPr="00F14883">
        <w:rPr>
          <w:sz w:val="20"/>
          <w:szCs w:val="20"/>
        </w:rPr>
        <w:t>/201</w:t>
      </w:r>
      <w:r w:rsidR="00BA62C5" w:rsidRPr="00F14883">
        <w:rPr>
          <w:sz w:val="20"/>
          <w:szCs w:val="20"/>
        </w:rPr>
        <w:t>4</w:t>
      </w:r>
      <w:r w:rsidRPr="00F14883">
        <w:rPr>
          <w:sz w:val="20"/>
          <w:szCs w:val="20"/>
        </w:rPr>
        <w:t>.</w:t>
      </w:r>
    </w:p>
    <w:p w:rsidR="0043762F" w:rsidRPr="004203F0" w:rsidRDefault="0043762F" w:rsidP="0043762F">
      <w:pPr>
        <w:pStyle w:val="Default"/>
        <w:ind w:left="720"/>
        <w:jc w:val="both"/>
        <w:rPr>
          <w:sz w:val="10"/>
          <w:szCs w:val="10"/>
        </w:rPr>
      </w:pPr>
    </w:p>
    <w:p w:rsidR="0043762F" w:rsidRPr="00F41AFD" w:rsidRDefault="0043762F" w:rsidP="0043762F">
      <w:pPr>
        <w:pStyle w:val="Default"/>
        <w:numPr>
          <w:ilvl w:val="0"/>
          <w:numId w:val="21"/>
        </w:numPr>
        <w:jc w:val="both"/>
        <w:rPr>
          <w:b/>
          <w:bCs/>
          <w:sz w:val="10"/>
          <w:szCs w:val="10"/>
        </w:rPr>
      </w:pPr>
      <w:r w:rsidRPr="00F41AFD">
        <w:rPr>
          <w:sz w:val="20"/>
          <w:szCs w:val="20"/>
        </w:rPr>
        <w:t xml:space="preserve">Οι αμοιβές και τα εν γένει έξοδα προσωπικού, είναι μειωμένα κατά </w:t>
      </w:r>
      <w:r w:rsidR="00F41AFD" w:rsidRPr="00F41AFD">
        <w:rPr>
          <w:sz w:val="20"/>
          <w:szCs w:val="20"/>
        </w:rPr>
        <w:t>1,</w:t>
      </w:r>
      <w:r w:rsidR="007F6C04">
        <w:rPr>
          <w:sz w:val="20"/>
          <w:szCs w:val="20"/>
        </w:rPr>
        <w:t>4</w:t>
      </w:r>
      <w:r w:rsidRPr="00F41AFD">
        <w:rPr>
          <w:sz w:val="20"/>
          <w:szCs w:val="20"/>
        </w:rPr>
        <w:t xml:space="preserve"> εκατ. ευρώ περίπου και διαμορφώθηκαν σε </w:t>
      </w:r>
      <w:r w:rsidR="00FB658B">
        <w:rPr>
          <w:sz w:val="20"/>
          <w:szCs w:val="20"/>
        </w:rPr>
        <w:t>21,2</w:t>
      </w:r>
      <w:r w:rsidRPr="00F41AFD">
        <w:rPr>
          <w:sz w:val="20"/>
          <w:szCs w:val="20"/>
        </w:rPr>
        <w:t xml:space="preserve"> εκατ. ευρώ </w:t>
      </w:r>
      <w:r w:rsidR="00B861D3">
        <w:rPr>
          <w:sz w:val="20"/>
          <w:szCs w:val="20"/>
        </w:rPr>
        <w:t xml:space="preserve">το </w:t>
      </w:r>
      <w:r w:rsidR="008B1472">
        <w:rPr>
          <w:sz w:val="20"/>
          <w:szCs w:val="20"/>
        </w:rPr>
        <w:t>α’</w:t>
      </w:r>
      <w:r w:rsidR="00B861D3">
        <w:rPr>
          <w:sz w:val="20"/>
          <w:szCs w:val="20"/>
        </w:rPr>
        <w:t xml:space="preserve"> εξάμηνο του 2015, </w:t>
      </w:r>
      <w:r w:rsidRPr="00F41AFD">
        <w:rPr>
          <w:sz w:val="20"/>
          <w:szCs w:val="20"/>
        </w:rPr>
        <w:t xml:space="preserve">έναντι </w:t>
      </w:r>
      <w:r w:rsidR="00FB658B">
        <w:rPr>
          <w:sz w:val="20"/>
          <w:szCs w:val="20"/>
        </w:rPr>
        <w:t>22,7</w:t>
      </w:r>
      <w:r w:rsidRPr="00F41AFD">
        <w:rPr>
          <w:sz w:val="20"/>
          <w:szCs w:val="20"/>
        </w:rPr>
        <w:t xml:space="preserve"> εκατ. ευρώ τ</w:t>
      </w:r>
      <w:r w:rsidR="00B861D3">
        <w:rPr>
          <w:sz w:val="20"/>
          <w:szCs w:val="20"/>
        </w:rPr>
        <w:t xml:space="preserve">ου </w:t>
      </w:r>
      <w:r w:rsidR="008B1472">
        <w:rPr>
          <w:sz w:val="20"/>
          <w:szCs w:val="20"/>
        </w:rPr>
        <w:t>α’</w:t>
      </w:r>
      <w:r w:rsidR="00B861D3">
        <w:rPr>
          <w:sz w:val="20"/>
          <w:szCs w:val="20"/>
        </w:rPr>
        <w:t xml:space="preserve"> </w:t>
      </w:r>
      <w:r w:rsidR="00FB658B">
        <w:rPr>
          <w:sz w:val="20"/>
          <w:szCs w:val="20"/>
        </w:rPr>
        <w:t>εξ</w:t>
      </w:r>
      <w:r w:rsidR="00B861D3">
        <w:rPr>
          <w:sz w:val="20"/>
          <w:szCs w:val="20"/>
        </w:rPr>
        <w:t>α</w:t>
      </w:r>
      <w:r w:rsidR="00FB658B">
        <w:rPr>
          <w:sz w:val="20"/>
          <w:szCs w:val="20"/>
        </w:rPr>
        <w:t>μ</w:t>
      </w:r>
      <w:r w:rsidR="00B861D3">
        <w:rPr>
          <w:sz w:val="20"/>
          <w:szCs w:val="20"/>
        </w:rPr>
        <w:t>ή</w:t>
      </w:r>
      <w:r w:rsidR="00FB658B">
        <w:rPr>
          <w:sz w:val="20"/>
          <w:szCs w:val="20"/>
        </w:rPr>
        <w:t>νο</w:t>
      </w:r>
      <w:r w:rsidR="00B861D3">
        <w:rPr>
          <w:sz w:val="20"/>
          <w:szCs w:val="20"/>
        </w:rPr>
        <w:t>υ</w:t>
      </w:r>
      <w:r w:rsidR="00BA62C5" w:rsidRPr="00F41AFD">
        <w:rPr>
          <w:sz w:val="20"/>
          <w:szCs w:val="20"/>
        </w:rPr>
        <w:t xml:space="preserve"> του 201</w:t>
      </w:r>
      <w:r w:rsidR="00B861D3">
        <w:rPr>
          <w:sz w:val="20"/>
          <w:szCs w:val="20"/>
        </w:rPr>
        <w:t>4</w:t>
      </w:r>
      <w:r w:rsidRPr="00F41AFD">
        <w:rPr>
          <w:sz w:val="20"/>
          <w:szCs w:val="20"/>
        </w:rPr>
        <w:t xml:space="preserve">, παρουσιάζοντας ποσοστιαία μείωση της τάξης του </w:t>
      </w:r>
      <w:r w:rsidR="00FB658B">
        <w:rPr>
          <w:sz w:val="20"/>
          <w:szCs w:val="20"/>
        </w:rPr>
        <w:t>6,</w:t>
      </w:r>
      <w:r w:rsidR="00F41AFD" w:rsidRPr="00F41AFD">
        <w:rPr>
          <w:sz w:val="20"/>
          <w:szCs w:val="20"/>
        </w:rPr>
        <w:t>4</w:t>
      </w:r>
      <w:r w:rsidRPr="00F41AFD">
        <w:rPr>
          <w:sz w:val="20"/>
          <w:szCs w:val="20"/>
        </w:rPr>
        <w:t xml:space="preserve">%. </w:t>
      </w:r>
    </w:p>
    <w:p w:rsidR="00F41AFD" w:rsidRPr="00F41AFD" w:rsidRDefault="00F41AFD" w:rsidP="00F41AFD">
      <w:pPr>
        <w:pStyle w:val="Default"/>
        <w:ind w:left="720"/>
        <w:jc w:val="both"/>
        <w:rPr>
          <w:b/>
          <w:bCs/>
          <w:sz w:val="10"/>
          <w:szCs w:val="10"/>
        </w:rPr>
      </w:pPr>
    </w:p>
    <w:p w:rsidR="0043762F" w:rsidRPr="00290451" w:rsidRDefault="00F32EFF" w:rsidP="00F41AFD">
      <w:pPr>
        <w:pStyle w:val="Default"/>
        <w:numPr>
          <w:ilvl w:val="0"/>
          <w:numId w:val="21"/>
        </w:numPr>
        <w:jc w:val="both"/>
        <w:rPr>
          <w:bCs/>
          <w:color w:val="EEECE1" w:themeColor="background2"/>
          <w:sz w:val="20"/>
          <w:szCs w:val="20"/>
        </w:rPr>
      </w:pPr>
      <w:r w:rsidRPr="00290451">
        <w:rPr>
          <w:bCs/>
          <w:color w:val="auto"/>
          <w:sz w:val="20"/>
          <w:szCs w:val="20"/>
        </w:rPr>
        <w:t xml:space="preserve">Τα καθαρά έσοδα προμηθειών διαμορφώθηκαν σε </w:t>
      </w:r>
      <w:r w:rsidR="00FB658B">
        <w:rPr>
          <w:bCs/>
          <w:color w:val="auto"/>
          <w:sz w:val="20"/>
          <w:szCs w:val="20"/>
        </w:rPr>
        <w:t>11,5</w:t>
      </w:r>
      <w:r w:rsidRPr="00290451">
        <w:rPr>
          <w:bCs/>
          <w:color w:val="auto"/>
          <w:sz w:val="20"/>
          <w:szCs w:val="20"/>
        </w:rPr>
        <w:t xml:space="preserve"> εκατ. ευρώ περίπου </w:t>
      </w:r>
      <w:r w:rsidR="00BA62C5" w:rsidRPr="00290451">
        <w:rPr>
          <w:bCs/>
          <w:color w:val="auto"/>
          <w:sz w:val="20"/>
          <w:szCs w:val="20"/>
        </w:rPr>
        <w:t xml:space="preserve">στο </w:t>
      </w:r>
      <w:r w:rsidR="00FB658B">
        <w:rPr>
          <w:bCs/>
          <w:color w:val="auto"/>
          <w:sz w:val="20"/>
          <w:szCs w:val="20"/>
        </w:rPr>
        <w:t>εξάμηνο</w:t>
      </w:r>
      <w:r w:rsidR="00BA62C5" w:rsidRPr="00290451">
        <w:rPr>
          <w:bCs/>
          <w:color w:val="auto"/>
          <w:sz w:val="20"/>
          <w:szCs w:val="20"/>
        </w:rPr>
        <w:t xml:space="preserve"> του 2015</w:t>
      </w:r>
      <w:r w:rsidR="00F41AFD" w:rsidRPr="00290451">
        <w:rPr>
          <w:bCs/>
          <w:color w:val="auto"/>
          <w:sz w:val="20"/>
          <w:szCs w:val="20"/>
        </w:rPr>
        <w:t xml:space="preserve">παρουσιάζοντας </w:t>
      </w:r>
      <w:r w:rsidR="00FB658B">
        <w:rPr>
          <w:bCs/>
          <w:color w:val="auto"/>
          <w:sz w:val="20"/>
          <w:szCs w:val="20"/>
        </w:rPr>
        <w:t>μείωση</w:t>
      </w:r>
      <w:r w:rsidR="00F41AFD" w:rsidRPr="00290451">
        <w:rPr>
          <w:bCs/>
          <w:color w:val="auto"/>
          <w:sz w:val="20"/>
          <w:szCs w:val="20"/>
        </w:rPr>
        <w:t xml:space="preserve"> της τάξης του </w:t>
      </w:r>
      <w:r w:rsidR="00FB658B">
        <w:rPr>
          <w:bCs/>
          <w:color w:val="auto"/>
          <w:sz w:val="20"/>
          <w:szCs w:val="20"/>
        </w:rPr>
        <w:t>8,9</w:t>
      </w:r>
      <w:r w:rsidR="00F41AFD" w:rsidRPr="00290451">
        <w:rPr>
          <w:bCs/>
          <w:color w:val="auto"/>
          <w:sz w:val="20"/>
          <w:szCs w:val="20"/>
        </w:rPr>
        <w:t>% σε σχέση με τη συγκριτική περίοδο</w:t>
      </w:r>
      <w:r w:rsidR="00290451" w:rsidRPr="00290451">
        <w:rPr>
          <w:bCs/>
          <w:color w:val="auto"/>
          <w:sz w:val="20"/>
          <w:szCs w:val="20"/>
        </w:rPr>
        <w:t>.</w:t>
      </w:r>
    </w:p>
    <w:p w:rsidR="004203F0" w:rsidRPr="004203F0" w:rsidRDefault="004203F0" w:rsidP="004203F0">
      <w:pPr>
        <w:pStyle w:val="Default"/>
        <w:jc w:val="both"/>
        <w:rPr>
          <w:bCs/>
          <w:sz w:val="10"/>
          <w:szCs w:val="10"/>
        </w:rPr>
      </w:pPr>
    </w:p>
    <w:p w:rsidR="00573D65" w:rsidRPr="00573D65" w:rsidRDefault="0043762F" w:rsidP="00573D65">
      <w:pPr>
        <w:pStyle w:val="Default"/>
        <w:numPr>
          <w:ilvl w:val="0"/>
          <w:numId w:val="21"/>
        </w:numPr>
        <w:jc w:val="both"/>
        <w:rPr>
          <w:bCs/>
          <w:sz w:val="10"/>
          <w:szCs w:val="10"/>
        </w:rPr>
      </w:pPr>
      <w:r>
        <w:rPr>
          <w:bCs/>
          <w:sz w:val="20"/>
          <w:szCs w:val="20"/>
        </w:rPr>
        <w:t xml:space="preserve">Οι καταθέσεις διαμορφώθηκαν σε </w:t>
      </w:r>
      <w:r w:rsidR="00FB658B">
        <w:rPr>
          <w:bCs/>
          <w:sz w:val="20"/>
          <w:szCs w:val="20"/>
        </w:rPr>
        <w:t>2,56</w:t>
      </w:r>
      <w:r>
        <w:rPr>
          <w:bCs/>
          <w:sz w:val="20"/>
          <w:szCs w:val="20"/>
        </w:rPr>
        <w:t xml:space="preserve"> δισ. ευρώ περίπου μειωμένες κατά </w:t>
      </w:r>
      <w:r w:rsidR="00FB658B">
        <w:rPr>
          <w:bCs/>
          <w:sz w:val="20"/>
          <w:szCs w:val="20"/>
        </w:rPr>
        <w:t>2</w:t>
      </w:r>
      <w:r w:rsidR="007F6C04">
        <w:rPr>
          <w:bCs/>
          <w:sz w:val="20"/>
          <w:szCs w:val="20"/>
        </w:rPr>
        <w:t>1,3</w:t>
      </w:r>
      <w:r>
        <w:rPr>
          <w:bCs/>
          <w:sz w:val="20"/>
          <w:szCs w:val="20"/>
        </w:rPr>
        <w:t>% σε σχέση με τ</w:t>
      </w:r>
      <w:r w:rsidR="00FB658B">
        <w:rPr>
          <w:bCs/>
          <w:sz w:val="20"/>
          <w:szCs w:val="20"/>
        </w:rPr>
        <w:t>ην</w:t>
      </w:r>
      <w:r w:rsidR="002E0731">
        <w:rPr>
          <w:bCs/>
          <w:sz w:val="20"/>
          <w:szCs w:val="20"/>
        </w:rPr>
        <w:t xml:space="preserve"> </w:t>
      </w:r>
      <w:r w:rsidR="00AB50F4">
        <w:rPr>
          <w:bCs/>
          <w:sz w:val="20"/>
          <w:szCs w:val="20"/>
        </w:rPr>
        <w:t>31/12/2014</w:t>
      </w:r>
      <w:r w:rsidR="00BD7EF4">
        <w:rPr>
          <w:bCs/>
          <w:sz w:val="20"/>
          <w:szCs w:val="20"/>
        </w:rPr>
        <w:t xml:space="preserve">, λόγω των εκροών </w:t>
      </w:r>
      <w:r w:rsidR="00573D65">
        <w:rPr>
          <w:bCs/>
          <w:sz w:val="20"/>
          <w:szCs w:val="20"/>
        </w:rPr>
        <w:t xml:space="preserve">που σημειώθηκαν εξαιτίας </w:t>
      </w:r>
      <w:r w:rsidR="00AB50F4">
        <w:rPr>
          <w:bCs/>
          <w:sz w:val="20"/>
          <w:szCs w:val="20"/>
        </w:rPr>
        <w:t>της οικονομικής αβεβαιότητας που επικρατούσε καθ’</w:t>
      </w:r>
      <w:r w:rsidR="00B861D3">
        <w:rPr>
          <w:bCs/>
          <w:sz w:val="20"/>
          <w:szCs w:val="20"/>
        </w:rPr>
        <w:t xml:space="preserve"> </w:t>
      </w:r>
      <w:r w:rsidR="00AB50F4">
        <w:rPr>
          <w:bCs/>
          <w:sz w:val="20"/>
          <w:szCs w:val="20"/>
        </w:rPr>
        <w:t>όλη τη διάρκεια του Α’ εξαμήνου 2015</w:t>
      </w:r>
      <w:r w:rsidR="00573D65">
        <w:rPr>
          <w:bCs/>
          <w:sz w:val="20"/>
          <w:szCs w:val="20"/>
        </w:rPr>
        <w:t>.</w:t>
      </w:r>
    </w:p>
    <w:p w:rsidR="004203F0" w:rsidRPr="004203F0" w:rsidRDefault="004203F0" w:rsidP="00573D65">
      <w:pPr>
        <w:pStyle w:val="Default"/>
        <w:ind w:left="720"/>
        <w:jc w:val="both"/>
        <w:rPr>
          <w:bCs/>
          <w:sz w:val="10"/>
          <w:szCs w:val="10"/>
        </w:rPr>
      </w:pPr>
    </w:p>
    <w:p w:rsidR="00DD293F" w:rsidRPr="00194DD1" w:rsidRDefault="0043762F" w:rsidP="00701AFC">
      <w:pPr>
        <w:pStyle w:val="Default"/>
        <w:numPr>
          <w:ilvl w:val="0"/>
          <w:numId w:val="21"/>
        </w:numPr>
        <w:jc w:val="both"/>
        <w:rPr>
          <w:sz w:val="20"/>
          <w:szCs w:val="20"/>
        </w:rPr>
      </w:pPr>
      <w:r w:rsidRPr="00194DD1">
        <w:rPr>
          <w:bCs/>
          <w:sz w:val="20"/>
          <w:szCs w:val="20"/>
        </w:rPr>
        <w:t xml:space="preserve">Οι χορηγήσεις προ προβλέψεων ανήλθαν σε </w:t>
      </w:r>
      <w:r w:rsidR="00F41AFD" w:rsidRPr="00194DD1">
        <w:rPr>
          <w:bCs/>
          <w:sz w:val="20"/>
          <w:szCs w:val="20"/>
        </w:rPr>
        <w:t>3,</w:t>
      </w:r>
      <w:r w:rsidR="007F6C04">
        <w:rPr>
          <w:bCs/>
          <w:sz w:val="20"/>
          <w:szCs w:val="20"/>
        </w:rPr>
        <w:t>8</w:t>
      </w:r>
      <w:r w:rsidRPr="00194DD1">
        <w:rPr>
          <w:bCs/>
          <w:sz w:val="20"/>
          <w:szCs w:val="20"/>
        </w:rPr>
        <w:t xml:space="preserve"> δισ. ευρώ περίπου παρουσιάζοντας σταθερότητα σε σχέση με το προηγούμενο έτος. </w:t>
      </w:r>
      <w:r w:rsidR="00194DD1" w:rsidRPr="00194DD1">
        <w:rPr>
          <w:bCs/>
          <w:sz w:val="20"/>
          <w:szCs w:val="20"/>
        </w:rPr>
        <w:t xml:space="preserve">Αντίστοιχα οι χορηγήσεις </w:t>
      </w:r>
      <w:r w:rsidRPr="00194DD1">
        <w:rPr>
          <w:bCs/>
          <w:sz w:val="20"/>
          <w:szCs w:val="20"/>
        </w:rPr>
        <w:t>μετά από προβλέψεις διαμορφώθηκ</w:t>
      </w:r>
      <w:r w:rsidR="00194DD1" w:rsidRPr="00194DD1">
        <w:rPr>
          <w:bCs/>
          <w:sz w:val="20"/>
          <w:szCs w:val="20"/>
        </w:rPr>
        <w:t>αν</w:t>
      </w:r>
      <w:r w:rsidRPr="00194DD1">
        <w:rPr>
          <w:bCs/>
          <w:sz w:val="20"/>
          <w:szCs w:val="20"/>
        </w:rPr>
        <w:t xml:space="preserve"> σε </w:t>
      </w:r>
      <w:r w:rsidR="007F6C04">
        <w:rPr>
          <w:bCs/>
          <w:sz w:val="20"/>
          <w:szCs w:val="20"/>
        </w:rPr>
        <w:t>2,7</w:t>
      </w:r>
      <w:r w:rsidR="00F4684E">
        <w:rPr>
          <w:bCs/>
          <w:sz w:val="20"/>
          <w:szCs w:val="20"/>
        </w:rPr>
        <w:t xml:space="preserve"> δισ</w:t>
      </w:r>
      <w:r w:rsidRPr="00194DD1">
        <w:rPr>
          <w:bCs/>
          <w:sz w:val="20"/>
          <w:szCs w:val="20"/>
        </w:rPr>
        <w:t xml:space="preserve">. ευρώ για </w:t>
      </w:r>
      <w:r w:rsidR="00BA62C5" w:rsidRPr="00194DD1">
        <w:rPr>
          <w:bCs/>
          <w:sz w:val="20"/>
          <w:szCs w:val="20"/>
        </w:rPr>
        <w:t xml:space="preserve">το </w:t>
      </w:r>
      <w:r w:rsidR="00FB658B">
        <w:rPr>
          <w:bCs/>
          <w:sz w:val="20"/>
          <w:szCs w:val="20"/>
        </w:rPr>
        <w:t>εξάμηνο</w:t>
      </w:r>
      <w:r w:rsidRPr="00194DD1">
        <w:rPr>
          <w:bCs/>
          <w:sz w:val="20"/>
          <w:szCs w:val="20"/>
        </w:rPr>
        <w:t xml:space="preserve"> που έληξε την 3</w:t>
      </w:r>
      <w:r w:rsidR="00FB658B">
        <w:rPr>
          <w:bCs/>
          <w:sz w:val="20"/>
          <w:szCs w:val="20"/>
        </w:rPr>
        <w:t>0</w:t>
      </w:r>
      <w:r w:rsidRPr="00194DD1">
        <w:rPr>
          <w:bCs/>
          <w:sz w:val="20"/>
          <w:szCs w:val="20"/>
        </w:rPr>
        <w:t>/</w:t>
      </w:r>
      <w:r w:rsidR="00BA62C5" w:rsidRPr="00194DD1">
        <w:rPr>
          <w:bCs/>
          <w:sz w:val="20"/>
          <w:szCs w:val="20"/>
        </w:rPr>
        <w:t>0</w:t>
      </w:r>
      <w:r w:rsidR="00FB658B">
        <w:rPr>
          <w:bCs/>
          <w:sz w:val="20"/>
          <w:szCs w:val="20"/>
        </w:rPr>
        <w:t>6</w:t>
      </w:r>
      <w:r w:rsidRPr="00194DD1">
        <w:rPr>
          <w:bCs/>
          <w:sz w:val="20"/>
          <w:szCs w:val="20"/>
        </w:rPr>
        <w:t>/201</w:t>
      </w:r>
      <w:r w:rsidR="00BA62C5" w:rsidRPr="00194DD1">
        <w:rPr>
          <w:bCs/>
          <w:sz w:val="20"/>
          <w:szCs w:val="20"/>
        </w:rPr>
        <w:t>5</w:t>
      </w:r>
      <w:r w:rsidR="00194DD1">
        <w:rPr>
          <w:bCs/>
          <w:sz w:val="20"/>
          <w:szCs w:val="20"/>
        </w:rPr>
        <w:t>.</w:t>
      </w:r>
    </w:p>
    <w:p w:rsidR="00194DD1" w:rsidRPr="00194DD1" w:rsidRDefault="00194DD1" w:rsidP="00194DD1">
      <w:pPr>
        <w:pStyle w:val="Default"/>
        <w:ind w:left="720"/>
        <w:jc w:val="both"/>
        <w:rPr>
          <w:sz w:val="20"/>
          <w:szCs w:val="20"/>
        </w:rPr>
      </w:pPr>
    </w:p>
    <w:p w:rsidR="00DD293F" w:rsidRPr="007F6C04" w:rsidRDefault="00DD293F" w:rsidP="0082525D">
      <w:pPr>
        <w:pStyle w:val="Default"/>
        <w:jc w:val="both"/>
        <w:rPr>
          <w:sz w:val="20"/>
          <w:szCs w:val="20"/>
          <w:highlight w:val="red"/>
        </w:rPr>
      </w:pPr>
    </w:p>
    <w:p w:rsidR="00DD293F" w:rsidRDefault="00DD293F">
      <w:pPr>
        <w:pStyle w:val="Default"/>
        <w:jc w:val="both"/>
        <w:rPr>
          <w:sz w:val="20"/>
          <w:szCs w:val="20"/>
        </w:rPr>
      </w:pPr>
    </w:p>
    <w:p w:rsidR="00DD293F" w:rsidRDefault="00DD293F" w:rsidP="000E16A3">
      <w:pPr>
        <w:spacing w:after="0" w:line="240" w:lineRule="auto"/>
        <w:rPr>
          <w:rFonts w:ascii="Verdana" w:hAnsi="Verdana" w:cs="Verdana"/>
          <w:b/>
          <w:bCs/>
          <w:color w:val="000000"/>
          <w:sz w:val="20"/>
          <w:szCs w:val="20"/>
          <w:lang w:eastAsia="el-GR"/>
        </w:rPr>
      </w:pPr>
    </w:p>
    <w:p w:rsidR="00DD293F" w:rsidRDefault="00DD293F">
      <w:pPr>
        <w:spacing w:after="0" w:line="240" w:lineRule="auto"/>
        <w:jc w:val="center"/>
        <w:rPr>
          <w:rFonts w:ascii="Verdana" w:hAnsi="Verdana" w:cs="Verdana"/>
          <w:b/>
          <w:bCs/>
          <w:color w:val="000000"/>
          <w:sz w:val="20"/>
          <w:szCs w:val="20"/>
          <w:lang w:eastAsia="el-GR"/>
        </w:rPr>
      </w:pPr>
      <w:r>
        <w:rPr>
          <w:rFonts w:ascii="Verdana" w:hAnsi="Verdana" w:cs="Verdana"/>
          <w:b/>
          <w:bCs/>
          <w:color w:val="000000"/>
          <w:sz w:val="20"/>
          <w:szCs w:val="20"/>
          <w:lang w:val="en-GB" w:eastAsia="el-GR"/>
        </w:rPr>
        <w:t>ATTICA</w:t>
      </w:r>
      <w:r w:rsidR="00A6025B">
        <w:rPr>
          <w:rFonts w:ascii="Verdana" w:hAnsi="Verdana" w:cs="Verdana"/>
          <w:b/>
          <w:bCs/>
          <w:color w:val="000000"/>
          <w:sz w:val="20"/>
          <w:szCs w:val="20"/>
          <w:lang w:eastAsia="el-GR"/>
        </w:rPr>
        <w:t xml:space="preserve"> </w:t>
      </w:r>
      <w:r>
        <w:rPr>
          <w:rFonts w:ascii="Verdana" w:hAnsi="Verdana" w:cs="Verdana"/>
          <w:b/>
          <w:bCs/>
          <w:color w:val="000000"/>
          <w:sz w:val="20"/>
          <w:szCs w:val="20"/>
          <w:lang w:val="en-GB" w:eastAsia="el-GR"/>
        </w:rPr>
        <w:t>BANK</w:t>
      </w:r>
    </w:p>
    <w:p w:rsidR="00DD293F" w:rsidRDefault="00DD293F">
      <w:pPr>
        <w:spacing w:after="0" w:line="240" w:lineRule="auto"/>
        <w:jc w:val="center"/>
        <w:rPr>
          <w:rFonts w:ascii="Verdana" w:hAnsi="Verdana" w:cs="Verdana"/>
          <w:b/>
          <w:bCs/>
          <w:color w:val="000000"/>
          <w:sz w:val="20"/>
          <w:szCs w:val="20"/>
          <w:lang w:eastAsia="el-GR"/>
        </w:rPr>
      </w:pPr>
      <w:r>
        <w:rPr>
          <w:rFonts w:ascii="Verdana" w:hAnsi="Verdana" w:cs="Verdana"/>
          <w:b/>
          <w:bCs/>
          <w:color w:val="000000"/>
          <w:sz w:val="20"/>
          <w:szCs w:val="20"/>
          <w:lang w:eastAsia="el-GR"/>
        </w:rPr>
        <w:t>Ανώνυμη Τραπεζική Εταιρεία</w:t>
      </w:r>
    </w:p>
    <w:p w:rsidR="00DD293F" w:rsidRDefault="00DD293F">
      <w:pPr>
        <w:pStyle w:val="Default"/>
        <w:jc w:val="both"/>
      </w:pPr>
      <w:r>
        <w:rPr>
          <w:b/>
          <w:bCs/>
          <w:sz w:val="20"/>
          <w:szCs w:val="20"/>
        </w:rPr>
        <w:t xml:space="preserve">Σημείωση: </w:t>
      </w:r>
      <w:r>
        <w:rPr>
          <w:sz w:val="20"/>
          <w:szCs w:val="20"/>
        </w:rPr>
        <w:t xml:space="preserve">Οι Οικονομικές Καταστάσεις της Τράπεζας σε ατομική και ενοποιημένη βάση σύμφωνα με τα Δ.Π.Χ.Π., θα αναρτηθούν την </w:t>
      </w:r>
      <w:r w:rsidR="00B25480" w:rsidRPr="00B25480">
        <w:rPr>
          <w:sz w:val="20"/>
          <w:szCs w:val="20"/>
        </w:rPr>
        <w:t>31</w:t>
      </w:r>
      <w:r w:rsidRPr="00B25480">
        <w:rPr>
          <w:sz w:val="20"/>
          <w:szCs w:val="20"/>
        </w:rPr>
        <w:t>/</w:t>
      </w:r>
      <w:r w:rsidR="00B25480" w:rsidRPr="00B25480">
        <w:rPr>
          <w:sz w:val="20"/>
          <w:szCs w:val="20"/>
        </w:rPr>
        <w:t>10</w:t>
      </w:r>
      <w:r w:rsidRPr="00B25480">
        <w:rPr>
          <w:sz w:val="20"/>
          <w:szCs w:val="20"/>
        </w:rPr>
        <w:t>/201</w:t>
      </w:r>
      <w:r w:rsidR="002D7A47" w:rsidRPr="00B25480">
        <w:rPr>
          <w:sz w:val="20"/>
          <w:szCs w:val="20"/>
        </w:rPr>
        <w:t>5</w:t>
      </w:r>
      <w:r>
        <w:rPr>
          <w:sz w:val="20"/>
          <w:szCs w:val="20"/>
        </w:rPr>
        <w:t xml:space="preserve"> στην ιστοσελίδα της Τράπεζας, </w:t>
      </w:r>
      <w:hyperlink r:id="rId9" w:history="1">
        <w:r>
          <w:rPr>
            <w:rStyle w:val="Hyperlink"/>
            <w:rFonts w:cs="Verdana"/>
            <w:sz w:val="20"/>
            <w:szCs w:val="20"/>
          </w:rPr>
          <w:t>www.atticabank.gr</w:t>
        </w:r>
      </w:hyperlink>
    </w:p>
    <w:sectPr w:rsidR="00DD293F" w:rsidSect="003F2E3B">
      <w:footerReference w:type="default" r:id="rId10"/>
      <w:pgSz w:w="11906" w:h="16838"/>
      <w:pgMar w:top="1258" w:right="1286" w:bottom="1440" w:left="180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0A" w:rsidRDefault="00910F0A">
      <w:pPr>
        <w:spacing w:after="0" w:line="240" w:lineRule="auto"/>
      </w:pPr>
      <w:r>
        <w:separator/>
      </w:r>
    </w:p>
  </w:endnote>
  <w:endnote w:type="continuationSeparator" w:id="0">
    <w:p w:rsidR="00910F0A" w:rsidRDefault="0091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0A" w:rsidRDefault="00B91899">
    <w:pPr>
      <w:pStyle w:val="Footer"/>
      <w:framePr w:wrap="auto" w:vAnchor="text" w:hAnchor="margin" w:xAlign="right" w:y="1"/>
      <w:rPr>
        <w:rStyle w:val="PageNumber"/>
        <w:rFonts w:cs="Calibri"/>
      </w:rPr>
    </w:pPr>
    <w:r>
      <w:rPr>
        <w:rStyle w:val="PageNumber"/>
        <w:rFonts w:cs="Calibri"/>
      </w:rPr>
      <w:fldChar w:fldCharType="begin"/>
    </w:r>
    <w:r w:rsidR="00E4130A">
      <w:rPr>
        <w:rStyle w:val="PageNumber"/>
        <w:rFonts w:cs="Calibri"/>
      </w:rPr>
      <w:instrText xml:space="preserve">PAGE  </w:instrText>
    </w:r>
    <w:r>
      <w:rPr>
        <w:rStyle w:val="PageNumber"/>
        <w:rFonts w:cs="Calibri"/>
      </w:rPr>
      <w:fldChar w:fldCharType="separate"/>
    </w:r>
    <w:r w:rsidR="00D9795A">
      <w:rPr>
        <w:rStyle w:val="PageNumber"/>
        <w:rFonts w:cs="Calibri"/>
        <w:noProof/>
      </w:rPr>
      <w:t>2</w:t>
    </w:r>
    <w:r>
      <w:rPr>
        <w:rStyle w:val="PageNumber"/>
        <w:rFonts w:cs="Calibri"/>
      </w:rPr>
      <w:fldChar w:fldCharType="end"/>
    </w:r>
  </w:p>
  <w:p w:rsidR="00E4130A" w:rsidRDefault="00E413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0A" w:rsidRDefault="00910F0A">
      <w:pPr>
        <w:spacing w:after="0" w:line="240" w:lineRule="auto"/>
      </w:pPr>
      <w:r>
        <w:separator/>
      </w:r>
    </w:p>
  </w:footnote>
  <w:footnote w:type="continuationSeparator" w:id="0">
    <w:p w:rsidR="00910F0A" w:rsidRDefault="00910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17C9F"/>
    <w:multiLevelType w:val="hybridMultilevel"/>
    <w:tmpl w:val="0715FA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C4A879"/>
    <w:multiLevelType w:val="hybridMultilevel"/>
    <w:tmpl w:val="E60EC8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7E9BE35"/>
    <w:multiLevelType w:val="hybridMultilevel"/>
    <w:tmpl w:val="E8AFF58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5C8088B"/>
    <w:multiLevelType w:val="hybridMultilevel"/>
    <w:tmpl w:val="59C6E93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8C45236"/>
    <w:multiLevelType w:val="hybridMultilevel"/>
    <w:tmpl w:val="6A42FC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C4C6F0B"/>
    <w:multiLevelType w:val="hybridMultilevel"/>
    <w:tmpl w:val="EAF28BD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18D759"/>
    <w:multiLevelType w:val="hybridMultilevel"/>
    <w:tmpl w:val="8C14F0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014771C"/>
    <w:multiLevelType w:val="hybridMultilevel"/>
    <w:tmpl w:val="1FFEC298"/>
    <w:lvl w:ilvl="0" w:tplc="EE26AA9E">
      <w:numFmt w:val="bullet"/>
      <w:lvlText w:val="-"/>
      <w:lvlJc w:val="left"/>
      <w:pPr>
        <w:tabs>
          <w:tab w:val="num" w:pos="720"/>
        </w:tabs>
        <w:ind w:left="720" w:hanging="360"/>
      </w:pPr>
      <w:rPr>
        <w:rFonts w:ascii="Times New Roman" w:eastAsia="Times New Roman" w:hAnsi="Times New Roman" w:hint="default"/>
        <w:color w:val="000000" w:themeColor="text1"/>
      </w:rPr>
    </w:lvl>
    <w:lvl w:ilvl="1" w:tplc="04080003">
      <w:start w:val="1"/>
      <w:numFmt w:val="bullet"/>
      <w:lvlText w:val="o"/>
      <w:lvlJc w:val="left"/>
      <w:pPr>
        <w:tabs>
          <w:tab w:val="num" w:pos="1453"/>
        </w:tabs>
        <w:ind w:left="1453" w:hanging="360"/>
      </w:pPr>
      <w:rPr>
        <w:rFonts w:ascii="Courier New" w:hAnsi="Courier New" w:hint="default"/>
      </w:rPr>
    </w:lvl>
    <w:lvl w:ilvl="2" w:tplc="04080005">
      <w:start w:val="1"/>
      <w:numFmt w:val="bullet"/>
      <w:lvlText w:val=""/>
      <w:lvlJc w:val="left"/>
      <w:pPr>
        <w:tabs>
          <w:tab w:val="num" w:pos="2173"/>
        </w:tabs>
        <w:ind w:left="2173" w:hanging="360"/>
      </w:pPr>
      <w:rPr>
        <w:rFonts w:ascii="Marlett" w:hAnsi="Marlett" w:hint="default"/>
      </w:rPr>
    </w:lvl>
    <w:lvl w:ilvl="3" w:tplc="04080001">
      <w:start w:val="1"/>
      <w:numFmt w:val="bullet"/>
      <w:lvlText w:val=""/>
      <w:lvlJc w:val="left"/>
      <w:pPr>
        <w:tabs>
          <w:tab w:val="num" w:pos="2893"/>
        </w:tabs>
        <w:ind w:left="2893" w:hanging="360"/>
      </w:pPr>
      <w:rPr>
        <w:rFonts w:ascii="Symbol" w:hAnsi="Symbol" w:hint="default"/>
      </w:rPr>
    </w:lvl>
    <w:lvl w:ilvl="4" w:tplc="04080003">
      <w:start w:val="1"/>
      <w:numFmt w:val="bullet"/>
      <w:lvlText w:val="o"/>
      <w:lvlJc w:val="left"/>
      <w:pPr>
        <w:tabs>
          <w:tab w:val="num" w:pos="3613"/>
        </w:tabs>
        <w:ind w:left="3613" w:hanging="360"/>
      </w:pPr>
      <w:rPr>
        <w:rFonts w:ascii="Courier New" w:hAnsi="Courier New" w:hint="default"/>
      </w:rPr>
    </w:lvl>
    <w:lvl w:ilvl="5" w:tplc="04080005">
      <w:start w:val="1"/>
      <w:numFmt w:val="bullet"/>
      <w:lvlText w:val=""/>
      <w:lvlJc w:val="left"/>
      <w:pPr>
        <w:tabs>
          <w:tab w:val="num" w:pos="4333"/>
        </w:tabs>
        <w:ind w:left="4333" w:hanging="360"/>
      </w:pPr>
      <w:rPr>
        <w:rFonts w:ascii="Marlett" w:hAnsi="Marlett" w:hint="default"/>
      </w:rPr>
    </w:lvl>
    <w:lvl w:ilvl="6" w:tplc="04080001">
      <w:start w:val="1"/>
      <w:numFmt w:val="bullet"/>
      <w:lvlText w:val=""/>
      <w:lvlJc w:val="left"/>
      <w:pPr>
        <w:tabs>
          <w:tab w:val="num" w:pos="5053"/>
        </w:tabs>
        <w:ind w:left="5053" w:hanging="360"/>
      </w:pPr>
      <w:rPr>
        <w:rFonts w:ascii="Symbol" w:hAnsi="Symbol" w:hint="default"/>
      </w:rPr>
    </w:lvl>
    <w:lvl w:ilvl="7" w:tplc="04080003">
      <w:start w:val="1"/>
      <w:numFmt w:val="bullet"/>
      <w:lvlText w:val="o"/>
      <w:lvlJc w:val="left"/>
      <w:pPr>
        <w:tabs>
          <w:tab w:val="num" w:pos="5773"/>
        </w:tabs>
        <w:ind w:left="5773" w:hanging="360"/>
      </w:pPr>
      <w:rPr>
        <w:rFonts w:ascii="Courier New" w:hAnsi="Courier New" w:hint="default"/>
      </w:rPr>
    </w:lvl>
    <w:lvl w:ilvl="8" w:tplc="04080005">
      <w:start w:val="1"/>
      <w:numFmt w:val="bullet"/>
      <w:lvlText w:val=""/>
      <w:lvlJc w:val="left"/>
      <w:pPr>
        <w:tabs>
          <w:tab w:val="num" w:pos="6493"/>
        </w:tabs>
        <w:ind w:left="6493" w:hanging="360"/>
      </w:pPr>
      <w:rPr>
        <w:rFonts w:ascii="Marlett" w:hAnsi="Marlett" w:hint="default"/>
      </w:rPr>
    </w:lvl>
  </w:abstractNum>
  <w:abstractNum w:abstractNumId="8" w15:restartNumberingAfterBreak="0">
    <w:nsid w:val="1DA627BE"/>
    <w:multiLevelType w:val="hybridMultilevel"/>
    <w:tmpl w:val="7506E4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F85EB4"/>
    <w:multiLevelType w:val="hybridMultilevel"/>
    <w:tmpl w:val="4E7A3490"/>
    <w:lvl w:ilvl="0" w:tplc="803ACADE">
      <w:numFmt w:val="bullet"/>
      <w:lvlText w:val="-"/>
      <w:lvlJc w:val="left"/>
      <w:pPr>
        <w:ind w:left="720" w:hanging="360"/>
      </w:pPr>
      <w:rPr>
        <w:rFonts w:ascii="Verdana" w:eastAsia="Times New Roman" w:hAnsi="Verdana" w:hint="default"/>
        <w:b w:val="0"/>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A65749E"/>
    <w:multiLevelType w:val="hybridMultilevel"/>
    <w:tmpl w:val="B0B09F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633925"/>
    <w:multiLevelType w:val="hybridMultilevel"/>
    <w:tmpl w:val="04CB04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36C0218"/>
    <w:multiLevelType w:val="hybridMultilevel"/>
    <w:tmpl w:val="E3EA1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D22144"/>
    <w:multiLevelType w:val="hybridMultilevel"/>
    <w:tmpl w:val="D95AC1A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C38AFD3"/>
    <w:multiLevelType w:val="hybridMultilevel"/>
    <w:tmpl w:val="8F9881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E451C3E"/>
    <w:multiLevelType w:val="hybridMultilevel"/>
    <w:tmpl w:val="B29FC9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F81B3FE"/>
    <w:multiLevelType w:val="hybridMultilevel"/>
    <w:tmpl w:val="07C7B3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58F4808"/>
    <w:multiLevelType w:val="hybridMultilevel"/>
    <w:tmpl w:val="29143D6A"/>
    <w:lvl w:ilvl="0" w:tplc="C1C891FE">
      <w:numFmt w:val="bullet"/>
      <w:lvlText w:val="-"/>
      <w:lvlJc w:val="left"/>
      <w:pPr>
        <w:ind w:left="720" w:hanging="360"/>
      </w:pPr>
      <w:rPr>
        <w:rFonts w:ascii="Verdana" w:eastAsia="Times New Roman" w:hAnsi="Verdana"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64A4990"/>
    <w:multiLevelType w:val="hybridMultilevel"/>
    <w:tmpl w:val="9CDBC0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A604CC9"/>
    <w:multiLevelType w:val="hybridMultilevel"/>
    <w:tmpl w:val="91480DD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F393C7B"/>
    <w:multiLevelType w:val="hybridMultilevel"/>
    <w:tmpl w:val="D2C1EB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B407C43"/>
    <w:multiLevelType w:val="hybridMultilevel"/>
    <w:tmpl w:val="2F86F66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4ED2E5C"/>
    <w:multiLevelType w:val="hybridMultilevel"/>
    <w:tmpl w:val="998E82E2"/>
    <w:lvl w:ilvl="0" w:tplc="30F0D738">
      <w:numFmt w:val="bullet"/>
      <w:lvlText w:val="-"/>
      <w:lvlJc w:val="left"/>
      <w:pPr>
        <w:tabs>
          <w:tab w:val="num" w:pos="720"/>
        </w:tabs>
        <w:ind w:left="720" w:hanging="360"/>
      </w:pPr>
      <w:rPr>
        <w:rFonts w:ascii="Book Antiqua" w:eastAsia="Times New Roman" w:hAnsi="Book Antiqu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99523"/>
    <w:multiLevelType w:val="hybridMultilevel"/>
    <w:tmpl w:val="D54A71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A3DB7E6"/>
    <w:multiLevelType w:val="hybridMultilevel"/>
    <w:tmpl w:val="F2BF1C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E1120F1"/>
    <w:multiLevelType w:val="hybridMultilevel"/>
    <w:tmpl w:val="108052AE"/>
    <w:lvl w:ilvl="0" w:tplc="30F0D738">
      <w:numFmt w:val="bullet"/>
      <w:lvlText w:val="-"/>
      <w:lvlJc w:val="left"/>
      <w:pPr>
        <w:ind w:left="720" w:hanging="360"/>
      </w:pPr>
      <w:rPr>
        <w:rFonts w:ascii="Book Antiqua" w:eastAsia="Times New Roman" w:hAnsi="Book Antiqua"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4"/>
  </w:num>
  <w:num w:numId="4">
    <w:abstractNumId w:val="1"/>
  </w:num>
  <w:num w:numId="5">
    <w:abstractNumId w:val="20"/>
  </w:num>
  <w:num w:numId="6">
    <w:abstractNumId w:val="14"/>
  </w:num>
  <w:num w:numId="7">
    <w:abstractNumId w:val="24"/>
  </w:num>
  <w:num w:numId="8">
    <w:abstractNumId w:val="6"/>
  </w:num>
  <w:num w:numId="9">
    <w:abstractNumId w:val="11"/>
  </w:num>
  <w:num w:numId="10">
    <w:abstractNumId w:val="3"/>
  </w:num>
  <w:num w:numId="11">
    <w:abstractNumId w:val="0"/>
  </w:num>
  <w:num w:numId="12">
    <w:abstractNumId w:val="19"/>
  </w:num>
  <w:num w:numId="13">
    <w:abstractNumId w:val="2"/>
  </w:num>
  <w:num w:numId="14">
    <w:abstractNumId w:val="16"/>
  </w:num>
  <w:num w:numId="15">
    <w:abstractNumId w:val="10"/>
  </w:num>
  <w:num w:numId="16">
    <w:abstractNumId w:val="13"/>
  </w:num>
  <w:num w:numId="17">
    <w:abstractNumId w:val="5"/>
  </w:num>
  <w:num w:numId="18">
    <w:abstractNumId w:val="15"/>
  </w:num>
  <w:num w:numId="19">
    <w:abstractNumId w:val="18"/>
  </w:num>
  <w:num w:numId="20">
    <w:abstractNumId w:val="17"/>
  </w:num>
  <w:num w:numId="21">
    <w:abstractNumId w:val="7"/>
  </w:num>
  <w:num w:numId="22">
    <w:abstractNumId w:val="9"/>
  </w:num>
  <w:num w:numId="23">
    <w:abstractNumId w:val="22"/>
  </w:num>
  <w:num w:numId="24">
    <w:abstractNumId w:val="25"/>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33"/>
    <w:rsid w:val="000022AB"/>
    <w:rsid w:val="000045E7"/>
    <w:rsid w:val="00005C66"/>
    <w:rsid w:val="00042057"/>
    <w:rsid w:val="0004631B"/>
    <w:rsid w:val="00050850"/>
    <w:rsid w:val="000530BF"/>
    <w:rsid w:val="00062D75"/>
    <w:rsid w:val="00066725"/>
    <w:rsid w:val="0008265C"/>
    <w:rsid w:val="00090E5A"/>
    <w:rsid w:val="000A3430"/>
    <w:rsid w:val="000B486C"/>
    <w:rsid w:val="000C0BB6"/>
    <w:rsid w:val="000C4125"/>
    <w:rsid w:val="000C4DA2"/>
    <w:rsid w:val="000E16A3"/>
    <w:rsid w:val="00103C59"/>
    <w:rsid w:val="001169DA"/>
    <w:rsid w:val="00122F75"/>
    <w:rsid w:val="00146D80"/>
    <w:rsid w:val="00153B17"/>
    <w:rsid w:val="00171B6D"/>
    <w:rsid w:val="001900DF"/>
    <w:rsid w:val="00194DD1"/>
    <w:rsid w:val="001A3B4E"/>
    <w:rsid w:val="001B0273"/>
    <w:rsid w:val="001B66FE"/>
    <w:rsid w:val="001C5818"/>
    <w:rsid w:val="001D395C"/>
    <w:rsid w:val="001D6806"/>
    <w:rsid w:val="00206B5F"/>
    <w:rsid w:val="002226EC"/>
    <w:rsid w:val="00225F2E"/>
    <w:rsid w:val="002264B6"/>
    <w:rsid w:val="002523FF"/>
    <w:rsid w:val="00275F6C"/>
    <w:rsid w:val="00290451"/>
    <w:rsid w:val="002940B4"/>
    <w:rsid w:val="00294A32"/>
    <w:rsid w:val="002A08E5"/>
    <w:rsid w:val="002A6E8C"/>
    <w:rsid w:val="002B1181"/>
    <w:rsid w:val="002B721D"/>
    <w:rsid w:val="002C0730"/>
    <w:rsid w:val="002D7A47"/>
    <w:rsid w:val="002E0731"/>
    <w:rsid w:val="002F16DB"/>
    <w:rsid w:val="00315CA7"/>
    <w:rsid w:val="003209A4"/>
    <w:rsid w:val="003373E3"/>
    <w:rsid w:val="00337997"/>
    <w:rsid w:val="003607CB"/>
    <w:rsid w:val="003630A6"/>
    <w:rsid w:val="003C6333"/>
    <w:rsid w:val="003C7FE3"/>
    <w:rsid w:val="003E185C"/>
    <w:rsid w:val="003F2E3B"/>
    <w:rsid w:val="003F50F4"/>
    <w:rsid w:val="00402D6E"/>
    <w:rsid w:val="004040A3"/>
    <w:rsid w:val="004130CD"/>
    <w:rsid w:val="004203F0"/>
    <w:rsid w:val="004324F0"/>
    <w:rsid w:val="00434ECA"/>
    <w:rsid w:val="0043762F"/>
    <w:rsid w:val="00450E8C"/>
    <w:rsid w:val="004511A4"/>
    <w:rsid w:val="00451E40"/>
    <w:rsid w:val="00456EE8"/>
    <w:rsid w:val="00485038"/>
    <w:rsid w:val="004A7063"/>
    <w:rsid w:val="004B166E"/>
    <w:rsid w:val="004C0A9B"/>
    <w:rsid w:val="004D7035"/>
    <w:rsid w:val="004F1140"/>
    <w:rsid w:val="005160F5"/>
    <w:rsid w:val="00540256"/>
    <w:rsid w:val="00553461"/>
    <w:rsid w:val="0056000F"/>
    <w:rsid w:val="00566919"/>
    <w:rsid w:val="00573D65"/>
    <w:rsid w:val="00577BD1"/>
    <w:rsid w:val="0058238C"/>
    <w:rsid w:val="005C17D0"/>
    <w:rsid w:val="005D0625"/>
    <w:rsid w:val="005D1B26"/>
    <w:rsid w:val="005D7CC4"/>
    <w:rsid w:val="00616830"/>
    <w:rsid w:val="00627A0D"/>
    <w:rsid w:val="00640D4B"/>
    <w:rsid w:val="00641DCC"/>
    <w:rsid w:val="00651960"/>
    <w:rsid w:val="00654A27"/>
    <w:rsid w:val="006634F0"/>
    <w:rsid w:val="00670D42"/>
    <w:rsid w:val="006776E1"/>
    <w:rsid w:val="00683382"/>
    <w:rsid w:val="0069457D"/>
    <w:rsid w:val="00697535"/>
    <w:rsid w:val="006A330F"/>
    <w:rsid w:val="006B1C81"/>
    <w:rsid w:val="006B56D0"/>
    <w:rsid w:val="006C7D5B"/>
    <w:rsid w:val="006D4E63"/>
    <w:rsid w:val="006E66D3"/>
    <w:rsid w:val="006F037E"/>
    <w:rsid w:val="006F2211"/>
    <w:rsid w:val="006F6365"/>
    <w:rsid w:val="00701AFC"/>
    <w:rsid w:val="00720A3D"/>
    <w:rsid w:val="00727212"/>
    <w:rsid w:val="007402AB"/>
    <w:rsid w:val="0074668F"/>
    <w:rsid w:val="007545A1"/>
    <w:rsid w:val="00765EEC"/>
    <w:rsid w:val="00767202"/>
    <w:rsid w:val="00772CCF"/>
    <w:rsid w:val="00776A5B"/>
    <w:rsid w:val="00785D7E"/>
    <w:rsid w:val="00790DE2"/>
    <w:rsid w:val="0079369F"/>
    <w:rsid w:val="007C20D9"/>
    <w:rsid w:val="007D08F9"/>
    <w:rsid w:val="007D3549"/>
    <w:rsid w:val="007D7C0B"/>
    <w:rsid w:val="007E3F5F"/>
    <w:rsid w:val="007F0FC7"/>
    <w:rsid w:val="007F3488"/>
    <w:rsid w:val="007F4C28"/>
    <w:rsid w:val="007F6C04"/>
    <w:rsid w:val="00806315"/>
    <w:rsid w:val="00814A55"/>
    <w:rsid w:val="00814A6B"/>
    <w:rsid w:val="00821F5B"/>
    <w:rsid w:val="0082525D"/>
    <w:rsid w:val="00825DFE"/>
    <w:rsid w:val="008665D5"/>
    <w:rsid w:val="00871DC2"/>
    <w:rsid w:val="00880EA3"/>
    <w:rsid w:val="0088153C"/>
    <w:rsid w:val="00885E97"/>
    <w:rsid w:val="00890806"/>
    <w:rsid w:val="008955C5"/>
    <w:rsid w:val="00895903"/>
    <w:rsid w:val="008B1472"/>
    <w:rsid w:val="008B1F83"/>
    <w:rsid w:val="008C6EF9"/>
    <w:rsid w:val="008D7889"/>
    <w:rsid w:val="008E2E7F"/>
    <w:rsid w:val="008E513A"/>
    <w:rsid w:val="008F67BB"/>
    <w:rsid w:val="008F7135"/>
    <w:rsid w:val="009022A1"/>
    <w:rsid w:val="00904552"/>
    <w:rsid w:val="00910F0A"/>
    <w:rsid w:val="0093494E"/>
    <w:rsid w:val="0093525F"/>
    <w:rsid w:val="0094656D"/>
    <w:rsid w:val="009565C0"/>
    <w:rsid w:val="0096565D"/>
    <w:rsid w:val="00995F1B"/>
    <w:rsid w:val="009A03E7"/>
    <w:rsid w:val="009A29A8"/>
    <w:rsid w:val="009A45FF"/>
    <w:rsid w:val="009B01D3"/>
    <w:rsid w:val="009B49DF"/>
    <w:rsid w:val="009C29F6"/>
    <w:rsid w:val="009C405D"/>
    <w:rsid w:val="009C5FDF"/>
    <w:rsid w:val="009C63EF"/>
    <w:rsid w:val="009D6ADA"/>
    <w:rsid w:val="00A00DBF"/>
    <w:rsid w:val="00A033BB"/>
    <w:rsid w:val="00A07E3E"/>
    <w:rsid w:val="00A15ED3"/>
    <w:rsid w:val="00A301D6"/>
    <w:rsid w:val="00A32F4B"/>
    <w:rsid w:val="00A33E42"/>
    <w:rsid w:val="00A5672E"/>
    <w:rsid w:val="00A6025B"/>
    <w:rsid w:val="00A81CAF"/>
    <w:rsid w:val="00A868FB"/>
    <w:rsid w:val="00A86C25"/>
    <w:rsid w:val="00A91B90"/>
    <w:rsid w:val="00A94C2B"/>
    <w:rsid w:val="00AB50F4"/>
    <w:rsid w:val="00AB5437"/>
    <w:rsid w:val="00AC18BE"/>
    <w:rsid w:val="00AC62F5"/>
    <w:rsid w:val="00AF018D"/>
    <w:rsid w:val="00B10DC8"/>
    <w:rsid w:val="00B14781"/>
    <w:rsid w:val="00B15F6C"/>
    <w:rsid w:val="00B168EA"/>
    <w:rsid w:val="00B20503"/>
    <w:rsid w:val="00B25480"/>
    <w:rsid w:val="00B30514"/>
    <w:rsid w:val="00B3744F"/>
    <w:rsid w:val="00B40257"/>
    <w:rsid w:val="00B451EF"/>
    <w:rsid w:val="00B51D33"/>
    <w:rsid w:val="00B52632"/>
    <w:rsid w:val="00B73AB8"/>
    <w:rsid w:val="00B76E96"/>
    <w:rsid w:val="00B861D3"/>
    <w:rsid w:val="00B91899"/>
    <w:rsid w:val="00BA0A9F"/>
    <w:rsid w:val="00BA62C5"/>
    <w:rsid w:val="00BB79A0"/>
    <w:rsid w:val="00BC2355"/>
    <w:rsid w:val="00BD6870"/>
    <w:rsid w:val="00BD7EF4"/>
    <w:rsid w:val="00BE1DB0"/>
    <w:rsid w:val="00BF2AA1"/>
    <w:rsid w:val="00BF3E1B"/>
    <w:rsid w:val="00C00DC2"/>
    <w:rsid w:val="00C1415A"/>
    <w:rsid w:val="00C17090"/>
    <w:rsid w:val="00C230A4"/>
    <w:rsid w:val="00C23F7C"/>
    <w:rsid w:val="00C36CA8"/>
    <w:rsid w:val="00C410A5"/>
    <w:rsid w:val="00C42A26"/>
    <w:rsid w:val="00C47151"/>
    <w:rsid w:val="00C52A5E"/>
    <w:rsid w:val="00C53461"/>
    <w:rsid w:val="00C74FB3"/>
    <w:rsid w:val="00C84D3B"/>
    <w:rsid w:val="00C86244"/>
    <w:rsid w:val="00CB38F6"/>
    <w:rsid w:val="00CC2FA6"/>
    <w:rsid w:val="00CD7467"/>
    <w:rsid w:val="00CE057F"/>
    <w:rsid w:val="00D07596"/>
    <w:rsid w:val="00D100A4"/>
    <w:rsid w:val="00D16DC5"/>
    <w:rsid w:val="00D17C2E"/>
    <w:rsid w:val="00D244D8"/>
    <w:rsid w:val="00D44B69"/>
    <w:rsid w:val="00D61DB5"/>
    <w:rsid w:val="00D62AA7"/>
    <w:rsid w:val="00D80E22"/>
    <w:rsid w:val="00D9564E"/>
    <w:rsid w:val="00D9795A"/>
    <w:rsid w:val="00DA6AB0"/>
    <w:rsid w:val="00DB2922"/>
    <w:rsid w:val="00DB37F5"/>
    <w:rsid w:val="00DB5351"/>
    <w:rsid w:val="00DC666B"/>
    <w:rsid w:val="00DD293F"/>
    <w:rsid w:val="00DD3E05"/>
    <w:rsid w:val="00DF6DD0"/>
    <w:rsid w:val="00E042B6"/>
    <w:rsid w:val="00E10D14"/>
    <w:rsid w:val="00E3393F"/>
    <w:rsid w:val="00E4130A"/>
    <w:rsid w:val="00E57EF9"/>
    <w:rsid w:val="00E8071B"/>
    <w:rsid w:val="00E8232F"/>
    <w:rsid w:val="00E862E3"/>
    <w:rsid w:val="00E86F53"/>
    <w:rsid w:val="00EA12B2"/>
    <w:rsid w:val="00EA2651"/>
    <w:rsid w:val="00EC00D9"/>
    <w:rsid w:val="00EC672E"/>
    <w:rsid w:val="00ED6394"/>
    <w:rsid w:val="00ED6600"/>
    <w:rsid w:val="00ED7B3A"/>
    <w:rsid w:val="00EE03AA"/>
    <w:rsid w:val="00EE1194"/>
    <w:rsid w:val="00EE2245"/>
    <w:rsid w:val="00F01159"/>
    <w:rsid w:val="00F02DA5"/>
    <w:rsid w:val="00F05943"/>
    <w:rsid w:val="00F07C7C"/>
    <w:rsid w:val="00F14883"/>
    <w:rsid w:val="00F23376"/>
    <w:rsid w:val="00F256C5"/>
    <w:rsid w:val="00F27D13"/>
    <w:rsid w:val="00F32EFF"/>
    <w:rsid w:val="00F35CB1"/>
    <w:rsid w:val="00F4122C"/>
    <w:rsid w:val="00F41AFD"/>
    <w:rsid w:val="00F467B3"/>
    <w:rsid w:val="00F4684E"/>
    <w:rsid w:val="00F511F4"/>
    <w:rsid w:val="00F54309"/>
    <w:rsid w:val="00F63FC2"/>
    <w:rsid w:val="00F65A54"/>
    <w:rsid w:val="00F82CAA"/>
    <w:rsid w:val="00F910BD"/>
    <w:rsid w:val="00FB4D01"/>
    <w:rsid w:val="00FB658B"/>
    <w:rsid w:val="00FC4578"/>
    <w:rsid w:val="00FC5669"/>
    <w:rsid w:val="00FE22A3"/>
    <w:rsid w:val="00FE6D53"/>
    <w:rsid w:val="00FE7742"/>
    <w:rsid w:val="00FF35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1849A1-5892-43A7-8B3E-94CF82D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E3B"/>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E3B"/>
    <w:pPr>
      <w:autoSpaceDE w:val="0"/>
      <w:autoSpaceDN w:val="0"/>
      <w:adjustRightInd w:val="0"/>
    </w:pPr>
    <w:rPr>
      <w:rFonts w:ascii="Verdana" w:eastAsia="Times New Roman" w:hAnsi="Verdana" w:cs="Verdana"/>
      <w:color w:val="000000"/>
      <w:sz w:val="24"/>
      <w:szCs w:val="24"/>
      <w:lang w:eastAsia="en-US"/>
    </w:rPr>
  </w:style>
  <w:style w:type="character" w:styleId="Hyperlink">
    <w:name w:val="Hyperlink"/>
    <w:semiHidden/>
    <w:rsid w:val="003F2E3B"/>
    <w:rPr>
      <w:rFonts w:cs="Times New Roman"/>
      <w:color w:val="0000FF"/>
      <w:u w:val="single"/>
    </w:rPr>
  </w:style>
  <w:style w:type="paragraph" w:styleId="Footer">
    <w:name w:val="footer"/>
    <w:basedOn w:val="Normal"/>
    <w:link w:val="FooterChar"/>
    <w:rsid w:val="003F2E3B"/>
    <w:pPr>
      <w:tabs>
        <w:tab w:val="center" w:pos="4153"/>
        <w:tab w:val="right" w:pos="8306"/>
      </w:tabs>
    </w:pPr>
    <w:rPr>
      <w:rFonts w:eastAsia="Calibri" w:cs="Times New Roman"/>
      <w:sz w:val="20"/>
      <w:szCs w:val="20"/>
    </w:rPr>
  </w:style>
  <w:style w:type="character" w:customStyle="1" w:styleId="FooterChar">
    <w:name w:val="Footer Char"/>
    <w:link w:val="Footer"/>
    <w:semiHidden/>
    <w:locked/>
    <w:rsid w:val="003F2E3B"/>
    <w:rPr>
      <w:rFonts w:cs="Times New Roman"/>
      <w:lang w:eastAsia="en-US"/>
    </w:rPr>
  </w:style>
  <w:style w:type="character" w:styleId="PageNumber">
    <w:name w:val="page number"/>
    <w:rsid w:val="003F2E3B"/>
    <w:rPr>
      <w:rFonts w:cs="Times New Roman"/>
    </w:rPr>
  </w:style>
  <w:style w:type="paragraph" w:customStyle="1" w:styleId="1">
    <w:name w:val="Παράγραφος λίστας1"/>
    <w:basedOn w:val="Normal"/>
    <w:rsid w:val="003F2E3B"/>
    <w:pPr>
      <w:ind w:left="720"/>
    </w:pPr>
  </w:style>
  <w:style w:type="paragraph" w:styleId="BalloonText">
    <w:name w:val="Balloon Text"/>
    <w:basedOn w:val="Normal"/>
    <w:link w:val="BalloonTextChar"/>
    <w:semiHidden/>
    <w:rsid w:val="003F2E3B"/>
    <w:pPr>
      <w:spacing w:after="0" w:line="240" w:lineRule="auto"/>
    </w:pPr>
    <w:rPr>
      <w:rFonts w:ascii="Tahoma" w:eastAsia="Calibri" w:hAnsi="Tahoma" w:cs="Times New Roman"/>
      <w:sz w:val="16"/>
      <w:szCs w:val="16"/>
    </w:rPr>
  </w:style>
  <w:style w:type="character" w:customStyle="1" w:styleId="BalloonTextChar">
    <w:name w:val="Balloon Text Char"/>
    <w:link w:val="BalloonText"/>
    <w:semiHidden/>
    <w:locked/>
    <w:rsid w:val="003F2E3B"/>
    <w:rPr>
      <w:rFonts w:ascii="Tahoma" w:hAnsi="Tahoma" w:cs="Tahoma"/>
      <w:sz w:val="16"/>
      <w:szCs w:val="16"/>
      <w:lang w:eastAsia="en-US"/>
    </w:rPr>
  </w:style>
  <w:style w:type="table" w:styleId="TableGrid">
    <w:name w:val="Table Grid"/>
    <w:basedOn w:val="TableNormal"/>
    <w:rsid w:val="003F2E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F2E3B"/>
    <w:pPr>
      <w:tabs>
        <w:tab w:val="center" w:pos="4320"/>
        <w:tab w:val="right" w:pos="8640"/>
      </w:tabs>
    </w:pPr>
    <w:rPr>
      <w:rFonts w:eastAsia="Calibri" w:cs="Times New Roman"/>
      <w:sz w:val="20"/>
      <w:szCs w:val="20"/>
    </w:rPr>
  </w:style>
  <w:style w:type="character" w:customStyle="1" w:styleId="HeaderChar">
    <w:name w:val="Header Char"/>
    <w:link w:val="Header"/>
    <w:semiHidden/>
    <w:locked/>
    <w:rsid w:val="003F2E3B"/>
    <w:rPr>
      <w:rFonts w:cs="Times New Roman"/>
      <w:lang w:eastAsia="en-US"/>
    </w:rPr>
  </w:style>
  <w:style w:type="paragraph" w:styleId="ListParagraph">
    <w:name w:val="List Paragraph"/>
    <w:basedOn w:val="Normal"/>
    <w:uiPriority w:val="34"/>
    <w:qFormat/>
    <w:rsid w:val="00701A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ticabank.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EFFD-53AF-4327-913E-00E3C333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8620</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ΔΕΛΤΙΟ ΤΥΠΟΥ</vt:lpstr>
      <vt:lpstr>ΔΕΛΤΙΟ ΤΥΠΟΥ</vt:lpstr>
    </vt:vector>
  </TitlesOfParts>
  <Company>Microsoft</Company>
  <LinksUpToDate>false</LinksUpToDate>
  <CharactersWithSpaces>10196</CharactersWithSpaces>
  <SharedDoc>false</SharedDoc>
  <HLinks>
    <vt:vector size="6" baseType="variant">
      <vt:variant>
        <vt:i4>852033</vt:i4>
      </vt:variant>
      <vt:variant>
        <vt:i4>0</vt:i4>
      </vt:variant>
      <vt:variant>
        <vt:i4>0</vt:i4>
      </vt:variant>
      <vt:variant>
        <vt:i4>5</vt:i4>
      </vt:variant>
      <vt:variant>
        <vt:lpwstr>http://www.atticabank.gr/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subject/>
  <dc:creator>Kollia  Maria</dc:creator>
  <cp:keywords/>
  <cp:lastModifiedBy>Nikolakopoulos, Ioannis</cp:lastModifiedBy>
  <cp:revision>2</cp:revision>
  <cp:lastPrinted>2015-10-31T19:30:00Z</cp:lastPrinted>
  <dcterms:created xsi:type="dcterms:W3CDTF">2015-10-31T20:13:00Z</dcterms:created>
  <dcterms:modified xsi:type="dcterms:W3CDTF">2015-10-31T20:13:00Z</dcterms:modified>
</cp:coreProperties>
</file>