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A8" w:rsidRPr="00AD69E7" w:rsidRDefault="00F46DA8" w:rsidP="00B344A1">
      <w:pPr>
        <w:spacing w:line="360" w:lineRule="auto"/>
        <w:jc w:val="right"/>
        <w:rPr>
          <w:rFonts w:ascii="Tahoma" w:hAnsi="Tahoma" w:cs="Tahoma"/>
          <w:b/>
          <w:sz w:val="18"/>
          <w:szCs w:val="18"/>
          <w:lang w:val="el-GR"/>
        </w:rPr>
      </w:pPr>
      <w:bookmarkStart w:id="0" w:name="_GoBack"/>
      <w:bookmarkEnd w:id="0"/>
    </w:p>
    <w:p w:rsidR="003F0F5E" w:rsidRPr="00AD69E7" w:rsidRDefault="003F0F5E" w:rsidP="003F0F5E">
      <w:pPr>
        <w:suppressAutoHyphens/>
        <w:spacing w:line="360" w:lineRule="auto"/>
        <w:jc w:val="center"/>
        <w:outlineLvl w:val="0"/>
        <w:rPr>
          <w:rFonts w:ascii="Tahoma" w:hAnsi="Tahoma" w:cs="Tahoma"/>
          <w:b/>
          <w:bCs/>
          <w:sz w:val="18"/>
          <w:szCs w:val="18"/>
          <w:lang w:val="el-GR"/>
        </w:rPr>
      </w:pPr>
      <w:r w:rsidRPr="00AD69E7">
        <w:rPr>
          <w:rFonts w:ascii="Tahoma" w:hAnsi="Tahoma" w:cs="Tahoma"/>
          <w:b/>
          <w:bCs/>
          <w:sz w:val="18"/>
          <w:szCs w:val="18"/>
          <w:lang w:val="el-GR"/>
        </w:rPr>
        <w:t>ΥΠΟΧΡΕΩΤΙΚΗ ΔΗΜΟΣΙΑ ΠΡΟΤΑΣΗ ΤΗΣ ΕΤΑΙΡEΙΑΣ</w:t>
      </w:r>
    </w:p>
    <w:p w:rsidR="003F0F5E" w:rsidRPr="00AD69E7" w:rsidRDefault="003F0F5E" w:rsidP="003F0F5E">
      <w:pPr>
        <w:suppressAutoHyphens/>
        <w:spacing w:line="360" w:lineRule="auto"/>
        <w:jc w:val="center"/>
        <w:outlineLvl w:val="0"/>
        <w:rPr>
          <w:rFonts w:ascii="Tahoma" w:hAnsi="Tahoma" w:cs="Tahoma"/>
          <w:b/>
          <w:bCs/>
          <w:sz w:val="18"/>
          <w:szCs w:val="18"/>
          <w:lang w:val="el-GR"/>
        </w:rPr>
      </w:pPr>
      <w:r w:rsidRPr="00AD69E7">
        <w:rPr>
          <w:rFonts w:ascii="Tahoma" w:hAnsi="Tahoma" w:cs="Tahoma"/>
          <w:b/>
          <w:bCs/>
          <w:sz w:val="18"/>
          <w:szCs w:val="18"/>
          <w:lang w:val="el-GR"/>
        </w:rPr>
        <w:t>«</w:t>
      </w:r>
      <w:r w:rsidRPr="00AD69E7">
        <w:rPr>
          <w:rFonts w:ascii="Tahoma" w:hAnsi="Tahoma" w:cs="Tahoma"/>
          <w:b/>
          <w:bCs/>
          <w:sz w:val="18"/>
          <w:szCs w:val="18"/>
          <w:lang w:val="en-US"/>
        </w:rPr>
        <w:t>FAIRFAX</w:t>
      </w:r>
      <w:r w:rsidRPr="00AD69E7">
        <w:rPr>
          <w:rFonts w:ascii="Tahoma" w:hAnsi="Tahoma" w:cs="Tahoma"/>
          <w:b/>
          <w:bCs/>
          <w:sz w:val="18"/>
          <w:szCs w:val="18"/>
          <w:lang w:val="el-GR"/>
        </w:rPr>
        <w:t xml:space="preserve"> </w:t>
      </w:r>
      <w:r w:rsidRPr="00AD69E7">
        <w:rPr>
          <w:rFonts w:ascii="Tahoma" w:hAnsi="Tahoma" w:cs="Tahoma"/>
          <w:b/>
          <w:bCs/>
          <w:sz w:val="18"/>
          <w:szCs w:val="18"/>
          <w:lang w:val="en-US"/>
        </w:rPr>
        <w:t>FINANCIAL</w:t>
      </w:r>
      <w:r w:rsidRPr="00AD69E7">
        <w:rPr>
          <w:rFonts w:ascii="Tahoma" w:hAnsi="Tahoma" w:cs="Tahoma"/>
          <w:b/>
          <w:bCs/>
          <w:sz w:val="18"/>
          <w:szCs w:val="18"/>
          <w:lang w:val="el-GR"/>
        </w:rPr>
        <w:t xml:space="preserve"> </w:t>
      </w:r>
      <w:r w:rsidRPr="00AD69E7">
        <w:rPr>
          <w:rFonts w:ascii="Tahoma" w:hAnsi="Tahoma" w:cs="Tahoma"/>
          <w:b/>
          <w:bCs/>
          <w:sz w:val="18"/>
          <w:szCs w:val="18"/>
          <w:lang w:val="en-US"/>
        </w:rPr>
        <w:t>HOLDINGS</w:t>
      </w:r>
      <w:r w:rsidRPr="00AD69E7">
        <w:rPr>
          <w:rFonts w:ascii="Tahoma" w:hAnsi="Tahoma" w:cs="Tahoma"/>
          <w:b/>
          <w:bCs/>
          <w:sz w:val="18"/>
          <w:szCs w:val="18"/>
          <w:lang w:val="el-GR"/>
        </w:rPr>
        <w:t xml:space="preserve"> </w:t>
      </w:r>
      <w:r w:rsidRPr="00AD69E7">
        <w:rPr>
          <w:rFonts w:ascii="Tahoma" w:hAnsi="Tahoma" w:cs="Tahoma"/>
          <w:b/>
          <w:bCs/>
          <w:sz w:val="18"/>
          <w:szCs w:val="18"/>
          <w:lang w:val="en-US"/>
        </w:rPr>
        <w:t>LIMITED</w:t>
      </w:r>
      <w:r w:rsidRPr="00AD69E7">
        <w:rPr>
          <w:rFonts w:ascii="Tahoma" w:hAnsi="Tahoma" w:cs="Tahoma"/>
          <w:b/>
          <w:bCs/>
          <w:sz w:val="18"/>
          <w:szCs w:val="18"/>
          <w:lang w:val="el-GR"/>
        </w:rPr>
        <w:t>»</w:t>
      </w:r>
    </w:p>
    <w:p w:rsidR="003F0F5E" w:rsidRPr="00AD69E7" w:rsidRDefault="003F0F5E" w:rsidP="003F0F5E">
      <w:pPr>
        <w:pStyle w:val="21"/>
        <w:spacing w:line="276" w:lineRule="auto"/>
        <w:ind w:left="0"/>
        <w:jc w:val="center"/>
        <w:rPr>
          <w:rFonts w:ascii="Tahoma" w:hAnsi="Tahoma" w:cs="Tahoma"/>
          <w:b/>
          <w:sz w:val="18"/>
          <w:szCs w:val="18"/>
          <w:lang w:val="el-GR"/>
        </w:rPr>
      </w:pPr>
      <w:r w:rsidRPr="00AD69E7">
        <w:rPr>
          <w:rFonts w:ascii="Tahoma" w:hAnsi="Tahoma" w:cs="Tahoma"/>
          <w:b/>
          <w:sz w:val="18"/>
          <w:szCs w:val="18"/>
          <w:lang w:val="el-GR"/>
        </w:rPr>
        <w:t>ΓΙΑ ΤΗΝ ΑΠΟΚΤΗΣΗ ΤΟΥ ΣΥΝΟΛΟΥ ΤΩΝ ΚΟΙΝΩΝ ΟΝΟΜΑΣΤΙΚΩΝ ΜΕΤΟΧΩΝ ΤΗΣ ΕΤΑΙΡΕΙΑΣ</w:t>
      </w:r>
    </w:p>
    <w:p w:rsidR="003F0F5E" w:rsidRPr="00AD69E7" w:rsidRDefault="003F0F5E" w:rsidP="003F0F5E">
      <w:pPr>
        <w:suppressAutoHyphens/>
        <w:spacing w:line="360" w:lineRule="auto"/>
        <w:jc w:val="center"/>
        <w:outlineLvl w:val="0"/>
        <w:rPr>
          <w:rFonts w:ascii="Tahoma" w:hAnsi="Tahoma" w:cs="Tahoma"/>
          <w:b/>
          <w:sz w:val="18"/>
          <w:szCs w:val="18"/>
          <w:lang w:val="el-GR"/>
        </w:rPr>
      </w:pPr>
      <w:r w:rsidRPr="00AD69E7">
        <w:rPr>
          <w:rFonts w:ascii="Tahoma" w:hAnsi="Tahoma" w:cs="Tahoma"/>
          <w:b/>
          <w:bCs/>
          <w:sz w:val="18"/>
          <w:szCs w:val="18"/>
          <w:lang w:val="el-GR"/>
        </w:rPr>
        <w:t xml:space="preserve"> «GRIVALIA PROPERTIES ΑΝΩΝΥΜΗ ΕΤΑΙΡΕΙΑ ΕΠΕΝΔΥΣΕΩΝ ΣΕ ΑΚΙΝΗΤΗ ΠΕΡΙΟΥΣΙΑ»</w:t>
      </w:r>
      <w:r w:rsidRPr="00AD69E7">
        <w:rPr>
          <w:rFonts w:ascii="Tahoma" w:hAnsi="Tahoma" w:cs="Tahoma"/>
          <w:b/>
          <w:sz w:val="18"/>
          <w:szCs w:val="18"/>
          <w:lang w:val="el-GR"/>
        </w:rPr>
        <w:t xml:space="preserve"> </w:t>
      </w:r>
    </w:p>
    <w:p w:rsidR="002D11F2" w:rsidRPr="00AD69E7" w:rsidRDefault="002D11F2" w:rsidP="00981FC7">
      <w:pPr>
        <w:pStyle w:val="21"/>
        <w:spacing w:line="276" w:lineRule="auto"/>
        <w:ind w:left="0"/>
        <w:jc w:val="center"/>
        <w:rPr>
          <w:rFonts w:ascii="Tahoma" w:hAnsi="Tahoma" w:cs="Tahoma"/>
          <w:b/>
          <w:sz w:val="18"/>
          <w:szCs w:val="18"/>
          <w:lang w:val="el-GR"/>
        </w:rPr>
      </w:pPr>
      <w:r w:rsidRPr="00AD69E7">
        <w:rPr>
          <w:rFonts w:ascii="Tahoma" w:hAnsi="Tahoma" w:cs="Tahoma"/>
          <w:b/>
          <w:sz w:val="18"/>
          <w:szCs w:val="18"/>
          <w:lang w:val="el-GR"/>
        </w:rPr>
        <w:t xml:space="preserve">ΣΤΗΝ ΤΙΜΗ ΤΩΝ € </w:t>
      </w:r>
      <w:r w:rsidR="003F0F5E" w:rsidRPr="00AD69E7">
        <w:rPr>
          <w:rFonts w:ascii="Tahoma" w:hAnsi="Tahoma" w:cs="Tahoma"/>
          <w:b/>
          <w:sz w:val="18"/>
          <w:szCs w:val="18"/>
          <w:lang w:val="el-GR"/>
        </w:rPr>
        <w:t>8</w:t>
      </w:r>
      <w:r w:rsidR="00277917" w:rsidRPr="00AD69E7">
        <w:rPr>
          <w:rFonts w:ascii="Tahoma" w:hAnsi="Tahoma" w:cs="Tahoma"/>
          <w:b/>
          <w:sz w:val="18"/>
          <w:szCs w:val="18"/>
          <w:lang w:val="el-GR"/>
        </w:rPr>
        <w:t>,</w:t>
      </w:r>
      <w:r w:rsidR="003F0F5E" w:rsidRPr="00AD69E7">
        <w:rPr>
          <w:rFonts w:ascii="Tahoma" w:hAnsi="Tahoma" w:cs="Tahoma"/>
          <w:b/>
          <w:sz w:val="18"/>
          <w:szCs w:val="18"/>
          <w:lang w:val="el-GR"/>
        </w:rPr>
        <w:t>8</w:t>
      </w:r>
      <w:r w:rsidR="00277917" w:rsidRPr="00AD69E7">
        <w:rPr>
          <w:rFonts w:ascii="Tahoma" w:hAnsi="Tahoma" w:cs="Tahoma"/>
          <w:b/>
          <w:sz w:val="18"/>
          <w:szCs w:val="18"/>
          <w:lang w:val="el-GR"/>
        </w:rPr>
        <w:t>0</w:t>
      </w:r>
      <w:r w:rsidR="00666EF3" w:rsidRPr="00AD69E7">
        <w:rPr>
          <w:rFonts w:ascii="Tahoma" w:hAnsi="Tahoma" w:cs="Tahoma"/>
          <w:b/>
          <w:sz w:val="18"/>
          <w:szCs w:val="18"/>
          <w:lang w:val="el-GR"/>
        </w:rPr>
        <w:t xml:space="preserve"> </w:t>
      </w:r>
      <w:r w:rsidRPr="00AD69E7">
        <w:rPr>
          <w:rFonts w:ascii="Tahoma" w:hAnsi="Tahoma" w:cs="Tahoma"/>
          <w:b/>
          <w:sz w:val="18"/>
          <w:szCs w:val="18"/>
          <w:lang w:val="el-GR"/>
        </w:rPr>
        <w:t>ΤΟΙΣ ΜΕΤΡΗΤΟΙΣ ΑΝΑ ΜΕΤΟΧΗ</w:t>
      </w:r>
    </w:p>
    <w:p w:rsidR="002D11F2" w:rsidRPr="00AD69E7" w:rsidRDefault="002D11F2" w:rsidP="00981FC7">
      <w:pPr>
        <w:pStyle w:val="21"/>
        <w:spacing w:line="276" w:lineRule="auto"/>
        <w:ind w:left="0"/>
        <w:jc w:val="center"/>
        <w:rPr>
          <w:rFonts w:ascii="Tahoma" w:hAnsi="Tahoma" w:cs="Tahoma"/>
          <w:b/>
          <w:sz w:val="18"/>
          <w:szCs w:val="18"/>
          <w:lang w:val="el-GR"/>
        </w:rPr>
      </w:pPr>
      <w:r w:rsidRPr="00AD69E7">
        <w:rPr>
          <w:rFonts w:ascii="Tahoma" w:hAnsi="Tahoma" w:cs="Tahoma"/>
          <w:sz w:val="18"/>
          <w:szCs w:val="18"/>
          <w:lang w:val="el-GR"/>
        </w:rPr>
        <w:t>(σύμφωνα με το Ν. 3461/2006)</w:t>
      </w:r>
    </w:p>
    <w:p w:rsidR="00FF5FB5" w:rsidRPr="00AD69E7" w:rsidRDefault="00FF5FB5" w:rsidP="00B344A1">
      <w:pPr>
        <w:suppressAutoHyphens/>
        <w:spacing w:line="360" w:lineRule="auto"/>
        <w:jc w:val="center"/>
        <w:outlineLvl w:val="0"/>
        <w:rPr>
          <w:rFonts w:ascii="Tahoma" w:eastAsia="Times New Roman" w:hAnsi="Tahoma" w:cs="Tahoma"/>
          <w:b/>
          <w:bCs/>
          <w:sz w:val="18"/>
          <w:szCs w:val="18"/>
          <w:lang w:val="el-GR" w:eastAsia="en-US"/>
        </w:rPr>
      </w:pPr>
    </w:p>
    <w:p w:rsidR="007830D2" w:rsidRPr="00AD69E7" w:rsidRDefault="00DE7D7B" w:rsidP="00B344A1">
      <w:pPr>
        <w:pStyle w:val="BodyText"/>
        <w:spacing w:line="360" w:lineRule="auto"/>
        <w:jc w:val="center"/>
        <w:rPr>
          <w:rFonts w:ascii="Tahoma" w:hAnsi="Tahoma" w:cs="Tahoma"/>
          <w:sz w:val="18"/>
          <w:szCs w:val="18"/>
          <w:lang w:val="el-GR"/>
        </w:rPr>
      </w:pPr>
      <w:r w:rsidRPr="00AD69E7">
        <w:rPr>
          <w:rFonts w:ascii="Tahoma" w:hAnsi="Tahoma" w:cs="Tahoma"/>
          <w:sz w:val="18"/>
          <w:szCs w:val="18"/>
          <w:lang w:val="el-GR"/>
        </w:rPr>
        <w:t xml:space="preserve">4 </w:t>
      </w:r>
      <w:r w:rsidR="00277917" w:rsidRPr="00AD69E7">
        <w:rPr>
          <w:rFonts w:ascii="Tahoma" w:hAnsi="Tahoma" w:cs="Tahoma"/>
          <w:sz w:val="18"/>
          <w:szCs w:val="18"/>
          <w:lang w:val="el-GR"/>
        </w:rPr>
        <w:t>Α</w:t>
      </w:r>
      <w:r w:rsidR="003F0F5E" w:rsidRPr="00AD69E7">
        <w:rPr>
          <w:rFonts w:ascii="Tahoma" w:hAnsi="Tahoma" w:cs="Tahoma"/>
          <w:sz w:val="18"/>
          <w:szCs w:val="18"/>
          <w:lang w:val="el-GR"/>
        </w:rPr>
        <w:t xml:space="preserve">υγούστου </w:t>
      </w:r>
      <w:r w:rsidR="007830D2" w:rsidRPr="00AD69E7">
        <w:rPr>
          <w:rFonts w:ascii="Tahoma" w:hAnsi="Tahoma" w:cs="Tahoma"/>
          <w:sz w:val="18"/>
          <w:szCs w:val="18"/>
          <w:lang w:val="el-GR"/>
        </w:rPr>
        <w:t>201</w:t>
      </w:r>
      <w:r w:rsidR="00666EF3" w:rsidRPr="00AD69E7">
        <w:rPr>
          <w:rFonts w:ascii="Tahoma" w:hAnsi="Tahoma" w:cs="Tahoma"/>
          <w:sz w:val="18"/>
          <w:szCs w:val="18"/>
          <w:lang w:val="el-GR"/>
        </w:rPr>
        <w:t>7</w:t>
      </w:r>
    </w:p>
    <w:p w:rsidR="005D0703" w:rsidRPr="00AD69E7" w:rsidRDefault="005D0703" w:rsidP="00B344A1">
      <w:pPr>
        <w:spacing w:after="240" w:line="360" w:lineRule="auto"/>
        <w:jc w:val="center"/>
        <w:rPr>
          <w:rFonts w:ascii="Tahoma" w:hAnsi="Tahoma" w:cs="Tahoma"/>
          <w:sz w:val="18"/>
          <w:szCs w:val="18"/>
          <w:lang w:val="el-GR"/>
        </w:rPr>
      </w:pPr>
    </w:p>
    <w:p w:rsidR="00BA4459" w:rsidRPr="00AD69E7" w:rsidRDefault="00040E4A" w:rsidP="00B344A1">
      <w:pPr>
        <w:spacing w:after="240" w:line="360" w:lineRule="auto"/>
        <w:ind w:left="567"/>
        <w:rPr>
          <w:rFonts w:ascii="Tahoma" w:hAnsi="Tahoma" w:cs="Tahoma"/>
          <w:sz w:val="18"/>
          <w:szCs w:val="18"/>
          <w:lang w:val="el-GR"/>
        </w:rPr>
      </w:pPr>
      <w:r w:rsidRPr="00AD69E7">
        <w:rPr>
          <w:rFonts w:ascii="Tahoma" w:hAnsi="Tahoma" w:cs="Tahoma"/>
          <w:sz w:val="18"/>
          <w:szCs w:val="18"/>
          <w:lang w:val="el-GR"/>
        </w:rPr>
        <w:t>Ανακοινώνεται</w:t>
      </w:r>
      <w:r w:rsidR="008F43CD" w:rsidRPr="00AD69E7">
        <w:rPr>
          <w:rFonts w:ascii="Tahoma" w:hAnsi="Tahoma" w:cs="Tahoma"/>
          <w:sz w:val="18"/>
          <w:szCs w:val="18"/>
          <w:lang w:val="el-GR"/>
        </w:rPr>
        <w:t xml:space="preserve"> ότι, την </w:t>
      </w:r>
      <w:r w:rsidR="0093707B" w:rsidRPr="00AD69E7">
        <w:rPr>
          <w:rFonts w:ascii="Tahoma" w:hAnsi="Tahoma" w:cs="Tahoma"/>
          <w:sz w:val="18"/>
          <w:szCs w:val="18"/>
          <w:lang w:val="el-GR"/>
        </w:rPr>
        <w:t>3</w:t>
      </w:r>
      <w:r w:rsidR="0093707B" w:rsidRPr="00AD69E7">
        <w:rPr>
          <w:rFonts w:ascii="Tahoma" w:hAnsi="Tahoma" w:cs="Tahoma"/>
          <w:sz w:val="18"/>
          <w:szCs w:val="18"/>
          <w:vertAlign w:val="superscript"/>
          <w:lang w:val="el-GR"/>
        </w:rPr>
        <w:t>η</w:t>
      </w:r>
      <w:r w:rsidR="0093707B" w:rsidRPr="00AD69E7">
        <w:rPr>
          <w:rFonts w:ascii="Tahoma" w:hAnsi="Tahoma" w:cs="Tahoma"/>
          <w:sz w:val="18"/>
          <w:szCs w:val="18"/>
          <w:lang w:val="el-GR"/>
        </w:rPr>
        <w:t xml:space="preserve"> </w:t>
      </w:r>
      <w:r w:rsidR="005906CA" w:rsidRPr="00AD69E7">
        <w:rPr>
          <w:rFonts w:ascii="Tahoma" w:hAnsi="Tahoma" w:cs="Tahoma"/>
          <w:sz w:val="18"/>
          <w:szCs w:val="18"/>
          <w:lang w:val="el-GR"/>
        </w:rPr>
        <w:t xml:space="preserve">Αυγούστου </w:t>
      </w:r>
      <w:r w:rsidR="00666EF3" w:rsidRPr="00AD69E7">
        <w:rPr>
          <w:rFonts w:ascii="Tahoma" w:hAnsi="Tahoma" w:cs="Tahoma"/>
          <w:sz w:val="18"/>
          <w:szCs w:val="18"/>
          <w:lang w:val="el-GR"/>
        </w:rPr>
        <w:t>2017</w:t>
      </w:r>
      <w:r w:rsidR="004C5289" w:rsidRPr="00AD69E7">
        <w:rPr>
          <w:rFonts w:ascii="Tahoma" w:hAnsi="Tahoma" w:cs="Tahoma"/>
          <w:sz w:val="18"/>
          <w:szCs w:val="18"/>
          <w:lang w:val="el-GR"/>
        </w:rPr>
        <w:t xml:space="preserve"> (η «</w:t>
      </w:r>
      <w:r w:rsidR="004C5289" w:rsidRPr="00AD69E7">
        <w:rPr>
          <w:rFonts w:ascii="Tahoma" w:hAnsi="Tahoma" w:cs="Tahoma"/>
          <w:b/>
          <w:sz w:val="18"/>
          <w:szCs w:val="18"/>
          <w:lang w:val="el-GR"/>
        </w:rPr>
        <w:t>Ημερομηνία του Πληροφοριακού Δελτίου</w:t>
      </w:r>
      <w:r w:rsidR="004C5289" w:rsidRPr="00AD69E7">
        <w:rPr>
          <w:rFonts w:ascii="Tahoma" w:hAnsi="Tahoma" w:cs="Tahoma"/>
          <w:sz w:val="18"/>
          <w:szCs w:val="18"/>
          <w:lang w:val="el-GR"/>
        </w:rPr>
        <w:t>»)</w:t>
      </w:r>
      <w:r w:rsidR="008F43CD" w:rsidRPr="00AD69E7">
        <w:rPr>
          <w:rFonts w:ascii="Tahoma" w:hAnsi="Tahoma" w:cs="Tahoma"/>
          <w:sz w:val="18"/>
          <w:szCs w:val="18"/>
          <w:lang w:val="el-GR"/>
        </w:rPr>
        <w:t xml:space="preserve">, το Διοικητικό Συμβούλιο της Επιτροπής Κεφαλαιαγοράς ενέκρινε, σύμφωνα με το άρθρο 11 παρ. 4 του Ν.3461/2006 (ο </w:t>
      </w:r>
      <w:r w:rsidR="008F43CD" w:rsidRPr="00AD69E7">
        <w:rPr>
          <w:rFonts w:ascii="Tahoma" w:hAnsi="Tahoma" w:cs="Tahoma"/>
          <w:b/>
          <w:sz w:val="18"/>
          <w:szCs w:val="18"/>
          <w:lang w:val="el-GR"/>
        </w:rPr>
        <w:t>«Νόμος»</w:t>
      </w:r>
      <w:r w:rsidR="008F43CD" w:rsidRPr="00AD69E7">
        <w:rPr>
          <w:rFonts w:ascii="Tahoma" w:hAnsi="Tahoma" w:cs="Tahoma"/>
          <w:sz w:val="18"/>
          <w:szCs w:val="18"/>
          <w:lang w:val="el-GR"/>
        </w:rPr>
        <w:t xml:space="preserve">), όπως ισχύει, το πληροφοριακό δελτίο </w:t>
      </w:r>
      <w:r w:rsidR="002D11F2" w:rsidRPr="00AD69E7">
        <w:rPr>
          <w:rFonts w:ascii="Tahoma" w:hAnsi="Tahoma" w:cs="Tahoma"/>
          <w:sz w:val="18"/>
          <w:szCs w:val="18"/>
          <w:lang w:val="el-GR"/>
        </w:rPr>
        <w:t xml:space="preserve">(το </w:t>
      </w:r>
      <w:r w:rsidR="002D11F2" w:rsidRPr="00AD69E7">
        <w:rPr>
          <w:rFonts w:ascii="Tahoma" w:hAnsi="Tahoma" w:cs="Tahoma"/>
          <w:b/>
          <w:sz w:val="18"/>
          <w:szCs w:val="18"/>
          <w:lang w:val="el-GR"/>
        </w:rPr>
        <w:t>«Πληροφοριακό Δελτίο»</w:t>
      </w:r>
      <w:r w:rsidR="002D11F2" w:rsidRPr="00AD69E7">
        <w:rPr>
          <w:rFonts w:ascii="Tahoma" w:hAnsi="Tahoma" w:cs="Tahoma"/>
          <w:sz w:val="18"/>
          <w:szCs w:val="18"/>
          <w:lang w:val="el-GR"/>
        </w:rPr>
        <w:t xml:space="preserve">) </w:t>
      </w:r>
      <w:r w:rsidR="008F43CD" w:rsidRPr="00AD69E7">
        <w:rPr>
          <w:rFonts w:ascii="Tahoma" w:hAnsi="Tahoma" w:cs="Tahoma"/>
          <w:sz w:val="18"/>
          <w:szCs w:val="18"/>
          <w:lang w:val="el-GR"/>
        </w:rPr>
        <w:t xml:space="preserve">της </w:t>
      </w:r>
      <w:r w:rsidR="005906CA" w:rsidRPr="00AD69E7">
        <w:rPr>
          <w:rFonts w:ascii="Tahoma" w:hAnsi="Tahoma" w:cs="Tahoma"/>
          <w:sz w:val="18"/>
          <w:szCs w:val="18"/>
          <w:lang w:val="el-GR"/>
        </w:rPr>
        <w:t xml:space="preserve">υποχρεωτικής </w:t>
      </w:r>
      <w:r w:rsidR="008F43CD" w:rsidRPr="00AD69E7">
        <w:rPr>
          <w:rFonts w:ascii="Tahoma" w:hAnsi="Tahoma" w:cs="Tahoma"/>
          <w:sz w:val="18"/>
          <w:szCs w:val="18"/>
          <w:lang w:val="el-GR"/>
        </w:rPr>
        <w:t xml:space="preserve">Δημόσιας Πρότασης (η </w:t>
      </w:r>
      <w:r w:rsidR="008F43CD" w:rsidRPr="00AD69E7">
        <w:rPr>
          <w:rFonts w:ascii="Tahoma" w:hAnsi="Tahoma" w:cs="Tahoma"/>
          <w:b/>
          <w:sz w:val="18"/>
          <w:szCs w:val="18"/>
          <w:lang w:val="el-GR"/>
        </w:rPr>
        <w:t>«Δημόσια Πρόταση»</w:t>
      </w:r>
      <w:r w:rsidR="008F43CD" w:rsidRPr="00AD69E7">
        <w:rPr>
          <w:rFonts w:ascii="Tahoma" w:hAnsi="Tahoma" w:cs="Tahoma"/>
          <w:sz w:val="18"/>
          <w:szCs w:val="18"/>
          <w:lang w:val="el-GR"/>
        </w:rPr>
        <w:t xml:space="preserve">) που η </w:t>
      </w:r>
      <w:r w:rsidR="00E816AB" w:rsidRPr="00AD69E7">
        <w:rPr>
          <w:rFonts w:ascii="Tahoma" w:hAnsi="Tahoma" w:cs="Tahoma"/>
          <w:sz w:val="18"/>
          <w:szCs w:val="18"/>
          <w:lang w:val="el-GR"/>
        </w:rPr>
        <w:t>εταιρεία</w:t>
      </w:r>
      <w:r w:rsidR="008F43CD" w:rsidRPr="00AD69E7">
        <w:rPr>
          <w:rFonts w:ascii="Tahoma" w:hAnsi="Tahoma" w:cs="Tahoma"/>
          <w:sz w:val="18"/>
          <w:szCs w:val="18"/>
          <w:lang w:val="el-GR"/>
        </w:rPr>
        <w:t xml:space="preserve"> με την επωνυμία </w:t>
      </w:r>
      <w:r w:rsidR="005906CA" w:rsidRPr="00AD69E7">
        <w:rPr>
          <w:rFonts w:ascii="Tahoma" w:hAnsi="Tahoma" w:cs="Tahoma"/>
          <w:b/>
          <w:sz w:val="18"/>
          <w:szCs w:val="18"/>
          <w:lang w:val="el-GR"/>
        </w:rPr>
        <w:t>«FAIRFAX FINANCIAL HOLDINGS LIMITED»</w:t>
      </w:r>
      <w:r w:rsidR="005906CA" w:rsidRPr="00AD69E7">
        <w:rPr>
          <w:rFonts w:ascii="Tahoma" w:hAnsi="Tahoma" w:cs="Tahoma"/>
          <w:sz w:val="18"/>
          <w:szCs w:val="18"/>
          <w:lang w:val="el-GR"/>
        </w:rPr>
        <w:t xml:space="preserve"> </w:t>
      </w:r>
      <w:r w:rsidR="008F43CD" w:rsidRPr="00AD69E7">
        <w:rPr>
          <w:rFonts w:ascii="Tahoma" w:hAnsi="Tahoma" w:cs="Tahoma"/>
          <w:sz w:val="18"/>
          <w:szCs w:val="18"/>
          <w:lang w:val="el-GR"/>
        </w:rPr>
        <w:t xml:space="preserve">(ο </w:t>
      </w:r>
      <w:r w:rsidR="008F43CD" w:rsidRPr="00AD69E7">
        <w:rPr>
          <w:rFonts w:ascii="Tahoma" w:hAnsi="Tahoma" w:cs="Tahoma"/>
          <w:b/>
          <w:sz w:val="18"/>
          <w:szCs w:val="18"/>
          <w:lang w:val="el-GR"/>
        </w:rPr>
        <w:t>«Προτείνων»</w:t>
      </w:r>
      <w:r w:rsidR="008F43CD" w:rsidRPr="00AD69E7">
        <w:rPr>
          <w:rFonts w:ascii="Tahoma" w:hAnsi="Tahoma" w:cs="Tahoma"/>
          <w:sz w:val="18"/>
          <w:szCs w:val="18"/>
          <w:lang w:val="el-GR"/>
        </w:rPr>
        <w:t xml:space="preserve">) είχε απευθύνει </w:t>
      </w:r>
      <w:r w:rsidR="00BA4459" w:rsidRPr="00AD69E7">
        <w:rPr>
          <w:rFonts w:ascii="Tahoma" w:hAnsi="Tahoma" w:cs="Tahoma"/>
          <w:sz w:val="18"/>
          <w:szCs w:val="18"/>
          <w:lang w:val="el-GR"/>
        </w:rPr>
        <w:t xml:space="preserve">προς τους μετόχους της </w:t>
      </w:r>
      <w:r w:rsidR="00E816AB" w:rsidRPr="00AD69E7">
        <w:rPr>
          <w:rFonts w:ascii="Tahoma" w:hAnsi="Tahoma" w:cs="Tahoma"/>
          <w:sz w:val="18"/>
          <w:szCs w:val="18"/>
          <w:lang w:val="el-GR"/>
        </w:rPr>
        <w:t>εταιρεία</w:t>
      </w:r>
      <w:r w:rsidR="00BA4459" w:rsidRPr="00AD69E7">
        <w:rPr>
          <w:rFonts w:ascii="Tahoma" w:hAnsi="Tahoma" w:cs="Tahoma"/>
          <w:sz w:val="18"/>
          <w:szCs w:val="18"/>
          <w:lang w:val="el-GR"/>
        </w:rPr>
        <w:t xml:space="preserve">ς </w:t>
      </w:r>
      <w:r w:rsidR="005906CA" w:rsidRPr="00AD69E7">
        <w:rPr>
          <w:rFonts w:ascii="Tahoma" w:hAnsi="Tahoma" w:cs="Tahoma"/>
          <w:b/>
          <w:sz w:val="18"/>
          <w:szCs w:val="18"/>
          <w:lang w:val="el-GR"/>
        </w:rPr>
        <w:t xml:space="preserve">«GRIVALIA PROPERTIES ΑΝΩΝΥΜΗ ΕΤΑΙΡΕΙΑ ΕΠΕΝΔΥΣΕΩΝ ΣΕ ΑΚΙΝΗΤΗ ΠΕΡΙΟΥΣΙΑ» </w:t>
      </w:r>
      <w:r w:rsidR="00BA4459" w:rsidRPr="00AD69E7">
        <w:rPr>
          <w:rFonts w:ascii="Tahoma" w:hAnsi="Tahoma" w:cs="Tahoma"/>
          <w:sz w:val="18"/>
          <w:szCs w:val="18"/>
          <w:lang w:val="el-GR"/>
        </w:rPr>
        <w:t xml:space="preserve">(η </w:t>
      </w:r>
      <w:r w:rsidR="00BA4459" w:rsidRPr="00AD69E7">
        <w:rPr>
          <w:rFonts w:ascii="Tahoma" w:hAnsi="Tahoma" w:cs="Tahoma"/>
          <w:b/>
          <w:sz w:val="18"/>
          <w:szCs w:val="18"/>
          <w:lang w:val="el-GR"/>
        </w:rPr>
        <w:t>«</w:t>
      </w:r>
      <w:r w:rsidR="00E816AB" w:rsidRPr="00AD69E7">
        <w:rPr>
          <w:rFonts w:ascii="Tahoma" w:hAnsi="Tahoma" w:cs="Tahoma"/>
          <w:b/>
          <w:sz w:val="18"/>
          <w:szCs w:val="18"/>
          <w:lang w:val="el-GR"/>
        </w:rPr>
        <w:t>Εταιρεία</w:t>
      </w:r>
      <w:r w:rsidR="00BA4459" w:rsidRPr="00AD69E7">
        <w:rPr>
          <w:rFonts w:ascii="Tahoma" w:hAnsi="Tahoma" w:cs="Tahoma"/>
          <w:b/>
          <w:sz w:val="18"/>
          <w:szCs w:val="18"/>
          <w:lang w:val="el-GR"/>
        </w:rPr>
        <w:t>»</w:t>
      </w:r>
      <w:r w:rsidR="00BA4459" w:rsidRPr="00AD69E7">
        <w:rPr>
          <w:rFonts w:ascii="Tahoma" w:hAnsi="Tahoma" w:cs="Tahoma"/>
          <w:sz w:val="18"/>
          <w:szCs w:val="18"/>
          <w:lang w:val="el-GR"/>
        </w:rPr>
        <w:t>)</w:t>
      </w:r>
      <w:r w:rsidR="00696BF9" w:rsidRPr="00AD69E7">
        <w:rPr>
          <w:rFonts w:ascii="Tahoma" w:hAnsi="Tahoma" w:cs="Tahoma"/>
          <w:sz w:val="18"/>
          <w:szCs w:val="18"/>
          <w:lang w:val="el-GR"/>
        </w:rPr>
        <w:t xml:space="preserve"> (οι «</w:t>
      </w:r>
      <w:r w:rsidR="00696BF9" w:rsidRPr="00AD69E7">
        <w:rPr>
          <w:rFonts w:ascii="Tahoma" w:hAnsi="Tahoma" w:cs="Tahoma"/>
          <w:b/>
          <w:sz w:val="18"/>
          <w:szCs w:val="18"/>
          <w:lang w:val="el-GR"/>
        </w:rPr>
        <w:t>Μέτοχοι</w:t>
      </w:r>
      <w:r w:rsidR="00696BF9" w:rsidRPr="00AD69E7">
        <w:rPr>
          <w:rFonts w:ascii="Tahoma" w:hAnsi="Tahoma" w:cs="Tahoma"/>
          <w:sz w:val="18"/>
          <w:szCs w:val="18"/>
          <w:lang w:val="el-GR"/>
        </w:rPr>
        <w:t>»)</w:t>
      </w:r>
      <w:r w:rsidR="00EE3B2A" w:rsidRPr="00AD69E7">
        <w:rPr>
          <w:rFonts w:ascii="Tahoma" w:hAnsi="Tahoma" w:cs="Tahoma"/>
          <w:sz w:val="18"/>
          <w:szCs w:val="18"/>
          <w:lang w:val="el-GR"/>
        </w:rPr>
        <w:t xml:space="preserve">, με καταβεβλημένο μετοχικό κεφάλαιο, κατά την ημερομηνία της παρούσης, €215.683.800, διαιρούμενο σε 101.260.000 κοινές, ονομαστικές μετοχές, υπό άυλη μορφή, ονομαστικής αξίας €2,13 έκαστη (οι </w:t>
      </w:r>
      <w:r w:rsidR="00EE3B2A" w:rsidRPr="00AD69E7">
        <w:rPr>
          <w:rFonts w:ascii="Tahoma" w:hAnsi="Tahoma" w:cs="Tahoma"/>
          <w:b/>
          <w:sz w:val="18"/>
          <w:szCs w:val="18"/>
          <w:lang w:val="el-GR"/>
        </w:rPr>
        <w:t>«Μετοχές»</w:t>
      </w:r>
      <w:r w:rsidR="00EE3B2A" w:rsidRPr="00AD69E7">
        <w:rPr>
          <w:rFonts w:ascii="Tahoma" w:hAnsi="Tahoma" w:cs="Tahoma"/>
          <w:sz w:val="18"/>
          <w:szCs w:val="18"/>
          <w:lang w:val="el-GR"/>
        </w:rPr>
        <w:t xml:space="preserve">). </w:t>
      </w:r>
      <w:r w:rsidRPr="00AD69E7">
        <w:rPr>
          <w:rFonts w:ascii="Tahoma" w:hAnsi="Tahoma" w:cs="Tahoma"/>
          <w:sz w:val="18"/>
          <w:szCs w:val="18"/>
          <w:lang w:val="el-GR"/>
        </w:rPr>
        <w:t xml:space="preserve">Ο Προτείνων, την </w:t>
      </w:r>
      <w:r w:rsidR="005906CA" w:rsidRPr="00AD69E7">
        <w:rPr>
          <w:rFonts w:ascii="Tahoma" w:hAnsi="Tahoma" w:cs="Tahoma"/>
          <w:sz w:val="18"/>
          <w:szCs w:val="18"/>
          <w:lang w:val="el-GR"/>
        </w:rPr>
        <w:t>20</w:t>
      </w:r>
      <w:r w:rsidR="00666EF3" w:rsidRPr="00AD69E7">
        <w:rPr>
          <w:rFonts w:ascii="Tahoma" w:hAnsi="Tahoma" w:cs="Tahoma"/>
          <w:sz w:val="18"/>
          <w:szCs w:val="18"/>
          <w:vertAlign w:val="superscript"/>
          <w:lang w:val="el-GR"/>
        </w:rPr>
        <w:t>η</w:t>
      </w:r>
      <w:r w:rsidR="00666EF3" w:rsidRPr="00AD69E7">
        <w:rPr>
          <w:rFonts w:ascii="Tahoma" w:hAnsi="Tahoma" w:cs="Tahoma"/>
          <w:sz w:val="18"/>
          <w:szCs w:val="18"/>
          <w:lang w:val="el-GR"/>
        </w:rPr>
        <w:t xml:space="preserve"> </w:t>
      </w:r>
      <w:r w:rsidR="005906CA" w:rsidRPr="00AD69E7">
        <w:rPr>
          <w:rFonts w:ascii="Tahoma" w:hAnsi="Tahoma" w:cs="Tahoma"/>
          <w:sz w:val="18"/>
          <w:szCs w:val="18"/>
          <w:lang w:val="el-GR"/>
        </w:rPr>
        <w:t xml:space="preserve">Ιουλίου </w:t>
      </w:r>
      <w:r w:rsidR="00666EF3" w:rsidRPr="00AD69E7">
        <w:rPr>
          <w:rFonts w:ascii="Tahoma" w:hAnsi="Tahoma" w:cs="Tahoma"/>
          <w:sz w:val="18"/>
          <w:szCs w:val="18"/>
          <w:lang w:val="el-GR"/>
        </w:rPr>
        <w:t>201</w:t>
      </w:r>
      <w:r w:rsidR="00277917" w:rsidRPr="00AD69E7">
        <w:rPr>
          <w:rFonts w:ascii="Tahoma" w:hAnsi="Tahoma" w:cs="Tahoma"/>
          <w:sz w:val="18"/>
          <w:szCs w:val="18"/>
          <w:lang w:val="el-GR"/>
        </w:rPr>
        <w:t>7</w:t>
      </w:r>
      <w:r w:rsidR="00666EF3" w:rsidRPr="00AD69E7">
        <w:rPr>
          <w:rFonts w:ascii="Tahoma" w:hAnsi="Tahoma" w:cs="Tahoma"/>
          <w:sz w:val="18"/>
          <w:szCs w:val="18"/>
          <w:lang w:val="el-GR"/>
        </w:rPr>
        <w:t xml:space="preserve"> </w:t>
      </w:r>
      <w:r w:rsidR="004C5289" w:rsidRPr="00AD69E7">
        <w:rPr>
          <w:rFonts w:ascii="Tahoma" w:hAnsi="Tahoma" w:cs="Tahoma"/>
          <w:sz w:val="18"/>
          <w:szCs w:val="18"/>
          <w:lang w:val="el-GR"/>
        </w:rPr>
        <w:t>(η «</w:t>
      </w:r>
      <w:r w:rsidR="004C5289" w:rsidRPr="00AD69E7">
        <w:rPr>
          <w:rFonts w:ascii="Tahoma" w:hAnsi="Tahoma" w:cs="Tahoma"/>
          <w:b/>
          <w:sz w:val="18"/>
          <w:szCs w:val="18"/>
          <w:lang w:val="el-GR"/>
        </w:rPr>
        <w:t>Ημερομηνία της Δημόσιας Πρότασης</w:t>
      </w:r>
      <w:r w:rsidR="004C5289" w:rsidRPr="00AD69E7">
        <w:rPr>
          <w:rFonts w:ascii="Tahoma" w:hAnsi="Tahoma" w:cs="Tahoma"/>
          <w:sz w:val="18"/>
          <w:szCs w:val="18"/>
          <w:lang w:val="el-GR"/>
        </w:rPr>
        <w:t xml:space="preserve">») </w:t>
      </w:r>
      <w:r w:rsidR="00F15493" w:rsidRPr="00AD69E7">
        <w:rPr>
          <w:rFonts w:ascii="Tahoma" w:hAnsi="Tahoma" w:cs="Tahoma"/>
          <w:sz w:val="18"/>
          <w:szCs w:val="18"/>
          <w:lang w:val="el-GR"/>
        </w:rPr>
        <w:t>υπέβαλε τη</w:t>
      </w:r>
      <w:r w:rsidRPr="00AD69E7">
        <w:rPr>
          <w:rFonts w:ascii="Tahoma" w:hAnsi="Tahoma" w:cs="Tahoma"/>
          <w:sz w:val="18"/>
          <w:szCs w:val="18"/>
          <w:lang w:val="el-GR"/>
        </w:rPr>
        <w:t xml:space="preserve"> Δημόσια Πρόταση</w:t>
      </w:r>
      <w:r w:rsidR="00BA4459" w:rsidRPr="00AD69E7">
        <w:rPr>
          <w:rFonts w:ascii="Tahoma" w:hAnsi="Tahoma" w:cs="Tahoma"/>
          <w:sz w:val="18"/>
          <w:szCs w:val="18"/>
          <w:lang w:val="el-GR"/>
        </w:rPr>
        <w:t xml:space="preserve"> </w:t>
      </w:r>
      <w:r w:rsidR="00F15493" w:rsidRPr="00AD69E7">
        <w:rPr>
          <w:rFonts w:ascii="Tahoma" w:hAnsi="Tahoma" w:cs="Tahoma"/>
          <w:sz w:val="18"/>
          <w:szCs w:val="18"/>
          <w:lang w:val="el-GR"/>
        </w:rPr>
        <w:t>καταθέτοντας</w:t>
      </w:r>
      <w:r w:rsidR="00BA4459" w:rsidRPr="00AD69E7">
        <w:rPr>
          <w:rFonts w:ascii="Tahoma" w:hAnsi="Tahoma" w:cs="Tahoma"/>
          <w:sz w:val="18"/>
          <w:szCs w:val="18"/>
          <w:lang w:val="el-GR"/>
        </w:rPr>
        <w:t xml:space="preserve"> σχέδιο του </w:t>
      </w:r>
      <w:r w:rsidR="004C5289" w:rsidRPr="00AD69E7">
        <w:rPr>
          <w:rFonts w:ascii="Tahoma" w:hAnsi="Tahoma" w:cs="Tahoma"/>
          <w:sz w:val="18"/>
          <w:szCs w:val="18"/>
          <w:lang w:val="el-GR"/>
        </w:rPr>
        <w:t xml:space="preserve">Πληροφοριακού Δελτίου </w:t>
      </w:r>
      <w:r w:rsidR="00BA4459" w:rsidRPr="00AD69E7">
        <w:rPr>
          <w:rFonts w:ascii="Tahoma" w:hAnsi="Tahoma" w:cs="Tahoma"/>
          <w:sz w:val="18"/>
          <w:szCs w:val="18"/>
          <w:lang w:val="el-GR"/>
        </w:rPr>
        <w:t>προς την Επιτροπή Κεφαλαιαγοράς</w:t>
      </w:r>
      <w:r w:rsidR="00731222" w:rsidRPr="00AD69E7">
        <w:rPr>
          <w:rFonts w:ascii="Tahoma" w:hAnsi="Tahoma" w:cs="Tahoma"/>
          <w:sz w:val="18"/>
          <w:szCs w:val="18"/>
          <w:lang w:val="el-GR"/>
        </w:rPr>
        <w:t xml:space="preserve"> (η </w:t>
      </w:r>
      <w:r w:rsidR="00731222" w:rsidRPr="00AD69E7">
        <w:rPr>
          <w:rFonts w:ascii="Tahoma" w:hAnsi="Tahoma" w:cs="Tahoma"/>
          <w:b/>
          <w:sz w:val="18"/>
          <w:szCs w:val="18"/>
          <w:lang w:val="el-GR"/>
        </w:rPr>
        <w:t>«Ε.Κ.»</w:t>
      </w:r>
      <w:r w:rsidR="00731222" w:rsidRPr="00AD69E7">
        <w:rPr>
          <w:rFonts w:ascii="Tahoma" w:hAnsi="Tahoma" w:cs="Tahoma"/>
          <w:sz w:val="18"/>
          <w:szCs w:val="18"/>
          <w:lang w:val="el-GR"/>
        </w:rPr>
        <w:t>)</w:t>
      </w:r>
      <w:r w:rsidR="00BA4459" w:rsidRPr="00AD69E7">
        <w:rPr>
          <w:rFonts w:ascii="Tahoma" w:hAnsi="Tahoma" w:cs="Tahoma"/>
          <w:sz w:val="18"/>
          <w:szCs w:val="18"/>
          <w:lang w:val="el-GR"/>
        </w:rPr>
        <w:t xml:space="preserve"> και </w:t>
      </w:r>
      <w:r w:rsidRPr="00AD69E7">
        <w:rPr>
          <w:rFonts w:ascii="Tahoma" w:hAnsi="Tahoma" w:cs="Tahoma"/>
          <w:sz w:val="18"/>
          <w:szCs w:val="18"/>
          <w:lang w:val="el-GR"/>
        </w:rPr>
        <w:t xml:space="preserve">ενημερώνοντας </w:t>
      </w:r>
      <w:r w:rsidR="00BA4459" w:rsidRPr="00AD69E7">
        <w:rPr>
          <w:rFonts w:ascii="Tahoma" w:hAnsi="Tahoma" w:cs="Tahoma"/>
          <w:sz w:val="18"/>
          <w:szCs w:val="18"/>
          <w:lang w:val="el-GR"/>
        </w:rPr>
        <w:t>το Διοικητικό Συμβούλιο τη</w:t>
      </w:r>
      <w:r w:rsidR="000A29F9" w:rsidRPr="00AD69E7">
        <w:rPr>
          <w:rFonts w:ascii="Tahoma" w:hAnsi="Tahoma" w:cs="Tahoma"/>
          <w:sz w:val="18"/>
          <w:szCs w:val="18"/>
          <w:lang w:val="el-GR"/>
        </w:rPr>
        <w:t>ς</w:t>
      </w:r>
      <w:r w:rsidR="00BA4459" w:rsidRPr="00AD69E7">
        <w:rPr>
          <w:rFonts w:ascii="Tahoma" w:hAnsi="Tahoma" w:cs="Tahoma"/>
          <w:sz w:val="18"/>
          <w:szCs w:val="18"/>
          <w:lang w:val="el-GR"/>
        </w:rPr>
        <w:t xml:space="preserve"> </w:t>
      </w:r>
      <w:r w:rsidR="00E816AB" w:rsidRPr="00AD69E7">
        <w:rPr>
          <w:rFonts w:ascii="Tahoma" w:hAnsi="Tahoma" w:cs="Tahoma"/>
          <w:sz w:val="18"/>
          <w:szCs w:val="18"/>
          <w:lang w:val="el-GR"/>
        </w:rPr>
        <w:t>Εταιρεία</w:t>
      </w:r>
      <w:r w:rsidR="00BA4459" w:rsidRPr="00AD69E7">
        <w:rPr>
          <w:rFonts w:ascii="Tahoma" w:hAnsi="Tahoma" w:cs="Tahoma"/>
          <w:sz w:val="18"/>
          <w:szCs w:val="18"/>
          <w:lang w:val="el-GR"/>
        </w:rPr>
        <w:t>ς</w:t>
      </w:r>
      <w:r w:rsidR="007D0982" w:rsidRPr="00AD69E7">
        <w:rPr>
          <w:rFonts w:ascii="Tahoma" w:hAnsi="Tahoma" w:cs="Tahoma"/>
          <w:sz w:val="18"/>
          <w:szCs w:val="18"/>
          <w:lang w:val="el-GR"/>
        </w:rPr>
        <w:t xml:space="preserve">. </w:t>
      </w:r>
      <w:r w:rsidR="009D00BA" w:rsidRPr="00AD69E7">
        <w:rPr>
          <w:rFonts w:ascii="Tahoma" w:hAnsi="Tahoma" w:cs="Tahoma"/>
          <w:sz w:val="18"/>
          <w:szCs w:val="18"/>
          <w:lang w:val="el-GR"/>
        </w:rPr>
        <w:t xml:space="preserve">Ακολούθως, </w:t>
      </w:r>
      <w:r w:rsidR="0087242B" w:rsidRPr="00AD69E7">
        <w:rPr>
          <w:rFonts w:ascii="Tahoma" w:hAnsi="Tahoma" w:cs="Tahoma"/>
          <w:sz w:val="18"/>
          <w:szCs w:val="18"/>
          <w:lang w:val="el-GR"/>
        </w:rPr>
        <w:t>η Δημόσια Πρόταση ανακοινώθηκε με τον τρόπο και τα μέσα που προβλέπονται στο άρθρο 16 παράγραφος 1 του Νόμου.</w:t>
      </w:r>
      <w:r w:rsidR="00AD69E7">
        <w:rPr>
          <w:rFonts w:ascii="Tahoma" w:hAnsi="Tahoma" w:cs="Tahoma"/>
          <w:sz w:val="18"/>
          <w:szCs w:val="18"/>
          <w:lang w:val="el-GR"/>
        </w:rPr>
        <w:t xml:space="preserve"> </w:t>
      </w:r>
      <w:r w:rsidR="00BA4459" w:rsidRPr="00AD69E7">
        <w:rPr>
          <w:rFonts w:ascii="Tahoma" w:hAnsi="Tahoma" w:cs="Tahoma"/>
          <w:sz w:val="18"/>
          <w:szCs w:val="18"/>
          <w:lang w:val="el-GR"/>
        </w:rPr>
        <w:t xml:space="preserve"> </w:t>
      </w:r>
    </w:p>
    <w:p w:rsidR="002D11F2" w:rsidRPr="00AD69E7" w:rsidRDefault="002D11F2" w:rsidP="00B344A1">
      <w:pPr>
        <w:numPr>
          <w:ilvl w:val="0"/>
          <w:numId w:val="9"/>
        </w:numPr>
        <w:spacing w:after="240" w:line="360" w:lineRule="auto"/>
        <w:rPr>
          <w:rFonts w:ascii="Tahoma" w:hAnsi="Tahoma" w:cs="Tahoma"/>
          <w:b/>
          <w:sz w:val="18"/>
          <w:szCs w:val="18"/>
          <w:lang w:val="el-GR"/>
        </w:rPr>
      </w:pPr>
      <w:r w:rsidRPr="00AD69E7">
        <w:rPr>
          <w:rFonts w:ascii="Tahoma" w:hAnsi="Tahoma" w:cs="Tahoma"/>
          <w:b/>
          <w:sz w:val="18"/>
          <w:szCs w:val="18"/>
          <w:lang w:val="el-GR"/>
        </w:rPr>
        <w:t>ΔΙΑΘΕΣΗ ΤΟΥ ΠΛΗΡΟΦΟΡΙΑΚΟΥ ΔΕΛΤΙΟΥ</w:t>
      </w:r>
    </w:p>
    <w:p w:rsidR="00DF1913" w:rsidRPr="00AD69E7" w:rsidRDefault="002D11F2" w:rsidP="00981FC7">
      <w:pPr>
        <w:spacing w:after="240" w:line="360" w:lineRule="auto"/>
        <w:ind w:left="567"/>
        <w:rPr>
          <w:rFonts w:ascii="Tahoma" w:hAnsi="Tahoma" w:cs="Tahoma"/>
          <w:sz w:val="18"/>
          <w:szCs w:val="18"/>
          <w:lang w:val="el-GR"/>
        </w:rPr>
      </w:pPr>
      <w:r w:rsidRPr="00AD69E7">
        <w:rPr>
          <w:rFonts w:ascii="Tahoma" w:hAnsi="Tahoma" w:cs="Tahoma"/>
          <w:sz w:val="18"/>
          <w:szCs w:val="18"/>
          <w:lang w:val="el-GR"/>
        </w:rPr>
        <w:t xml:space="preserve">Το Πληροφοριακό Δελτίο, ως εγκρίθηκε από την Επιτροπή Κεφαλαιαγοράς, καθώς και οι δηλώσεις αποδοχής της Δημόσιας Πρότασης, θα διατίθενται δωρεάν, κατά τις εργάσιμες ημέρες και ώρες, σε όλα τα εν Ελλάδι υποκαταστήματα της «Τράπεζα </w:t>
      </w:r>
      <w:r w:rsidRPr="00AD69E7">
        <w:rPr>
          <w:rFonts w:ascii="Tahoma" w:hAnsi="Tahoma" w:cs="Tahoma"/>
          <w:sz w:val="18"/>
          <w:szCs w:val="18"/>
          <w:lang w:val="en-US"/>
        </w:rPr>
        <w:t>Eurobank</w:t>
      </w:r>
      <w:r w:rsidRPr="00AD69E7">
        <w:rPr>
          <w:rFonts w:ascii="Tahoma" w:hAnsi="Tahoma" w:cs="Tahoma"/>
          <w:sz w:val="18"/>
          <w:szCs w:val="18"/>
          <w:lang w:val="el-GR"/>
        </w:rPr>
        <w:t xml:space="preserve"> </w:t>
      </w:r>
      <w:r w:rsidRPr="00AD69E7">
        <w:rPr>
          <w:rFonts w:ascii="Tahoma" w:hAnsi="Tahoma" w:cs="Tahoma"/>
          <w:sz w:val="18"/>
          <w:szCs w:val="18"/>
          <w:lang w:val="en-US"/>
        </w:rPr>
        <w:t>Ergasias</w:t>
      </w:r>
      <w:r w:rsidRPr="00AD69E7">
        <w:rPr>
          <w:rFonts w:ascii="Tahoma" w:hAnsi="Tahoma" w:cs="Tahoma"/>
          <w:sz w:val="18"/>
          <w:szCs w:val="18"/>
          <w:lang w:val="el-GR"/>
        </w:rPr>
        <w:t xml:space="preserve"> Α.Ε.» (ο </w:t>
      </w:r>
      <w:r w:rsidRPr="00AD69E7">
        <w:rPr>
          <w:rFonts w:ascii="Tahoma" w:hAnsi="Tahoma" w:cs="Tahoma"/>
          <w:b/>
          <w:sz w:val="18"/>
          <w:szCs w:val="18"/>
          <w:lang w:val="el-GR"/>
        </w:rPr>
        <w:t>«Διαχειριστής</w:t>
      </w:r>
      <w:r w:rsidR="00BE7BDE" w:rsidRPr="00AD69E7">
        <w:rPr>
          <w:rFonts w:ascii="Tahoma" w:hAnsi="Tahoma" w:cs="Tahoma"/>
          <w:b/>
          <w:sz w:val="18"/>
          <w:szCs w:val="18"/>
          <w:lang w:val="el-GR"/>
        </w:rPr>
        <w:t>»</w:t>
      </w:r>
      <w:r w:rsidR="00BE7BDE" w:rsidRPr="00AD69E7">
        <w:rPr>
          <w:rFonts w:ascii="Tahoma" w:hAnsi="Tahoma" w:cs="Tahoma"/>
          <w:sz w:val="18"/>
          <w:szCs w:val="18"/>
          <w:lang w:val="el-GR"/>
        </w:rPr>
        <w:t xml:space="preserve">), από την </w:t>
      </w:r>
      <w:r w:rsidR="0093707B" w:rsidRPr="00AD69E7">
        <w:rPr>
          <w:rFonts w:ascii="Tahoma" w:hAnsi="Tahoma" w:cs="Tahoma"/>
          <w:sz w:val="18"/>
          <w:szCs w:val="18"/>
          <w:lang w:val="el-GR"/>
        </w:rPr>
        <w:t>7</w:t>
      </w:r>
      <w:r w:rsidR="0093707B" w:rsidRPr="00AD69E7">
        <w:rPr>
          <w:rFonts w:ascii="Tahoma" w:hAnsi="Tahoma" w:cs="Tahoma"/>
          <w:sz w:val="18"/>
          <w:szCs w:val="18"/>
          <w:vertAlign w:val="superscript"/>
          <w:lang w:val="el-GR"/>
        </w:rPr>
        <w:t>η</w:t>
      </w:r>
      <w:r w:rsidR="00AD69E7">
        <w:rPr>
          <w:rFonts w:ascii="Tahoma" w:hAnsi="Tahoma" w:cs="Tahoma"/>
          <w:sz w:val="18"/>
          <w:szCs w:val="18"/>
          <w:lang w:val="el-GR"/>
        </w:rPr>
        <w:t xml:space="preserve"> </w:t>
      </w:r>
      <w:r w:rsidR="00277917" w:rsidRPr="00AD69E7">
        <w:rPr>
          <w:rFonts w:ascii="Tahoma" w:hAnsi="Tahoma" w:cs="Tahoma"/>
          <w:sz w:val="18"/>
          <w:szCs w:val="18"/>
          <w:lang w:val="el-GR"/>
        </w:rPr>
        <w:t>Α</w:t>
      </w:r>
      <w:r w:rsidR="005906CA" w:rsidRPr="00AD69E7">
        <w:rPr>
          <w:rFonts w:ascii="Tahoma" w:hAnsi="Tahoma" w:cs="Tahoma"/>
          <w:sz w:val="18"/>
          <w:szCs w:val="18"/>
          <w:lang w:val="el-GR"/>
        </w:rPr>
        <w:t xml:space="preserve">υγούστου </w:t>
      </w:r>
      <w:r w:rsidR="00D50E32" w:rsidRPr="00AD69E7">
        <w:rPr>
          <w:rFonts w:ascii="Tahoma" w:hAnsi="Tahoma" w:cs="Tahoma"/>
          <w:sz w:val="18"/>
          <w:szCs w:val="18"/>
          <w:lang w:val="el-GR"/>
        </w:rPr>
        <w:t>2017</w:t>
      </w:r>
      <w:r w:rsidRPr="00AD69E7">
        <w:rPr>
          <w:rFonts w:ascii="Tahoma" w:hAnsi="Tahoma" w:cs="Tahoma"/>
          <w:sz w:val="18"/>
          <w:szCs w:val="18"/>
          <w:lang w:val="el-GR"/>
        </w:rPr>
        <w:t xml:space="preserve"> και καθ' όλη τη διάρκεια της Περιόδου Αποδοχής της Δημόσιας Πρότασης (ως ακολούθως ορίζεται). Επίσης, οι μέτοχοι θα μπορούν από τις </w:t>
      </w:r>
      <w:r w:rsidR="0093707B" w:rsidRPr="00AD69E7">
        <w:rPr>
          <w:rFonts w:ascii="Tahoma" w:hAnsi="Tahoma" w:cs="Tahoma"/>
          <w:sz w:val="18"/>
          <w:szCs w:val="18"/>
          <w:lang w:val="el-GR"/>
        </w:rPr>
        <w:t>07</w:t>
      </w:r>
      <w:r w:rsidR="00277917" w:rsidRPr="00AD69E7">
        <w:rPr>
          <w:rFonts w:ascii="Tahoma" w:hAnsi="Tahoma" w:cs="Tahoma"/>
          <w:sz w:val="18"/>
          <w:szCs w:val="18"/>
          <w:lang w:val="el-GR"/>
        </w:rPr>
        <w:t>.0</w:t>
      </w:r>
      <w:r w:rsidR="005906CA" w:rsidRPr="00AD69E7">
        <w:rPr>
          <w:rFonts w:ascii="Tahoma" w:hAnsi="Tahoma" w:cs="Tahoma"/>
          <w:sz w:val="18"/>
          <w:szCs w:val="18"/>
          <w:lang w:val="el-GR"/>
        </w:rPr>
        <w:t>8</w:t>
      </w:r>
      <w:r w:rsidR="00D50E32" w:rsidRPr="00AD69E7">
        <w:rPr>
          <w:rFonts w:ascii="Tahoma" w:hAnsi="Tahoma" w:cs="Tahoma"/>
          <w:sz w:val="18"/>
          <w:szCs w:val="18"/>
          <w:lang w:val="el-GR"/>
        </w:rPr>
        <w:t xml:space="preserve">.2017 </w:t>
      </w:r>
      <w:r w:rsidRPr="00AD69E7">
        <w:rPr>
          <w:rFonts w:ascii="Tahoma" w:hAnsi="Tahoma" w:cs="Tahoma"/>
          <w:sz w:val="18"/>
          <w:szCs w:val="18"/>
          <w:lang w:val="el-GR"/>
        </w:rPr>
        <w:t>και καθ' όλη τη διάρκεια της Περιόδου Αποδοχής της Δημόσιας Πρότασης, να λαμβάνουν αντίγραφα του Πληροφοριακού Δελτίου, από την</w:t>
      </w:r>
      <w:r w:rsidR="00DF1913" w:rsidRPr="00AD69E7">
        <w:rPr>
          <w:rFonts w:ascii="Tahoma" w:hAnsi="Tahoma" w:cs="Tahoma"/>
          <w:sz w:val="18"/>
          <w:szCs w:val="18"/>
          <w:lang w:val="el-GR"/>
        </w:rPr>
        <w:t xml:space="preserve"> έδρα του Συμβούλου του Προτείνοντος, ήτοι της Τράπεζας Eurobank Ergasias Α.Ε. (Διεύθυνση Investment Banking &amp; Principal Capital Strategies) (ο </w:t>
      </w:r>
      <w:r w:rsidR="00DF1913" w:rsidRPr="00AD69E7">
        <w:rPr>
          <w:rFonts w:ascii="Tahoma" w:hAnsi="Tahoma" w:cs="Tahoma"/>
          <w:b/>
          <w:sz w:val="18"/>
          <w:szCs w:val="18"/>
          <w:lang w:val="el-GR"/>
        </w:rPr>
        <w:t>«Σύμβουλος</w:t>
      </w:r>
      <w:r w:rsidR="00DF1913" w:rsidRPr="00AD69E7">
        <w:rPr>
          <w:rFonts w:ascii="Tahoma" w:hAnsi="Tahoma" w:cs="Tahoma"/>
          <w:sz w:val="18"/>
          <w:szCs w:val="18"/>
          <w:lang w:val="el-GR"/>
        </w:rPr>
        <w:t>»), στην οδό Φιλελλήνων 10, 10557, Αθήνα</w:t>
      </w:r>
      <w:r w:rsidR="00066204" w:rsidRPr="00AD69E7">
        <w:rPr>
          <w:rFonts w:ascii="Tahoma" w:hAnsi="Tahoma" w:cs="Tahoma"/>
          <w:sz w:val="18"/>
          <w:szCs w:val="18"/>
          <w:lang w:val="el-GR"/>
        </w:rPr>
        <w:t>.</w:t>
      </w:r>
    </w:p>
    <w:p w:rsidR="004C50EC" w:rsidRPr="00AD69E7" w:rsidRDefault="00DF1913" w:rsidP="00531672">
      <w:pPr>
        <w:spacing w:after="240" w:line="360" w:lineRule="auto"/>
        <w:ind w:left="567"/>
        <w:rPr>
          <w:rFonts w:ascii="Tahoma" w:hAnsi="Tahoma" w:cs="Tahoma"/>
          <w:sz w:val="18"/>
          <w:szCs w:val="18"/>
          <w:lang w:val="el-GR"/>
        </w:rPr>
      </w:pPr>
      <w:r w:rsidRPr="00AD69E7">
        <w:rPr>
          <w:rFonts w:ascii="Tahoma" w:hAnsi="Tahoma" w:cs="Tahoma"/>
          <w:sz w:val="18"/>
          <w:szCs w:val="18"/>
          <w:lang w:val="el-GR"/>
        </w:rPr>
        <w:t>Επίσης</w:t>
      </w:r>
      <w:r w:rsidR="004C50EC" w:rsidRPr="00AD69E7">
        <w:rPr>
          <w:rFonts w:ascii="Tahoma" w:hAnsi="Tahoma" w:cs="Tahoma"/>
          <w:lang w:val="el-GR"/>
        </w:rPr>
        <w:t xml:space="preserve"> </w:t>
      </w:r>
      <w:r w:rsidR="004C50EC" w:rsidRPr="00AD69E7">
        <w:rPr>
          <w:rFonts w:ascii="Tahoma" w:hAnsi="Tahoma" w:cs="Tahoma"/>
          <w:sz w:val="18"/>
          <w:szCs w:val="18"/>
          <w:lang w:val="el-GR"/>
        </w:rPr>
        <w:t>από την</w:t>
      </w:r>
      <w:r w:rsidR="00AD69E7">
        <w:rPr>
          <w:rFonts w:ascii="Tahoma" w:hAnsi="Tahoma" w:cs="Tahoma"/>
          <w:sz w:val="18"/>
          <w:szCs w:val="18"/>
          <w:lang w:val="el-GR"/>
        </w:rPr>
        <w:t xml:space="preserve"> </w:t>
      </w:r>
      <w:r w:rsidR="0093707B" w:rsidRPr="00AD69E7">
        <w:rPr>
          <w:rFonts w:ascii="Tahoma" w:hAnsi="Tahoma" w:cs="Tahoma"/>
          <w:sz w:val="18"/>
          <w:szCs w:val="18"/>
          <w:lang w:val="el-GR"/>
        </w:rPr>
        <w:t>7</w:t>
      </w:r>
      <w:r w:rsidR="004C50EC" w:rsidRPr="00AD69E7">
        <w:rPr>
          <w:rFonts w:ascii="Tahoma" w:hAnsi="Tahoma" w:cs="Tahoma"/>
          <w:sz w:val="18"/>
          <w:szCs w:val="18"/>
          <w:vertAlign w:val="superscript"/>
          <w:lang w:val="el-GR"/>
        </w:rPr>
        <w:t>η</w:t>
      </w:r>
      <w:r w:rsidR="004C50EC" w:rsidRPr="00AD69E7">
        <w:rPr>
          <w:rFonts w:ascii="Tahoma" w:hAnsi="Tahoma" w:cs="Tahoma"/>
          <w:sz w:val="18"/>
          <w:szCs w:val="18"/>
          <w:lang w:val="el-GR"/>
        </w:rPr>
        <w:t xml:space="preserve"> Αυγούστου 2017,</w:t>
      </w:r>
      <w:r w:rsidRPr="00AD69E7">
        <w:rPr>
          <w:rFonts w:ascii="Tahoma" w:hAnsi="Tahoma" w:cs="Tahoma"/>
          <w:sz w:val="18"/>
          <w:szCs w:val="18"/>
          <w:lang w:val="el-GR"/>
        </w:rPr>
        <w:t xml:space="preserve"> το Πληροφοριακό Δελτίο θα είναι διαθέσιμο</w:t>
      </w:r>
      <w:r w:rsidR="004C50EC" w:rsidRPr="00AD69E7">
        <w:rPr>
          <w:rFonts w:ascii="Tahoma" w:hAnsi="Tahoma" w:cs="Tahoma"/>
          <w:sz w:val="18"/>
          <w:szCs w:val="18"/>
          <w:lang w:val="el-GR"/>
        </w:rPr>
        <w:t xml:space="preserve"> δωρεάν</w:t>
      </w:r>
      <w:r w:rsidR="005F78FB" w:rsidRPr="00AD69E7">
        <w:rPr>
          <w:rFonts w:ascii="Tahoma" w:hAnsi="Tahoma" w:cs="Tahoma"/>
          <w:sz w:val="18"/>
          <w:szCs w:val="18"/>
          <w:lang w:val="el-GR"/>
        </w:rPr>
        <w:t xml:space="preserve"> </w:t>
      </w:r>
      <w:r w:rsidRPr="00AD69E7">
        <w:rPr>
          <w:rFonts w:ascii="Tahoma" w:hAnsi="Tahoma" w:cs="Tahoma"/>
          <w:sz w:val="18"/>
          <w:szCs w:val="18"/>
          <w:lang w:val="el-GR"/>
        </w:rPr>
        <w:t>σε ηλεκτρονική μορφή</w:t>
      </w:r>
      <w:r w:rsidR="00625F49" w:rsidRPr="00AD69E7">
        <w:rPr>
          <w:rFonts w:ascii="Tahoma" w:hAnsi="Tahoma" w:cs="Tahoma"/>
          <w:sz w:val="18"/>
          <w:szCs w:val="18"/>
          <w:lang w:val="el-GR"/>
        </w:rPr>
        <w:t>,</w:t>
      </w:r>
      <w:r w:rsidRPr="00AD69E7">
        <w:rPr>
          <w:rFonts w:ascii="Tahoma" w:hAnsi="Tahoma" w:cs="Tahoma"/>
          <w:sz w:val="18"/>
          <w:szCs w:val="18"/>
          <w:lang w:val="el-GR"/>
        </w:rPr>
        <w:t xml:space="preserve"> </w:t>
      </w:r>
      <w:r w:rsidR="004C50EC" w:rsidRPr="00AD69E7">
        <w:rPr>
          <w:rFonts w:ascii="Tahoma" w:hAnsi="Tahoma" w:cs="Tahoma"/>
          <w:sz w:val="18"/>
          <w:szCs w:val="18"/>
          <w:lang w:val="el-GR"/>
        </w:rPr>
        <w:t xml:space="preserve">στην ιστοσελίδα του Συμβούλου του Προτείνοντος, </w:t>
      </w:r>
      <w:hyperlink r:id="rId8" w:history="1">
        <w:r w:rsidR="004C50EC" w:rsidRPr="00AD69E7">
          <w:rPr>
            <w:rStyle w:val="-"/>
            <w:rFonts w:ascii="Tahoma" w:hAnsi="Tahoma" w:cs="Tahoma"/>
            <w:sz w:val="18"/>
            <w:szCs w:val="18"/>
            <w:lang w:val="el-GR"/>
          </w:rPr>
          <w:t>www.eurobank.gr</w:t>
        </w:r>
      </w:hyperlink>
      <w:r w:rsidR="00AD69E7">
        <w:rPr>
          <w:rFonts w:ascii="Tahoma" w:hAnsi="Tahoma" w:cs="Tahoma"/>
          <w:sz w:val="18"/>
          <w:szCs w:val="18"/>
          <w:lang w:val="el-GR"/>
        </w:rPr>
        <w:t xml:space="preserve"> </w:t>
      </w:r>
      <w:hyperlink r:id="rId9" w:history="1">
        <w:r w:rsidR="004C50EC" w:rsidRPr="00AD69E7">
          <w:rPr>
            <w:rStyle w:val="-"/>
            <w:rFonts w:ascii="Tahoma" w:hAnsi="Tahoma" w:cs="Tahoma"/>
            <w:sz w:val="18"/>
            <w:szCs w:val="18"/>
            <w:lang w:val="el-GR"/>
          </w:rPr>
          <w:t>https://www.eurobank.gr/online/home/generic.aspx?id=1355&amp;mid=363&amp;lang=gr</w:t>
        </w:r>
      </w:hyperlink>
      <w:r w:rsidR="004C50EC" w:rsidRPr="00AD69E7">
        <w:rPr>
          <w:rFonts w:ascii="Tahoma" w:hAnsi="Tahoma" w:cs="Tahoma"/>
          <w:sz w:val="18"/>
          <w:szCs w:val="18"/>
          <w:lang w:val="el-GR"/>
        </w:rPr>
        <w:t xml:space="preserve">), στην ιστοσελίδα της Εταιρείας, </w:t>
      </w:r>
      <w:hyperlink r:id="rId10" w:history="1">
        <w:r w:rsidR="004C50EC" w:rsidRPr="00AD69E7">
          <w:rPr>
            <w:rStyle w:val="-"/>
            <w:rFonts w:ascii="Tahoma" w:hAnsi="Tahoma" w:cs="Tahoma"/>
            <w:sz w:val="18"/>
            <w:szCs w:val="18"/>
            <w:lang w:val="el-GR"/>
          </w:rPr>
          <w:t>http://grivalia.com/ependites/enimerotika-deltia/</w:t>
        </w:r>
      </w:hyperlink>
      <w:r w:rsidR="004C50EC" w:rsidRPr="00AD69E7">
        <w:rPr>
          <w:rFonts w:ascii="Tahoma" w:hAnsi="Tahoma" w:cs="Tahoma"/>
          <w:sz w:val="18"/>
          <w:szCs w:val="18"/>
          <w:lang w:val="el-GR"/>
        </w:rPr>
        <w:t xml:space="preserve">, στην ιστοσελίδα της Ε.Κ. </w:t>
      </w:r>
      <w:hyperlink r:id="rId11" w:history="1">
        <w:r w:rsidR="004C50EC" w:rsidRPr="00AD69E7">
          <w:rPr>
            <w:rStyle w:val="-"/>
            <w:rFonts w:ascii="Tahoma" w:hAnsi="Tahoma" w:cs="Tahoma"/>
            <w:sz w:val="18"/>
            <w:szCs w:val="18"/>
            <w:lang w:val="el-GR"/>
          </w:rPr>
          <w:t>www.hcmc.gr</w:t>
        </w:r>
      </w:hyperlink>
      <w:r w:rsidR="004C50EC" w:rsidRPr="00AD69E7">
        <w:rPr>
          <w:rFonts w:ascii="Tahoma" w:hAnsi="Tahoma" w:cs="Tahoma"/>
          <w:sz w:val="18"/>
          <w:szCs w:val="18"/>
          <w:lang w:val="el-GR"/>
        </w:rPr>
        <w:t xml:space="preserve"> (</w:t>
      </w:r>
      <w:hyperlink r:id="rId12" w:history="1">
        <w:r w:rsidR="004C50EC" w:rsidRPr="00AD69E7">
          <w:rPr>
            <w:rStyle w:val="-"/>
            <w:rFonts w:ascii="Tahoma" w:hAnsi="Tahoma" w:cs="Tahoma"/>
            <w:sz w:val="18"/>
            <w:szCs w:val="18"/>
            <w:lang w:val="el-GR"/>
          </w:rPr>
          <w:t>http://www.hcmc.gr/el_GR/web/portal/publicproposals</w:t>
        </w:r>
      </w:hyperlink>
      <w:r w:rsidR="004C50EC" w:rsidRPr="00AD69E7">
        <w:rPr>
          <w:rFonts w:ascii="Tahoma" w:hAnsi="Tahoma" w:cs="Tahoma"/>
          <w:sz w:val="18"/>
          <w:szCs w:val="18"/>
          <w:lang w:val="el-GR"/>
        </w:rPr>
        <w:t xml:space="preserve"> και </w:t>
      </w:r>
      <w:hyperlink r:id="rId13" w:history="1">
        <w:r w:rsidR="004C50EC" w:rsidRPr="00AD69E7">
          <w:rPr>
            <w:rStyle w:val="-"/>
            <w:rFonts w:ascii="Tahoma" w:hAnsi="Tahoma" w:cs="Tahoma"/>
            <w:sz w:val="18"/>
            <w:szCs w:val="18"/>
            <w:lang w:val="el-GR"/>
          </w:rPr>
          <w:t>http://www.hcmc.gr/el_GR/web/portal/deltiaprotaseon12minou</w:t>
        </w:r>
      </w:hyperlink>
      <w:r w:rsidR="004C50EC" w:rsidRPr="00AD69E7">
        <w:rPr>
          <w:rFonts w:ascii="Tahoma" w:hAnsi="Tahoma" w:cs="Tahoma"/>
          <w:sz w:val="18"/>
          <w:szCs w:val="18"/>
          <w:lang w:val="el-GR"/>
        </w:rPr>
        <w:t xml:space="preserve">) και στην ιστοσελίδα της Ε.Χ.Α.Ε., </w:t>
      </w:r>
      <w:hyperlink r:id="rId14" w:history="1">
        <w:r w:rsidR="004C50EC" w:rsidRPr="00AD69E7">
          <w:rPr>
            <w:rStyle w:val="-"/>
            <w:rFonts w:ascii="Tahoma" w:hAnsi="Tahoma" w:cs="Tahoma"/>
            <w:sz w:val="18"/>
            <w:szCs w:val="18"/>
            <w:lang w:val="el-GR"/>
          </w:rPr>
          <w:t>www.helex.gr</w:t>
        </w:r>
      </w:hyperlink>
      <w:r w:rsidR="004C50EC" w:rsidRPr="00AD69E7">
        <w:rPr>
          <w:rFonts w:ascii="Tahoma" w:hAnsi="Tahoma" w:cs="Tahoma"/>
          <w:sz w:val="18"/>
          <w:szCs w:val="18"/>
          <w:lang w:val="el-GR"/>
        </w:rPr>
        <w:t xml:space="preserve"> (</w:t>
      </w:r>
      <w:hyperlink r:id="rId15" w:history="1">
        <w:r w:rsidR="004C50EC" w:rsidRPr="00AD69E7">
          <w:rPr>
            <w:rStyle w:val="-"/>
            <w:rFonts w:ascii="Tahoma" w:hAnsi="Tahoma" w:cs="Tahoma"/>
            <w:sz w:val="18"/>
            <w:szCs w:val="18"/>
            <w:lang w:val="el-GR"/>
          </w:rPr>
          <w:t>http://www.helex.gr/el/web/guest/companies-information-memorandum-informative-material</w:t>
        </w:r>
      </w:hyperlink>
      <w:r w:rsidR="004C50EC" w:rsidRPr="00AD69E7">
        <w:rPr>
          <w:rFonts w:ascii="Tahoma" w:hAnsi="Tahoma" w:cs="Tahoma"/>
          <w:sz w:val="18"/>
          <w:szCs w:val="18"/>
          <w:lang w:val="el-GR"/>
        </w:rPr>
        <w:t xml:space="preserve">). </w:t>
      </w:r>
    </w:p>
    <w:p w:rsidR="002D11F2" w:rsidRPr="00AD69E7" w:rsidRDefault="002D11F2" w:rsidP="00B344A1">
      <w:pPr>
        <w:numPr>
          <w:ilvl w:val="0"/>
          <w:numId w:val="9"/>
        </w:numPr>
        <w:spacing w:after="240" w:line="360" w:lineRule="auto"/>
        <w:rPr>
          <w:rFonts w:ascii="Tahoma" w:hAnsi="Tahoma" w:cs="Tahoma"/>
          <w:b/>
          <w:bCs/>
          <w:sz w:val="18"/>
          <w:szCs w:val="18"/>
          <w:lang w:val="el-GR"/>
        </w:rPr>
      </w:pPr>
      <w:r w:rsidRPr="00AD69E7">
        <w:rPr>
          <w:rFonts w:ascii="Tahoma" w:hAnsi="Tahoma" w:cs="Tahoma"/>
          <w:b/>
          <w:bCs/>
          <w:sz w:val="18"/>
          <w:szCs w:val="18"/>
          <w:lang w:val="el-GR"/>
        </w:rPr>
        <w:t>ΑΝΤΙΚΕΙΜΕΝΟ ΔΗΜΟΣΙΑΣ ΠΡΟΤΑΣΗΣ</w:t>
      </w:r>
    </w:p>
    <w:p w:rsidR="00711C52" w:rsidRPr="00AD69E7" w:rsidRDefault="00711C52" w:rsidP="00711C52">
      <w:pPr>
        <w:pStyle w:val="31"/>
        <w:spacing w:line="360" w:lineRule="auto"/>
        <w:ind w:left="567"/>
        <w:rPr>
          <w:rFonts w:ascii="Tahoma" w:hAnsi="Tahoma" w:cs="Tahoma"/>
          <w:sz w:val="18"/>
          <w:szCs w:val="18"/>
          <w:lang w:val="el-GR"/>
        </w:rPr>
      </w:pPr>
      <w:r w:rsidRPr="00AD69E7">
        <w:rPr>
          <w:rFonts w:ascii="Tahoma" w:hAnsi="Tahoma" w:cs="Tahoma"/>
          <w:sz w:val="18"/>
          <w:szCs w:val="18"/>
          <w:lang w:val="el-GR"/>
        </w:rPr>
        <w:t>Την 4</w:t>
      </w:r>
      <w:r w:rsidRPr="00AD69E7">
        <w:rPr>
          <w:rFonts w:ascii="Tahoma" w:hAnsi="Tahoma" w:cs="Tahoma"/>
          <w:sz w:val="18"/>
          <w:szCs w:val="18"/>
          <w:vertAlign w:val="superscript"/>
          <w:lang w:val="el-GR"/>
        </w:rPr>
        <w:t>η</w:t>
      </w:r>
      <w:r w:rsidRPr="00AD69E7">
        <w:rPr>
          <w:rFonts w:ascii="Tahoma" w:hAnsi="Tahoma" w:cs="Tahoma"/>
          <w:sz w:val="18"/>
          <w:szCs w:val="18"/>
          <w:lang w:val="el-GR"/>
        </w:rPr>
        <w:t xml:space="preserve"> Ιουλίου 2017, η Τράπεζα Eurobank Ergasias Α.Ε., διέθεσε, μέσω ιδιωτικής τοποθέτησης, 20.252.001 κοινές Μετοχές, ήτοι το σύνολο της συμμετοχής της στην Εταιρεία, που αντιστοιχούσε σε περίπου 20% του μετοχικού κεφαλαίου της τελευταίας, σε τιμή €8,80 ανά Μετοχή.</w:t>
      </w:r>
    </w:p>
    <w:p w:rsidR="00711C52" w:rsidRPr="00AD69E7" w:rsidRDefault="00711C52" w:rsidP="00711C52">
      <w:pPr>
        <w:pStyle w:val="31"/>
        <w:spacing w:line="360" w:lineRule="auto"/>
        <w:ind w:left="567"/>
        <w:rPr>
          <w:rFonts w:ascii="Tahoma" w:hAnsi="Tahoma" w:cs="Tahoma"/>
          <w:sz w:val="18"/>
          <w:szCs w:val="18"/>
          <w:lang w:val="el-GR"/>
        </w:rPr>
      </w:pPr>
      <w:r w:rsidRPr="00AD69E7">
        <w:rPr>
          <w:rFonts w:ascii="Tahoma" w:hAnsi="Tahoma" w:cs="Tahoma"/>
          <w:sz w:val="18"/>
          <w:szCs w:val="18"/>
          <w:lang w:val="el-GR"/>
        </w:rPr>
        <w:t xml:space="preserve">Εκ του προαναφερθέντος συνόλου των Μετοχών που διατέθηκαν μέσω της ιδιωτικής τοποθέτησης, δέκα εκατομμύρια (10.000.000) Μετοχές κατανεμήθηκαν σε θυγατρικές εταιρείες του Προτείνοντα με αποτέλεσμα τα ελεγχόμενα από τον Προτείνοντα δικαιώματα ψήφου στην Grivalia να ανέλθουν σε περίπου 51,37% του συνόλου. </w:t>
      </w:r>
    </w:p>
    <w:p w:rsidR="00711C52" w:rsidRPr="00AD69E7" w:rsidRDefault="00711C52" w:rsidP="00711C52">
      <w:pPr>
        <w:pStyle w:val="31"/>
        <w:spacing w:line="360" w:lineRule="auto"/>
        <w:ind w:left="567"/>
        <w:rPr>
          <w:rFonts w:ascii="Tahoma" w:hAnsi="Tahoma" w:cs="Tahoma"/>
          <w:sz w:val="18"/>
          <w:szCs w:val="18"/>
          <w:lang w:val="el-GR"/>
        </w:rPr>
      </w:pPr>
      <w:r w:rsidRPr="00AD69E7">
        <w:rPr>
          <w:rFonts w:ascii="Tahoma" w:hAnsi="Tahoma" w:cs="Tahoma"/>
          <w:sz w:val="18"/>
          <w:szCs w:val="18"/>
          <w:lang w:val="el-GR"/>
        </w:rPr>
        <w:t>Επιπλέον, λόγω της διάθεσης του συνόλου των Μετοχών που κατείχε η Τράπεζα Eurobank Ergasias Α.Ε. λύθηκε και η από 17 Οκτωβρίου 2013 συμφωνία μετόχων μεταξύ του Προτείνοντος και της Τράπεζας Eurobank Ergasias</w:t>
      </w:r>
      <w:r w:rsidR="00AD69E7">
        <w:rPr>
          <w:rFonts w:ascii="Tahoma" w:hAnsi="Tahoma" w:cs="Tahoma"/>
          <w:sz w:val="18"/>
          <w:szCs w:val="18"/>
          <w:lang w:val="el-GR"/>
        </w:rPr>
        <w:t xml:space="preserve"> </w:t>
      </w:r>
      <w:r w:rsidRPr="00AD69E7">
        <w:rPr>
          <w:rFonts w:ascii="Tahoma" w:hAnsi="Tahoma" w:cs="Tahoma"/>
          <w:sz w:val="18"/>
          <w:szCs w:val="18"/>
          <w:lang w:val="el-GR"/>
        </w:rPr>
        <w:t xml:space="preserve">Α.Ε., η οποία προέβλεπε την από κοινού άσκηση των δικαιωμάτων ψήφου επί των Μετοχών που οι συμβαλλόμενοι κατείχαν και ως εκ τούτου έπαψαν να είναι πρόσωπα που ενεργούν συντονισμένα κατά την έννοια του άρθρου 2(ε) του Νόμου. </w:t>
      </w:r>
    </w:p>
    <w:p w:rsidR="005C0959" w:rsidRPr="00AD69E7" w:rsidRDefault="005C0959" w:rsidP="005C0959">
      <w:pPr>
        <w:pStyle w:val="31"/>
        <w:spacing w:line="360" w:lineRule="auto"/>
        <w:ind w:left="567"/>
        <w:rPr>
          <w:rFonts w:ascii="Tahoma" w:hAnsi="Tahoma" w:cs="Tahoma"/>
          <w:sz w:val="18"/>
          <w:szCs w:val="18"/>
          <w:lang w:val="el-GR"/>
        </w:rPr>
      </w:pPr>
      <w:r w:rsidRPr="00AD69E7">
        <w:rPr>
          <w:rFonts w:ascii="Tahoma" w:hAnsi="Tahoma" w:cs="Tahoma"/>
          <w:sz w:val="18"/>
          <w:szCs w:val="18"/>
          <w:lang w:val="el-GR"/>
        </w:rPr>
        <w:t>Συνεπεία των ανωτέρω, δημιουργήθηκε για τον Προτείνοντα η υποχρέωση υποβολής Δημόσιας Πρότασης, σύμφωνα με το άρθρο 7 του Νόμου.</w:t>
      </w:r>
    </w:p>
    <w:p w:rsidR="005C0959" w:rsidRPr="00AD69E7" w:rsidRDefault="005C0959" w:rsidP="005C0959">
      <w:pPr>
        <w:suppressAutoHyphens/>
        <w:autoSpaceDE w:val="0"/>
        <w:autoSpaceDN w:val="0"/>
        <w:adjustRightInd w:val="0"/>
        <w:spacing w:beforeLines="60" w:afterLines="60" w:line="360" w:lineRule="auto"/>
        <w:ind w:left="567"/>
        <w:rPr>
          <w:rFonts w:ascii="Tahoma" w:hAnsi="Tahoma" w:cs="Tahoma"/>
          <w:sz w:val="18"/>
          <w:szCs w:val="18"/>
          <w:lang w:val="el-GR"/>
        </w:rPr>
      </w:pPr>
      <w:r w:rsidRPr="00AD69E7">
        <w:rPr>
          <w:rFonts w:ascii="Tahoma" w:hAnsi="Tahoma" w:cs="Tahoma"/>
          <w:sz w:val="18"/>
          <w:szCs w:val="18"/>
          <w:lang w:val="el-GR"/>
        </w:rPr>
        <w:t xml:space="preserve">Συντονισμένα πρόσωπα νοούνται τα πρόσωπα που ελέγχονται από τον Προτείνοντα, κατά την έννοια του άρθρου 8 του Π.Δ. 51/1992, ως έχει αντικατασταθεί από τον Ν. 3556/2007, όπως ισχύει (συμπεριλαμβανομένων και των θυγατρικών του Προτείνοντα και του Fairfax Financial Holdings Master Trust Fund, συνταξιοδοτικού ταμείου των υπαλλήλων του ομίλου του Προτείνοντα) (τα </w:t>
      </w:r>
      <w:r w:rsidRPr="00AD69E7">
        <w:rPr>
          <w:rFonts w:ascii="Tahoma" w:hAnsi="Tahoma" w:cs="Tahoma"/>
          <w:b/>
          <w:sz w:val="18"/>
          <w:szCs w:val="18"/>
          <w:lang w:val="el-GR"/>
        </w:rPr>
        <w:t>«Συντονισμένα Πρόσωπα»</w:t>
      </w:r>
      <w:r w:rsidRPr="00AD69E7">
        <w:rPr>
          <w:rFonts w:ascii="Tahoma" w:hAnsi="Tahoma" w:cs="Tahoma"/>
          <w:sz w:val="18"/>
          <w:szCs w:val="18"/>
          <w:lang w:val="el-GR"/>
        </w:rPr>
        <w:t>).</w:t>
      </w:r>
    </w:p>
    <w:p w:rsidR="005C0959" w:rsidRPr="00AD69E7" w:rsidRDefault="005C0959" w:rsidP="005C0959">
      <w:pPr>
        <w:suppressAutoHyphens/>
        <w:autoSpaceDE w:val="0"/>
        <w:autoSpaceDN w:val="0"/>
        <w:adjustRightInd w:val="0"/>
        <w:spacing w:beforeLines="60" w:afterLines="60" w:line="360" w:lineRule="auto"/>
        <w:ind w:left="567"/>
        <w:rPr>
          <w:rFonts w:ascii="Tahoma" w:hAnsi="Tahoma" w:cs="Tahoma"/>
          <w:sz w:val="18"/>
          <w:szCs w:val="18"/>
          <w:lang w:val="el-GR"/>
        </w:rPr>
      </w:pPr>
      <w:r w:rsidRPr="00AD69E7">
        <w:rPr>
          <w:rFonts w:ascii="Tahoma" w:hAnsi="Tahoma" w:cs="Tahoma"/>
          <w:sz w:val="18"/>
          <w:szCs w:val="18"/>
          <w:lang w:val="el-GR"/>
        </w:rPr>
        <w:t>Κατά την Ημερομηνία της Δημόσιας Πρότασης, ο Προτείνων ελέγχει έμμεσα, μέσω των θυγατρικών του,</w:t>
      </w:r>
      <w:r w:rsidRPr="00AD69E7" w:rsidDel="00B31691">
        <w:rPr>
          <w:rFonts w:ascii="Tahoma" w:hAnsi="Tahoma" w:cs="Tahoma"/>
          <w:sz w:val="18"/>
          <w:szCs w:val="18"/>
          <w:lang w:val="el-GR"/>
        </w:rPr>
        <w:t xml:space="preserve"> </w:t>
      </w:r>
      <w:r w:rsidRPr="00AD69E7">
        <w:rPr>
          <w:rFonts w:ascii="Tahoma" w:hAnsi="Tahoma" w:cs="Tahoma"/>
          <w:sz w:val="18"/>
          <w:szCs w:val="18"/>
          <w:lang w:val="el-GR"/>
        </w:rPr>
        <w:t xml:space="preserve">52.020.370 Μετοχές και δικαιώματα ψήφου της Εταιρείας, οι οποίες αντιπροσωπεύουν ποσοστό ίσο με το 51,37% του καταβεβλημένου μετοχικού κεφαλαίου και των δικαιωμάτων ψήφου της Εταιρείας. </w:t>
      </w:r>
    </w:p>
    <w:p w:rsidR="0030298E" w:rsidRPr="00AD69E7" w:rsidRDefault="00D219E8" w:rsidP="00DD1CD7">
      <w:pPr>
        <w:pStyle w:val="31"/>
        <w:spacing w:line="360" w:lineRule="auto"/>
        <w:ind w:left="567"/>
        <w:rPr>
          <w:rFonts w:ascii="Tahoma" w:hAnsi="Tahoma" w:cs="Tahoma"/>
          <w:sz w:val="18"/>
          <w:szCs w:val="18"/>
          <w:lang w:val="el-GR"/>
        </w:rPr>
      </w:pPr>
      <w:r w:rsidRPr="00AD69E7">
        <w:rPr>
          <w:rFonts w:ascii="Tahoma" w:hAnsi="Tahoma" w:cs="Tahoma"/>
          <w:sz w:val="18"/>
          <w:szCs w:val="18"/>
          <w:lang w:val="el-GR"/>
        </w:rPr>
        <w:t xml:space="preserve">Η Δημόσια Πρόταση αφορά </w:t>
      </w:r>
      <w:r w:rsidR="0046728D" w:rsidRPr="00AD69E7">
        <w:rPr>
          <w:rFonts w:ascii="Tahoma" w:hAnsi="Tahoma" w:cs="Tahoma"/>
          <w:sz w:val="18"/>
          <w:szCs w:val="18"/>
          <w:lang w:val="el-GR"/>
        </w:rPr>
        <w:t>σ</w:t>
      </w:r>
      <w:r w:rsidRPr="00AD69E7">
        <w:rPr>
          <w:rFonts w:ascii="Tahoma" w:hAnsi="Tahoma" w:cs="Tahoma"/>
          <w:sz w:val="18"/>
          <w:szCs w:val="18"/>
          <w:lang w:val="el-GR"/>
        </w:rPr>
        <w:t xml:space="preserve">το σύνολο των </w:t>
      </w:r>
      <w:r w:rsidR="0030298E" w:rsidRPr="00AD69E7">
        <w:rPr>
          <w:rFonts w:ascii="Tahoma" w:hAnsi="Tahoma" w:cs="Tahoma"/>
          <w:sz w:val="18"/>
          <w:szCs w:val="18"/>
          <w:lang w:val="el-GR"/>
        </w:rPr>
        <w:t>Μ</w:t>
      </w:r>
      <w:r w:rsidRPr="00AD69E7">
        <w:rPr>
          <w:rFonts w:ascii="Tahoma" w:hAnsi="Tahoma" w:cs="Tahoma"/>
          <w:sz w:val="18"/>
          <w:szCs w:val="18"/>
          <w:lang w:val="el-GR"/>
        </w:rPr>
        <w:t>ετοχών</w:t>
      </w:r>
      <w:r w:rsidR="0046728D" w:rsidRPr="00AD69E7">
        <w:rPr>
          <w:rFonts w:ascii="Tahoma" w:hAnsi="Tahoma" w:cs="Tahoma"/>
          <w:sz w:val="18"/>
          <w:szCs w:val="18"/>
          <w:lang w:val="el-GR"/>
        </w:rPr>
        <w:t xml:space="preserve"> της Εταιρείας</w:t>
      </w:r>
      <w:r w:rsidRPr="00AD69E7">
        <w:rPr>
          <w:rFonts w:ascii="Tahoma" w:hAnsi="Tahoma" w:cs="Tahoma"/>
          <w:sz w:val="18"/>
          <w:szCs w:val="18"/>
          <w:lang w:val="el-GR"/>
        </w:rPr>
        <w:t xml:space="preserve">, </w:t>
      </w:r>
      <w:r w:rsidR="00393461" w:rsidRPr="00AD69E7">
        <w:rPr>
          <w:rFonts w:ascii="Tahoma" w:hAnsi="Tahoma" w:cs="Tahoma"/>
          <w:sz w:val="18"/>
          <w:szCs w:val="18"/>
          <w:lang w:val="el-GR"/>
        </w:rPr>
        <w:t xml:space="preserve">οι </w:t>
      </w:r>
      <w:r w:rsidRPr="00AD69E7">
        <w:rPr>
          <w:rFonts w:ascii="Tahoma" w:hAnsi="Tahoma" w:cs="Tahoma"/>
          <w:sz w:val="18"/>
          <w:szCs w:val="18"/>
          <w:lang w:val="el-GR"/>
        </w:rPr>
        <w:t xml:space="preserve">οποίες </w:t>
      </w:r>
      <w:r w:rsidR="00393461" w:rsidRPr="00AD69E7">
        <w:rPr>
          <w:rFonts w:ascii="Tahoma" w:hAnsi="Tahoma" w:cs="Tahoma"/>
          <w:sz w:val="18"/>
          <w:szCs w:val="18"/>
          <w:lang w:val="el-GR"/>
        </w:rPr>
        <w:t>δεν ανήκ</w:t>
      </w:r>
      <w:r w:rsidR="00DA4344" w:rsidRPr="00AD69E7">
        <w:rPr>
          <w:rFonts w:ascii="Tahoma" w:hAnsi="Tahoma" w:cs="Tahoma"/>
          <w:sz w:val="18"/>
          <w:szCs w:val="18"/>
          <w:lang w:val="el-GR"/>
        </w:rPr>
        <w:t xml:space="preserve">αν </w:t>
      </w:r>
      <w:r w:rsidR="00393461" w:rsidRPr="00AD69E7">
        <w:rPr>
          <w:rFonts w:ascii="Tahoma" w:hAnsi="Tahoma" w:cs="Tahoma"/>
          <w:sz w:val="18"/>
          <w:szCs w:val="18"/>
          <w:lang w:val="el-GR"/>
        </w:rPr>
        <w:t>στην κυριότητα τ</w:t>
      </w:r>
      <w:r w:rsidRPr="00AD69E7">
        <w:rPr>
          <w:rFonts w:ascii="Tahoma" w:hAnsi="Tahoma" w:cs="Tahoma"/>
          <w:sz w:val="18"/>
          <w:szCs w:val="18"/>
          <w:lang w:val="el-GR"/>
        </w:rPr>
        <w:t>ο</w:t>
      </w:r>
      <w:r w:rsidR="00393461" w:rsidRPr="00AD69E7">
        <w:rPr>
          <w:rFonts w:ascii="Tahoma" w:hAnsi="Tahoma" w:cs="Tahoma"/>
          <w:sz w:val="18"/>
          <w:szCs w:val="18"/>
          <w:lang w:val="el-GR"/>
        </w:rPr>
        <w:t>υ</w:t>
      </w:r>
      <w:r w:rsidRPr="00AD69E7">
        <w:rPr>
          <w:rFonts w:ascii="Tahoma" w:hAnsi="Tahoma" w:cs="Tahoma"/>
          <w:sz w:val="18"/>
          <w:szCs w:val="18"/>
          <w:lang w:val="el-GR"/>
        </w:rPr>
        <w:t xml:space="preserve"> </w:t>
      </w:r>
      <w:r w:rsidR="00393461" w:rsidRPr="00AD69E7">
        <w:rPr>
          <w:rFonts w:ascii="Tahoma" w:hAnsi="Tahoma" w:cs="Tahoma"/>
          <w:sz w:val="18"/>
          <w:szCs w:val="18"/>
          <w:lang w:val="el-GR"/>
        </w:rPr>
        <w:t xml:space="preserve">Προτείνοντος </w:t>
      </w:r>
      <w:r w:rsidRPr="00AD69E7">
        <w:rPr>
          <w:rFonts w:ascii="Tahoma" w:hAnsi="Tahoma" w:cs="Tahoma"/>
          <w:sz w:val="18"/>
          <w:szCs w:val="18"/>
          <w:lang w:val="el-GR"/>
        </w:rPr>
        <w:t xml:space="preserve">και </w:t>
      </w:r>
      <w:r w:rsidR="00393461" w:rsidRPr="00AD69E7">
        <w:rPr>
          <w:rFonts w:ascii="Tahoma" w:hAnsi="Tahoma" w:cs="Tahoma"/>
          <w:sz w:val="18"/>
          <w:szCs w:val="18"/>
          <w:lang w:val="el-GR"/>
        </w:rPr>
        <w:t xml:space="preserve">των Συντονισμένων </w:t>
      </w:r>
      <w:r w:rsidR="0030298E" w:rsidRPr="00AD69E7">
        <w:rPr>
          <w:rFonts w:ascii="Tahoma" w:hAnsi="Tahoma" w:cs="Tahoma"/>
          <w:sz w:val="18"/>
          <w:szCs w:val="18"/>
          <w:lang w:val="el-GR"/>
        </w:rPr>
        <w:t>Π</w:t>
      </w:r>
      <w:r w:rsidRPr="00AD69E7">
        <w:rPr>
          <w:rFonts w:ascii="Tahoma" w:hAnsi="Tahoma" w:cs="Tahoma"/>
          <w:sz w:val="18"/>
          <w:szCs w:val="18"/>
          <w:lang w:val="el-GR"/>
        </w:rPr>
        <w:t>ρ</w:t>
      </w:r>
      <w:r w:rsidR="00393461" w:rsidRPr="00AD69E7">
        <w:rPr>
          <w:rFonts w:ascii="Tahoma" w:hAnsi="Tahoma" w:cs="Tahoma"/>
          <w:sz w:val="18"/>
          <w:szCs w:val="18"/>
          <w:lang w:val="el-GR"/>
        </w:rPr>
        <w:t>οσώπων</w:t>
      </w:r>
      <w:r w:rsidR="0030298E" w:rsidRPr="00AD69E7">
        <w:rPr>
          <w:rFonts w:ascii="Tahoma" w:hAnsi="Tahoma" w:cs="Tahoma"/>
          <w:sz w:val="18"/>
          <w:szCs w:val="18"/>
          <w:lang w:val="el-GR"/>
        </w:rPr>
        <w:t xml:space="preserve">, κατά την </w:t>
      </w:r>
      <w:r w:rsidR="00CE1AF0" w:rsidRPr="00AD69E7">
        <w:rPr>
          <w:rFonts w:ascii="Tahoma" w:hAnsi="Tahoma" w:cs="Tahoma"/>
          <w:sz w:val="18"/>
          <w:szCs w:val="18"/>
          <w:lang w:val="el-GR"/>
        </w:rPr>
        <w:t>η</w:t>
      </w:r>
      <w:r w:rsidR="0030298E" w:rsidRPr="00AD69E7">
        <w:rPr>
          <w:rFonts w:ascii="Tahoma" w:hAnsi="Tahoma" w:cs="Tahoma"/>
          <w:sz w:val="18"/>
          <w:szCs w:val="18"/>
          <w:lang w:val="el-GR"/>
        </w:rPr>
        <w:t xml:space="preserve">μερομηνία </w:t>
      </w:r>
      <w:r w:rsidR="00CE1AF0" w:rsidRPr="00AD69E7">
        <w:rPr>
          <w:rFonts w:ascii="Tahoma" w:hAnsi="Tahoma" w:cs="Tahoma"/>
          <w:sz w:val="18"/>
          <w:szCs w:val="18"/>
          <w:lang w:val="el-GR"/>
        </w:rPr>
        <w:t xml:space="preserve">κατά την οποία ο Προτείνων κατέστη υπόχρεος για την υποβολή </w:t>
      </w:r>
      <w:r w:rsidR="0030298E" w:rsidRPr="00AD69E7">
        <w:rPr>
          <w:rFonts w:ascii="Tahoma" w:hAnsi="Tahoma" w:cs="Tahoma"/>
          <w:sz w:val="18"/>
          <w:szCs w:val="18"/>
          <w:lang w:val="el-GR"/>
        </w:rPr>
        <w:t xml:space="preserve">της Δημόσιας Πρότασης, ήτοι σε </w:t>
      </w:r>
      <w:r w:rsidR="005C0959" w:rsidRPr="00AD69E7">
        <w:rPr>
          <w:rFonts w:ascii="Tahoma" w:hAnsi="Tahoma" w:cs="Tahoma"/>
          <w:sz w:val="18"/>
          <w:szCs w:val="18"/>
          <w:lang w:val="el-GR"/>
        </w:rPr>
        <w:t>49.239.630</w:t>
      </w:r>
      <w:r w:rsidR="0030298E" w:rsidRPr="00AD69E7">
        <w:rPr>
          <w:rFonts w:ascii="Tahoma" w:hAnsi="Tahoma" w:cs="Tahoma"/>
          <w:sz w:val="18"/>
          <w:szCs w:val="18"/>
          <w:lang w:val="el-GR"/>
        </w:rPr>
        <w:t xml:space="preserve"> Μετοχές, οι οποίες αντιπροσώπευαν </w:t>
      </w:r>
      <w:r w:rsidR="005C0959" w:rsidRPr="00AD69E7">
        <w:rPr>
          <w:rFonts w:ascii="Tahoma" w:hAnsi="Tahoma" w:cs="Tahoma"/>
          <w:sz w:val="18"/>
          <w:szCs w:val="18"/>
          <w:lang w:val="el-GR"/>
        </w:rPr>
        <w:t>ποσοστό ίσο με το 48,63</w:t>
      </w:r>
      <w:r w:rsidR="0030298E" w:rsidRPr="00AD69E7">
        <w:rPr>
          <w:rFonts w:ascii="Tahoma" w:hAnsi="Tahoma" w:cs="Tahoma"/>
          <w:sz w:val="18"/>
          <w:szCs w:val="18"/>
          <w:lang w:val="el-GR"/>
        </w:rPr>
        <w:t xml:space="preserve">% του </w:t>
      </w:r>
      <w:r w:rsidR="007516C3" w:rsidRPr="00AD69E7">
        <w:rPr>
          <w:rFonts w:ascii="Tahoma" w:hAnsi="Tahoma" w:cs="Tahoma"/>
          <w:sz w:val="18"/>
          <w:szCs w:val="18"/>
          <w:lang w:val="el-GR"/>
        </w:rPr>
        <w:t>συνολικού αριθμού των Μετοχών</w:t>
      </w:r>
      <w:r w:rsidR="0030298E" w:rsidRPr="00AD69E7">
        <w:rPr>
          <w:rFonts w:ascii="Tahoma" w:hAnsi="Tahoma" w:cs="Tahoma"/>
          <w:sz w:val="18"/>
          <w:szCs w:val="18"/>
          <w:lang w:val="el-GR"/>
        </w:rPr>
        <w:t xml:space="preserve"> και των δικαιωμάτων ψήφου της Εταιρείας</w:t>
      </w:r>
      <w:r w:rsidR="005C0959" w:rsidRPr="00AD69E7">
        <w:rPr>
          <w:rFonts w:ascii="Tahoma" w:hAnsi="Tahoma" w:cs="Tahoma"/>
          <w:lang w:val="el-GR"/>
        </w:rPr>
        <w:t xml:space="preserve"> </w:t>
      </w:r>
      <w:r w:rsidR="005C0959" w:rsidRPr="00AD69E7">
        <w:rPr>
          <w:rFonts w:ascii="Tahoma" w:hAnsi="Tahoma" w:cs="Tahoma"/>
          <w:sz w:val="18"/>
          <w:szCs w:val="18"/>
          <w:lang w:val="el-GR"/>
        </w:rPr>
        <w:t>συμπεριλαμβανομένων και των τυχόν ιδίων Μετοχών που κατέχονται από την Εταιρεία.</w:t>
      </w:r>
      <w:r w:rsidR="0030298E" w:rsidRPr="00AD69E7">
        <w:rPr>
          <w:rFonts w:ascii="Tahoma" w:hAnsi="Tahoma" w:cs="Tahoma"/>
          <w:sz w:val="18"/>
          <w:szCs w:val="18"/>
          <w:lang w:val="el-GR"/>
        </w:rPr>
        <w:t xml:space="preserve"> (</w:t>
      </w:r>
      <w:r w:rsidR="00ED72E7" w:rsidRPr="00AD69E7">
        <w:rPr>
          <w:rFonts w:ascii="Tahoma" w:hAnsi="Tahoma" w:cs="Tahoma"/>
          <w:sz w:val="18"/>
          <w:szCs w:val="18"/>
          <w:lang w:val="el-GR"/>
        </w:rPr>
        <w:t xml:space="preserve">οι </w:t>
      </w:r>
      <w:r w:rsidR="0030298E" w:rsidRPr="00AD69E7">
        <w:rPr>
          <w:rFonts w:ascii="Tahoma" w:hAnsi="Tahoma" w:cs="Tahoma"/>
          <w:b/>
          <w:sz w:val="18"/>
          <w:szCs w:val="18"/>
          <w:lang w:val="el-GR"/>
        </w:rPr>
        <w:t>«Μετοχές της Δημόσιας Πρότασης»</w:t>
      </w:r>
      <w:r w:rsidR="0030298E" w:rsidRPr="00AD69E7">
        <w:rPr>
          <w:rFonts w:ascii="Tahoma" w:hAnsi="Tahoma" w:cs="Tahoma"/>
          <w:sz w:val="18"/>
          <w:szCs w:val="18"/>
          <w:lang w:val="el-GR"/>
        </w:rPr>
        <w:t>)</w:t>
      </w:r>
      <w:r w:rsidR="00DA4344" w:rsidRPr="00AD69E7">
        <w:rPr>
          <w:rFonts w:ascii="Tahoma" w:hAnsi="Tahoma" w:cs="Tahoma"/>
          <w:sz w:val="18"/>
          <w:szCs w:val="18"/>
          <w:vertAlign w:val="superscript"/>
          <w:lang w:val="el-GR"/>
        </w:rPr>
        <w:footnoteReference w:id="2"/>
      </w:r>
      <w:r w:rsidR="0030298E" w:rsidRPr="00AD69E7">
        <w:rPr>
          <w:rFonts w:ascii="Tahoma" w:hAnsi="Tahoma" w:cs="Tahoma"/>
          <w:sz w:val="18"/>
          <w:szCs w:val="18"/>
          <w:lang w:val="el-GR"/>
        </w:rPr>
        <w:t>.</w:t>
      </w:r>
      <w:r w:rsidR="00DA4344" w:rsidRPr="00AD69E7">
        <w:rPr>
          <w:rFonts w:ascii="Tahoma" w:hAnsi="Tahoma" w:cs="Tahoma"/>
          <w:sz w:val="18"/>
          <w:szCs w:val="18"/>
          <w:vertAlign w:val="superscript"/>
          <w:lang w:val="el-GR"/>
        </w:rPr>
        <w:t xml:space="preserve"> </w:t>
      </w:r>
    </w:p>
    <w:p w:rsidR="00DA4344" w:rsidRPr="00AD69E7" w:rsidRDefault="00DA4344" w:rsidP="00B86929">
      <w:pPr>
        <w:pStyle w:val="31"/>
        <w:spacing w:line="360" w:lineRule="auto"/>
        <w:ind w:left="567"/>
        <w:rPr>
          <w:rFonts w:ascii="Tahoma" w:hAnsi="Tahoma" w:cs="Tahoma"/>
          <w:sz w:val="18"/>
          <w:szCs w:val="18"/>
          <w:lang w:val="el-GR"/>
        </w:rPr>
      </w:pPr>
      <w:r w:rsidRPr="00AD69E7">
        <w:rPr>
          <w:rFonts w:ascii="Tahoma" w:hAnsi="Tahoma" w:cs="Tahoma"/>
          <w:sz w:val="18"/>
          <w:szCs w:val="18"/>
          <w:lang w:val="el-GR"/>
        </w:rPr>
        <w:t>Ο Προτείνων</w:t>
      </w:r>
      <w:r w:rsidR="00B01568" w:rsidRPr="00AD69E7">
        <w:rPr>
          <w:rFonts w:ascii="Tahoma" w:hAnsi="Tahoma" w:cs="Tahoma"/>
          <w:sz w:val="18"/>
          <w:szCs w:val="18"/>
          <w:lang w:val="el-GR"/>
        </w:rPr>
        <w:t xml:space="preserve"> κατά την υποβολή της Δημόσιας Πρότασης δήλωσε ότι</w:t>
      </w:r>
      <w:r w:rsidRPr="00AD69E7">
        <w:rPr>
          <w:rFonts w:ascii="Tahoma" w:hAnsi="Tahoma" w:cs="Tahoma"/>
          <w:sz w:val="18"/>
          <w:szCs w:val="18"/>
          <w:lang w:val="el-GR"/>
        </w:rPr>
        <w:t xml:space="preserve"> δεν προτίθεται να προβαίνει σε αποκτήσεις Μετοχών της Εταιρείας, μέσω του Χ.Α. ή με οποιοδήποτε άλλο τρόπο, κατά το διάστημα από τη δημοσιοποίηση της Δημόσιας Πρότασης μέχρι και τη λήξη της Περιόδου Αποδοχής της Δημόσιας Πρότασης. </w:t>
      </w:r>
    </w:p>
    <w:p w:rsidR="00DF1913" w:rsidRPr="00AD69E7" w:rsidRDefault="00DF1913" w:rsidP="00B344A1">
      <w:pPr>
        <w:numPr>
          <w:ilvl w:val="0"/>
          <w:numId w:val="9"/>
        </w:numPr>
        <w:spacing w:after="240" w:line="360" w:lineRule="auto"/>
        <w:rPr>
          <w:rFonts w:ascii="Tahoma" w:hAnsi="Tahoma" w:cs="Tahoma"/>
          <w:b/>
          <w:sz w:val="18"/>
          <w:szCs w:val="18"/>
        </w:rPr>
      </w:pPr>
      <w:r w:rsidRPr="00AD69E7">
        <w:rPr>
          <w:rFonts w:ascii="Tahoma" w:hAnsi="Tahoma" w:cs="Tahoma"/>
          <w:b/>
          <w:sz w:val="18"/>
          <w:szCs w:val="18"/>
        </w:rPr>
        <w:lastRenderedPageBreak/>
        <w:t>ΠΕΡΙΟΔΟΣ ΑΠΟΔΟΧΗΣ</w:t>
      </w:r>
    </w:p>
    <w:p w:rsidR="00BB5D95" w:rsidRPr="00AD69E7" w:rsidRDefault="002E164D" w:rsidP="00B344A1">
      <w:pPr>
        <w:spacing w:after="240" w:line="360" w:lineRule="auto"/>
        <w:ind w:left="567"/>
        <w:rPr>
          <w:rFonts w:ascii="Tahoma" w:hAnsi="Tahoma" w:cs="Tahoma"/>
          <w:sz w:val="18"/>
          <w:szCs w:val="18"/>
          <w:lang w:val="el-GR"/>
        </w:rPr>
      </w:pPr>
      <w:r w:rsidRPr="00AD69E7">
        <w:rPr>
          <w:rFonts w:ascii="Tahoma" w:hAnsi="Tahoma" w:cs="Tahoma"/>
          <w:sz w:val="18"/>
          <w:szCs w:val="18"/>
          <w:lang w:val="el-GR"/>
        </w:rPr>
        <w:t xml:space="preserve">Η περίοδος αποδοχής κατά τη διάρκεια της οποίας οι Μέτοχοι μπορούν να δηλώνουν την αποδοχή της Δημόσιας Πρότασης, </w:t>
      </w:r>
      <w:r w:rsidR="00BB5D95" w:rsidRPr="00AD69E7">
        <w:rPr>
          <w:rFonts w:ascii="Tahoma" w:hAnsi="Tahoma" w:cs="Tahoma"/>
          <w:sz w:val="18"/>
          <w:szCs w:val="18"/>
          <w:lang w:val="el-GR"/>
        </w:rPr>
        <w:t xml:space="preserve">αρχίζει στις </w:t>
      </w:r>
      <w:r w:rsidR="0093707B" w:rsidRPr="00AD69E7">
        <w:rPr>
          <w:rFonts w:ascii="Tahoma" w:hAnsi="Tahoma" w:cs="Tahoma"/>
          <w:sz w:val="18"/>
          <w:szCs w:val="18"/>
          <w:lang w:val="el-GR"/>
        </w:rPr>
        <w:t xml:space="preserve">7 </w:t>
      </w:r>
      <w:r w:rsidR="00C2408D" w:rsidRPr="00AD69E7">
        <w:rPr>
          <w:rFonts w:ascii="Tahoma" w:hAnsi="Tahoma" w:cs="Tahoma"/>
          <w:sz w:val="18"/>
          <w:szCs w:val="18"/>
          <w:lang w:val="el-GR"/>
        </w:rPr>
        <w:t>Α</w:t>
      </w:r>
      <w:r w:rsidR="00C34A39" w:rsidRPr="00AD69E7">
        <w:rPr>
          <w:rFonts w:ascii="Tahoma" w:hAnsi="Tahoma" w:cs="Tahoma"/>
          <w:sz w:val="18"/>
          <w:szCs w:val="18"/>
          <w:lang w:val="el-GR"/>
        </w:rPr>
        <w:t xml:space="preserve">υγούστου </w:t>
      </w:r>
      <w:r w:rsidR="00BB5D95" w:rsidRPr="00AD69E7">
        <w:rPr>
          <w:rFonts w:ascii="Tahoma" w:hAnsi="Tahoma" w:cs="Tahoma"/>
          <w:sz w:val="18"/>
          <w:szCs w:val="18"/>
          <w:lang w:val="el-GR"/>
        </w:rPr>
        <w:t>201</w:t>
      </w:r>
      <w:r w:rsidR="00C2408D" w:rsidRPr="00AD69E7">
        <w:rPr>
          <w:rFonts w:ascii="Tahoma" w:hAnsi="Tahoma" w:cs="Tahoma"/>
          <w:sz w:val="18"/>
          <w:szCs w:val="18"/>
          <w:lang w:val="el-GR"/>
        </w:rPr>
        <w:t>7</w:t>
      </w:r>
      <w:r w:rsidR="00BB5D95" w:rsidRPr="00AD69E7">
        <w:rPr>
          <w:rFonts w:ascii="Tahoma" w:hAnsi="Tahoma" w:cs="Tahoma"/>
          <w:sz w:val="18"/>
          <w:szCs w:val="18"/>
          <w:lang w:val="el-GR"/>
        </w:rPr>
        <w:t xml:space="preserve"> και ώρα 08:00 π.μ. και λήγει στις </w:t>
      </w:r>
      <w:r w:rsidR="0093707B" w:rsidRPr="00AD69E7">
        <w:rPr>
          <w:rFonts w:ascii="Tahoma" w:hAnsi="Tahoma" w:cs="Tahoma"/>
          <w:sz w:val="18"/>
          <w:szCs w:val="18"/>
          <w:lang w:val="el-GR"/>
        </w:rPr>
        <w:t>4</w:t>
      </w:r>
      <w:r w:rsidR="008466B7" w:rsidRPr="008466B7">
        <w:rPr>
          <w:rFonts w:ascii="Tahoma" w:hAnsi="Tahoma" w:cs="Tahoma"/>
          <w:sz w:val="18"/>
          <w:szCs w:val="18"/>
          <w:lang w:val="el-GR"/>
        </w:rPr>
        <w:t xml:space="preserve"> </w:t>
      </w:r>
      <w:r w:rsidR="00C34A39" w:rsidRPr="00AD69E7">
        <w:rPr>
          <w:rFonts w:ascii="Tahoma" w:hAnsi="Tahoma" w:cs="Tahoma"/>
          <w:sz w:val="18"/>
          <w:szCs w:val="18"/>
          <w:lang w:val="el-GR"/>
        </w:rPr>
        <w:t xml:space="preserve">Σεπτεμβρίου </w:t>
      </w:r>
      <w:r w:rsidR="00BB5D95" w:rsidRPr="00AD69E7">
        <w:rPr>
          <w:rFonts w:ascii="Tahoma" w:hAnsi="Tahoma" w:cs="Tahoma"/>
          <w:sz w:val="18"/>
          <w:szCs w:val="18"/>
          <w:lang w:val="el-GR"/>
        </w:rPr>
        <w:t>201</w:t>
      </w:r>
      <w:r w:rsidR="00C2408D" w:rsidRPr="00AD69E7">
        <w:rPr>
          <w:rFonts w:ascii="Tahoma" w:hAnsi="Tahoma" w:cs="Tahoma"/>
          <w:sz w:val="18"/>
          <w:szCs w:val="18"/>
          <w:lang w:val="el-GR"/>
        </w:rPr>
        <w:t>7</w:t>
      </w:r>
      <w:r w:rsidR="00BB5D95" w:rsidRPr="00AD69E7">
        <w:rPr>
          <w:rFonts w:ascii="Tahoma" w:hAnsi="Tahoma" w:cs="Tahoma"/>
          <w:sz w:val="18"/>
          <w:szCs w:val="18"/>
          <w:lang w:val="el-GR"/>
        </w:rPr>
        <w:t xml:space="preserve"> με το τέλος του ωραρίου λειτουργίας των τραπεζών που λειτουργούν στην Ελλάδα, δηλαδή διαρκεί συνολικά τέσσερις (4) εβδομάδες</w:t>
      </w:r>
      <w:r w:rsidR="00393461" w:rsidRPr="00AD69E7">
        <w:rPr>
          <w:rFonts w:ascii="Tahoma" w:hAnsi="Tahoma" w:cs="Tahoma"/>
          <w:sz w:val="18"/>
          <w:szCs w:val="18"/>
          <w:lang w:val="el-GR"/>
        </w:rPr>
        <w:t xml:space="preserve"> (η </w:t>
      </w:r>
      <w:r w:rsidR="00393461" w:rsidRPr="00AD69E7">
        <w:rPr>
          <w:rFonts w:ascii="Tahoma" w:hAnsi="Tahoma" w:cs="Tahoma"/>
          <w:b/>
          <w:sz w:val="18"/>
          <w:szCs w:val="18"/>
          <w:lang w:val="el-GR"/>
        </w:rPr>
        <w:t>«Περίοδος Αποδοχής»</w:t>
      </w:r>
      <w:r w:rsidR="00393461" w:rsidRPr="00AD69E7">
        <w:rPr>
          <w:rFonts w:ascii="Tahoma" w:hAnsi="Tahoma" w:cs="Tahoma"/>
          <w:sz w:val="18"/>
          <w:szCs w:val="18"/>
          <w:lang w:val="el-GR"/>
        </w:rPr>
        <w:t>)</w:t>
      </w:r>
      <w:r w:rsidR="00BB5D95" w:rsidRPr="00AD69E7">
        <w:rPr>
          <w:rFonts w:ascii="Tahoma" w:hAnsi="Tahoma" w:cs="Tahoma"/>
          <w:sz w:val="18"/>
          <w:szCs w:val="18"/>
          <w:lang w:val="el-GR"/>
        </w:rPr>
        <w:t>.</w:t>
      </w:r>
    </w:p>
    <w:p w:rsidR="00DF1913" w:rsidRPr="00AD69E7" w:rsidRDefault="00DF1913" w:rsidP="00B344A1">
      <w:pPr>
        <w:numPr>
          <w:ilvl w:val="0"/>
          <w:numId w:val="9"/>
        </w:numPr>
        <w:spacing w:after="240" w:line="360" w:lineRule="auto"/>
        <w:rPr>
          <w:rFonts w:ascii="Tahoma" w:hAnsi="Tahoma" w:cs="Tahoma"/>
          <w:sz w:val="18"/>
          <w:szCs w:val="18"/>
          <w:lang w:val="el-GR"/>
        </w:rPr>
      </w:pPr>
      <w:r w:rsidRPr="00AD69E7">
        <w:rPr>
          <w:rFonts w:ascii="Tahoma" w:hAnsi="Tahoma" w:cs="Tahoma"/>
          <w:b/>
          <w:sz w:val="18"/>
          <w:szCs w:val="18"/>
        </w:rPr>
        <w:t>ΠΡΟΣΦΕΡΟΜΕΝΟ ΑΝΤΑΛΛΑΓΜΑ</w:t>
      </w:r>
    </w:p>
    <w:p w:rsidR="00B71BD9" w:rsidRPr="00AD69E7" w:rsidRDefault="00B71BD9" w:rsidP="00B71BD9">
      <w:pPr>
        <w:suppressAutoHyphens/>
        <w:spacing w:after="240" w:line="360" w:lineRule="auto"/>
        <w:ind w:left="567"/>
        <w:rPr>
          <w:rFonts w:ascii="Tahoma" w:hAnsi="Tahoma" w:cs="Tahoma"/>
          <w:sz w:val="18"/>
          <w:szCs w:val="18"/>
          <w:lang w:val="el-GR"/>
        </w:rPr>
      </w:pPr>
      <w:r w:rsidRPr="00AD69E7">
        <w:rPr>
          <w:rFonts w:ascii="Tahoma" w:hAnsi="Tahoma" w:cs="Tahoma"/>
          <w:sz w:val="18"/>
          <w:szCs w:val="18"/>
          <w:lang w:val="el-GR"/>
        </w:rPr>
        <w:t>Σύμφωνα με το άρθρο 9 του Νόμου, ο Προτείνων προσφέρει στους Μετόχους που θα αποδεχθούν εγκύρως τη Δημόσια Πρόταση (</w:t>
      </w:r>
      <w:r w:rsidR="00ED72E7" w:rsidRPr="00AD69E7">
        <w:rPr>
          <w:rFonts w:ascii="Tahoma" w:hAnsi="Tahoma" w:cs="Tahoma"/>
          <w:sz w:val="18"/>
          <w:szCs w:val="18"/>
          <w:lang w:val="el-GR"/>
        </w:rPr>
        <w:t xml:space="preserve">οι </w:t>
      </w:r>
      <w:r w:rsidRPr="00AD69E7">
        <w:rPr>
          <w:rFonts w:ascii="Tahoma" w:hAnsi="Tahoma" w:cs="Tahoma"/>
          <w:b/>
          <w:sz w:val="18"/>
          <w:szCs w:val="18"/>
          <w:lang w:val="el-GR"/>
        </w:rPr>
        <w:t>«Αποδεχόμενοι Μέτοχοι»</w:t>
      </w:r>
      <w:r w:rsidR="00C34A39" w:rsidRPr="00AD69E7">
        <w:rPr>
          <w:rFonts w:ascii="Tahoma" w:hAnsi="Tahoma" w:cs="Tahoma"/>
          <w:sz w:val="18"/>
          <w:szCs w:val="18"/>
          <w:lang w:val="el-GR"/>
        </w:rPr>
        <w:t>) ποσό €8</w:t>
      </w:r>
      <w:r w:rsidRPr="00AD69E7">
        <w:rPr>
          <w:rFonts w:ascii="Tahoma" w:hAnsi="Tahoma" w:cs="Tahoma"/>
          <w:sz w:val="18"/>
          <w:szCs w:val="18"/>
          <w:lang w:val="el-GR"/>
        </w:rPr>
        <w:t>,</w:t>
      </w:r>
      <w:r w:rsidR="00C34A39" w:rsidRPr="00AD69E7">
        <w:rPr>
          <w:rFonts w:ascii="Tahoma" w:hAnsi="Tahoma" w:cs="Tahoma"/>
          <w:sz w:val="18"/>
          <w:szCs w:val="18"/>
          <w:lang w:val="el-GR"/>
        </w:rPr>
        <w:t>8</w:t>
      </w:r>
      <w:r w:rsidRPr="00AD69E7">
        <w:rPr>
          <w:rFonts w:ascii="Tahoma" w:hAnsi="Tahoma" w:cs="Tahoma"/>
          <w:sz w:val="18"/>
          <w:szCs w:val="18"/>
          <w:lang w:val="el-GR"/>
        </w:rPr>
        <w:t xml:space="preserve">0 τοις μετρητοίς </w:t>
      </w:r>
      <w:r w:rsidR="00AB2C8A" w:rsidRPr="00AD69E7">
        <w:rPr>
          <w:rFonts w:ascii="Tahoma" w:hAnsi="Tahoma" w:cs="Tahoma"/>
          <w:sz w:val="18"/>
          <w:szCs w:val="18"/>
          <w:lang w:val="el-GR"/>
        </w:rPr>
        <w:t xml:space="preserve">(το </w:t>
      </w:r>
      <w:r w:rsidR="00AB2C8A" w:rsidRPr="00AD69E7">
        <w:rPr>
          <w:rFonts w:ascii="Tahoma" w:hAnsi="Tahoma" w:cs="Tahoma"/>
          <w:b/>
          <w:sz w:val="18"/>
          <w:szCs w:val="18"/>
          <w:lang w:val="el-GR"/>
        </w:rPr>
        <w:t>«Προσφερόμενο Αντάλλαγμα»</w:t>
      </w:r>
      <w:r w:rsidR="00AB2C8A" w:rsidRPr="00AD69E7">
        <w:rPr>
          <w:rFonts w:ascii="Tahoma" w:hAnsi="Tahoma" w:cs="Tahoma"/>
          <w:sz w:val="18"/>
          <w:szCs w:val="18"/>
          <w:lang w:val="el-GR"/>
        </w:rPr>
        <w:t xml:space="preserve">) </w:t>
      </w:r>
      <w:r w:rsidRPr="00AD69E7">
        <w:rPr>
          <w:rFonts w:ascii="Tahoma" w:hAnsi="Tahoma" w:cs="Tahoma"/>
          <w:sz w:val="18"/>
          <w:szCs w:val="18"/>
          <w:lang w:val="el-GR"/>
        </w:rPr>
        <w:t xml:space="preserve">για κάθε Μετοχή για την οποία η Δημόσια Πρόταση γίνεται νομίμως και εγκύρως αποδεκτή. </w:t>
      </w:r>
    </w:p>
    <w:p w:rsidR="00BB5D95" w:rsidRPr="00AD69E7" w:rsidRDefault="00B71BD9" w:rsidP="00B344A1">
      <w:pPr>
        <w:suppressAutoHyphens/>
        <w:spacing w:after="240" w:line="360" w:lineRule="auto"/>
        <w:ind w:left="567"/>
        <w:rPr>
          <w:rFonts w:ascii="Tahoma" w:hAnsi="Tahoma" w:cs="Tahoma"/>
          <w:sz w:val="18"/>
          <w:szCs w:val="18"/>
          <w:lang w:val="el-GR"/>
        </w:rPr>
      </w:pPr>
      <w:r w:rsidRPr="00AD69E7">
        <w:rPr>
          <w:rFonts w:ascii="Tahoma" w:hAnsi="Tahoma" w:cs="Tahoma"/>
          <w:sz w:val="18"/>
          <w:szCs w:val="18"/>
          <w:lang w:val="el-GR"/>
        </w:rPr>
        <w:t>Α</w:t>
      </w:r>
      <w:r w:rsidR="00BB5D95" w:rsidRPr="00AD69E7">
        <w:rPr>
          <w:rFonts w:ascii="Tahoma" w:hAnsi="Tahoma" w:cs="Tahoma"/>
          <w:sz w:val="18"/>
          <w:szCs w:val="18"/>
          <w:lang w:val="el-GR"/>
        </w:rPr>
        <w:t xml:space="preserve">πό το καταβλητέο προς τους Αποδεχόμενους Μετόχους Προσφερόμενο Αντάλλαγμα, θα αφαιρεθούν, τα προβλεπόμενα στον Κανονισμό Εκκαθάρισης δικαιώματα εκκαθάρισης της εξωχρηματιστηριακής μεταβίβασης των Μετοχών υπέρ της Ε.Χ.Α.Ε., σήμερα ανερχόμενα σε 0,08% επί της αξίας μεταβίβασης η οποία υπολογίζεται ως το γινόμενο του αριθμού των Μεταβιβαζομένων Μετοχών επί (Χ) τη μεγαλύτερη από τις εξής τιμές: του Προσφερόμενου Ανταλλάγματος και της τιμής κλεισίματος της Μετοχής στο Χ.Α. την προηγούμενη εργάσιμη ημέρα της υποβολής των απαραίτητων εγγράφων στην E.X.A.E. και με ελάχιστη χρέωση ποσού ίσου με το μικρότερο μεταξύ των €20 και του 20% επί της αξίας μεταβίβασης για κάθε Αποδεχόμενο Μέτοχο. Επίσης, σημειώνεται ότι από το καταβλητέο προς τους Αποδεχόμενους Μετόχους Προσφερόμενο </w:t>
      </w:r>
      <w:r w:rsidR="004E5940" w:rsidRPr="00AD69E7">
        <w:rPr>
          <w:rFonts w:ascii="Tahoma" w:hAnsi="Tahoma" w:cs="Tahoma"/>
          <w:sz w:val="18"/>
          <w:szCs w:val="18"/>
          <w:lang w:val="el-GR"/>
        </w:rPr>
        <w:t xml:space="preserve">Αντάλλαγμα </w:t>
      </w:r>
      <w:r w:rsidR="00BB5D95" w:rsidRPr="00AD69E7">
        <w:rPr>
          <w:rFonts w:ascii="Tahoma" w:hAnsi="Tahoma" w:cs="Tahoma"/>
          <w:sz w:val="18"/>
          <w:szCs w:val="18"/>
          <w:lang w:val="el-GR"/>
        </w:rPr>
        <w:t>θα αφαιρεθεί το ποσό που αναλογεί στο φόρο εξωχρηματιστηριακής μεταβίβασης, ο οποίος σήμερα ανέρχεται σε 0,20% και υπολογίζεται επί της αξίας της εξωχρηματιστηριακής συναλλαγής για τη μεταβίβαση των μεταβιβαζόμενων μετοχών στον Προτείνοντα. Κατά συνέπεια, οι Αποδεχόμενοι Μέτοχοι θα λάβουν το συνολικό ποσό του Προσφερόμενου Ανταλλάγματος αφού αφαιρεθούν τα δικαιώματα εκκαθάρισης και ο προαναφερόμενος φόρος.</w:t>
      </w:r>
    </w:p>
    <w:p w:rsidR="00B344A1" w:rsidRPr="00AD69E7" w:rsidRDefault="00B344A1" w:rsidP="00B344A1">
      <w:pPr>
        <w:numPr>
          <w:ilvl w:val="0"/>
          <w:numId w:val="9"/>
        </w:numPr>
        <w:spacing w:after="240" w:line="360" w:lineRule="auto"/>
        <w:rPr>
          <w:rFonts w:ascii="Tahoma" w:hAnsi="Tahoma" w:cs="Tahoma"/>
          <w:b/>
          <w:sz w:val="18"/>
          <w:szCs w:val="18"/>
          <w:lang w:val="el-GR"/>
        </w:rPr>
      </w:pPr>
      <w:r w:rsidRPr="00AD69E7">
        <w:rPr>
          <w:rFonts w:ascii="Tahoma" w:hAnsi="Tahoma" w:cs="Tahoma"/>
          <w:b/>
          <w:sz w:val="18"/>
          <w:szCs w:val="18"/>
          <w:lang w:val="el-GR"/>
        </w:rPr>
        <w:t xml:space="preserve">ΔΙΑΔΙΚΑΣΙΑ ΑΠΟΔΟΧΗΣ ΤΗΣ ΔΗΜΟΣΙΑΣ ΠΡΟΤΑΣΗΣ </w:t>
      </w:r>
    </w:p>
    <w:p w:rsidR="00B344A1" w:rsidRPr="00AD69E7" w:rsidRDefault="00B344A1" w:rsidP="00B344A1">
      <w:pPr>
        <w:spacing w:after="240" w:line="360" w:lineRule="auto"/>
        <w:ind w:left="567"/>
        <w:rPr>
          <w:rFonts w:ascii="Tahoma" w:hAnsi="Tahoma" w:cs="Tahoma"/>
          <w:sz w:val="18"/>
          <w:szCs w:val="18"/>
          <w:lang w:val="el-GR"/>
        </w:rPr>
      </w:pPr>
      <w:r w:rsidRPr="00AD69E7">
        <w:rPr>
          <w:rFonts w:ascii="Tahoma" w:hAnsi="Tahoma" w:cs="Tahoma"/>
          <w:sz w:val="18"/>
          <w:szCs w:val="18"/>
          <w:lang w:val="el-GR"/>
        </w:rPr>
        <w:t xml:space="preserve">Οι Αποδεχόμενοι Μέτοχοι θα πρέπει να συμπληρώσουν και να καταθέσουν εγκύρως την ειδική δήλωση αποδοχής (η </w:t>
      </w:r>
      <w:r w:rsidRPr="00AD69E7">
        <w:rPr>
          <w:rFonts w:ascii="Tahoma" w:hAnsi="Tahoma" w:cs="Tahoma"/>
          <w:b/>
          <w:sz w:val="18"/>
          <w:szCs w:val="18"/>
          <w:lang w:val="el-GR"/>
        </w:rPr>
        <w:t>«Δήλωση Αποδοχής»</w:t>
      </w:r>
      <w:r w:rsidRPr="00AD69E7">
        <w:rPr>
          <w:rFonts w:ascii="Tahoma" w:hAnsi="Tahoma" w:cs="Tahoma"/>
          <w:sz w:val="18"/>
          <w:szCs w:val="18"/>
          <w:lang w:val="el-GR"/>
        </w:rPr>
        <w:t xml:space="preserve">) σε οποιοδήποτε υποκατάστημα της Τράπεζας Eurobank Ergasias </w:t>
      </w:r>
      <w:r w:rsidR="00FF4959" w:rsidRPr="00AD69E7">
        <w:rPr>
          <w:rFonts w:ascii="Tahoma" w:hAnsi="Tahoma" w:cs="Tahoma"/>
          <w:sz w:val="18"/>
          <w:szCs w:val="18"/>
          <w:lang w:val="en-US"/>
        </w:rPr>
        <w:t>A</w:t>
      </w:r>
      <w:r w:rsidR="00FF4959" w:rsidRPr="00AD69E7">
        <w:rPr>
          <w:rFonts w:ascii="Tahoma" w:hAnsi="Tahoma" w:cs="Tahoma"/>
          <w:sz w:val="18"/>
          <w:szCs w:val="18"/>
          <w:lang w:val="el-GR"/>
        </w:rPr>
        <w:t>.</w:t>
      </w:r>
      <w:r w:rsidR="00FF4959" w:rsidRPr="00AD69E7">
        <w:rPr>
          <w:rFonts w:ascii="Tahoma" w:hAnsi="Tahoma" w:cs="Tahoma"/>
          <w:sz w:val="18"/>
          <w:szCs w:val="18"/>
          <w:lang w:val="en-US"/>
        </w:rPr>
        <w:t>E</w:t>
      </w:r>
      <w:r w:rsidR="00FF4959" w:rsidRPr="00AD69E7">
        <w:rPr>
          <w:rFonts w:ascii="Tahoma" w:hAnsi="Tahoma" w:cs="Tahoma"/>
          <w:sz w:val="18"/>
          <w:szCs w:val="18"/>
          <w:lang w:val="el-GR"/>
        </w:rPr>
        <w:t xml:space="preserve">. </w:t>
      </w:r>
      <w:r w:rsidRPr="00AD69E7">
        <w:rPr>
          <w:rFonts w:ascii="Tahoma" w:hAnsi="Tahoma" w:cs="Tahoma"/>
          <w:sz w:val="18"/>
          <w:szCs w:val="18"/>
          <w:lang w:val="el-GR"/>
        </w:rPr>
        <w:t xml:space="preserve">στην Ελλάδα. Έντυπα των Δηλώσεων Αποδοχής θα είναι διαθέσιμα σε όλα τα ως άνω υποκαταστήματα στην Ελλάδα καθ’ όλη τη διάρκεια της Περιόδου Αποδοχής, κατά τις εργάσιμες μέρες και ώρες. </w:t>
      </w:r>
    </w:p>
    <w:p w:rsidR="00B344A1" w:rsidRPr="00AD69E7" w:rsidRDefault="00B344A1" w:rsidP="00B344A1">
      <w:pPr>
        <w:pStyle w:val="ad"/>
        <w:spacing w:line="360" w:lineRule="auto"/>
        <w:ind w:left="567"/>
        <w:rPr>
          <w:rFonts w:ascii="Tahoma" w:hAnsi="Tahoma" w:cs="Tahoma"/>
          <w:sz w:val="18"/>
          <w:szCs w:val="18"/>
          <w:lang w:val="en-US"/>
        </w:rPr>
      </w:pPr>
      <w:r w:rsidRPr="00AD69E7">
        <w:rPr>
          <w:rFonts w:ascii="Tahoma" w:hAnsi="Tahoma" w:cs="Tahoma"/>
          <w:sz w:val="18"/>
          <w:szCs w:val="18"/>
          <w:lang w:val="el-GR"/>
        </w:rPr>
        <w:t xml:space="preserve">Εναλλακτικά, Μέτοχοι της </w:t>
      </w:r>
      <w:r w:rsidR="00E816AB" w:rsidRPr="00AD69E7">
        <w:rPr>
          <w:rFonts w:ascii="Tahoma" w:hAnsi="Tahoma" w:cs="Tahoma"/>
          <w:sz w:val="18"/>
          <w:szCs w:val="18"/>
          <w:lang w:val="el-GR"/>
        </w:rPr>
        <w:t>Εταιρεία</w:t>
      </w:r>
      <w:r w:rsidRPr="00AD69E7">
        <w:rPr>
          <w:rFonts w:ascii="Tahoma" w:hAnsi="Tahoma" w:cs="Tahoma"/>
          <w:sz w:val="18"/>
          <w:szCs w:val="18"/>
          <w:lang w:val="el-GR"/>
        </w:rPr>
        <w:t>ς που επιθυμούν να αποδεχθούν τη Δημόσια Πρόταση δύνανται, κατ’ επιλογήν τους, να εξουσιοδοτήσουν το χειριστή του λογαριασμού αξιών που τηρούν στο Σύστημα Άυλων Τίτλων</w:t>
      </w:r>
      <w:r w:rsidR="004277C3" w:rsidRPr="00AD69E7">
        <w:rPr>
          <w:rFonts w:ascii="Tahoma" w:hAnsi="Tahoma" w:cs="Tahoma"/>
          <w:sz w:val="18"/>
          <w:szCs w:val="18"/>
          <w:lang w:val="el-GR"/>
        </w:rPr>
        <w:t xml:space="preserve"> (το </w:t>
      </w:r>
      <w:r w:rsidR="004277C3" w:rsidRPr="00AD69E7">
        <w:rPr>
          <w:rFonts w:ascii="Tahoma" w:hAnsi="Tahoma" w:cs="Tahoma"/>
          <w:b/>
          <w:sz w:val="18"/>
          <w:szCs w:val="18"/>
          <w:lang w:val="el-GR"/>
        </w:rPr>
        <w:t>«</w:t>
      </w:r>
      <w:r w:rsidR="008E301C" w:rsidRPr="00AD69E7">
        <w:rPr>
          <w:rFonts w:ascii="Tahoma" w:hAnsi="Tahoma" w:cs="Tahoma"/>
          <w:b/>
          <w:sz w:val="18"/>
          <w:szCs w:val="18"/>
          <w:lang w:val="el-GR"/>
        </w:rPr>
        <w:t>Σ.Α.Τ.</w:t>
      </w:r>
      <w:r w:rsidR="004277C3" w:rsidRPr="00AD69E7">
        <w:rPr>
          <w:rFonts w:ascii="Tahoma" w:hAnsi="Tahoma" w:cs="Tahoma"/>
          <w:b/>
          <w:sz w:val="18"/>
          <w:szCs w:val="18"/>
          <w:lang w:val="el-GR"/>
        </w:rPr>
        <w:t>»</w:t>
      </w:r>
      <w:r w:rsidR="004277C3" w:rsidRPr="00AD69E7">
        <w:rPr>
          <w:rFonts w:ascii="Tahoma" w:hAnsi="Tahoma" w:cs="Tahoma"/>
          <w:sz w:val="18"/>
          <w:szCs w:val="18"/>
          <w:lang w:val="el-GR"/>
        </w:rPr>
        <w:t>)</w:t>
      </w:r>
      <w:r w:rsidRPr="00AD69E7">
        <w:rPr>
          <w:rFonts w:ascii="Tahoma" w:hAnsi="Tahoma" w:cs="Tahoma"/>
          <w:sz w:val="18"/>
          <w:szCs w:val="18"/>
          <w:lang w:val="el-GR"/>
        </w:rPr>
        <w:t xml:space="preserve"> στο οποίο είναι καταχωρημένες οι Μετοχές τους (ο </w:t>
      </w:r>
      <w:r w:rsidRPr="00AD69E7">
        <w:rPr>
          <w:rFonts w:ascii="Tahoma" w:hAnsi="Tahoma" w:cs="Tahoma"/>
          <w:b/>
          <w:sz w:val="18"/>
          <w:szCs w:val="18"/>
          <w:lang w:val="el-GR"/>
        </w:rPr>
        <w:t>«Χειριστής»</w:t>
      </w:r>
      <w:r w:rsidRPr="00AD69E7">
        <w:rPr>
          <w:rFonts w:ascii="Tahoma" w:hAnsi="Tahoma" w:cs="Tahoma"/>
          <w:sz w:val="18"/>
          <w:szCs w:val="18"/>
          <w:lang w:val="el-GR"/>
        </w:rPr>
        <w:t>) να προβεί σε όλες τις απαραίτητες ενέργειες για την αποδοχή της Δημόσιας Πρότασης στο όνομα και για λογαριασμό τους. Η διαδικασία αποδοχής της Δημόσιας Πρότασης περιγράφεται αναλυτικά στην παράγραφο 3.2 του Πληροφοριακού Δελτίου.</w:t>
      </w:r>
      <w:r w:rsidR="005C071B" w:rsidRPr="00AD69E7">
        <w:rPr>
          <w:rFonts w:ascii="Tahoma" w:hAnsi="Tahoma" w:cs="Tahoma"/>
          <w:sz w:val="18"/>
          <w:szCs w:val="18"/>
          <w:lang w:val="el-GR"/>
        </w:rPr>
        <w:t xml:space="preserve"> </w:t>
      </w:r>
    </w:p>
    <w:p w:rsidR="007275F1" w:rsidRPr="00AD69E7" w:rsidRDefault="007275F1" w:rsidP="00B344A1">
      <w:pPr>
        <w:pStyle w:val="ad"/>
        <w:spacing w:line="360" w:lineRule="auto"/>
        <w:ind w:left="567"/>
        <w:rPr>
          <w:rFonts w:ascii="Tahoma" w:hAnsi="Tahoma" w:cs="Tahoma"/>
          <w:sz w:val="18"/>
          <w:szCs w:val="18"/>
          <w:lang w:val="en-US"/>
        </w:rPr>
      </w:pPr>
    </w:p>
    <w:p w:rsidR="007275F1" w:rsidRPr="00AD69E7" w:rsidRDefault="007275F1" w:rsidP="00B344A1">
      <w:pPr>
        <w:pStyle w:val="ad"/>
        <w:spacing w:line="360" w:lineRule="auto"/>
        <w:ind w:left="567"/>
        <w:rPr>
          <w:rFonts w:ascii="Tahoma" w:hAnsi="Tahoma" w:cs="Tahoma"/>
          <w:sz w:val="18"/>
          <w:szCs w:val="18"/>
          <w:lang w:val="en-US"/>
        </w:rPr>
      </w:pPr>
    </w:p>
    <w:p w:rsidR="007275F1" w:rsidRPr="00AD69E7" w:rsidRDefault="007275F1" w:rsidP="00B344A1">
      <w:pPr>
        <w:pStyle w:val="ad"/>
        <w:spacing w:line="360" w:lineRule="auto"/>
        <w:ind w:left="567"/>
        <w:rPr>
          <w:rFonts w:ascii="Tahoma" w:hAnsi="Tahoma" w:cs="Tahoma"/>
          <w:sz w:val="18"/>
          <w:szCs w:val="18"/>
          <w:lang w:val="en-US"/>
        </w:rPr>
      </w:pPr>
    </w:p>
    <w:p w:rsidR="00B344A1" w:rsidRPr="00AD69E7" w:rsidRDefault="00B344A1" w:rsidP="00B344A1">
      <w:pPr>
        <w:numPr>
          <w:ilvl w:val="0"/>
          <w:numId w:val="9"/>
        </w:numPr>
        <w:spacing w:after="240" w:line="360" w:lineRule="auto"/>
        <w:rPr>
          <w:rFonts w:ascii="Tahoma" w:hAnsi="Tahoma" w:cs="Tahoma"/>
          <w:b/>
          <w:sz w:val="18"/>
          <w:szCs w:val="18"/>
        </w:rPr>
      </w:pPr>
      <w:r w:rsidRPr="00AD69E7">
        <w:rPr>
          <w:rFonts w:ascii="Tahoma" w:hAnsi="Tahoma" w:cs="Tahoma"/>
          <w:b/>
          <w:sz w:val="18"/>
          <w:szCs w:val="18"/>
        </w:rPr>
        <w:lastRenderedPageBreak/>
        <w:t>ΟΛΟΚΛΗΡΩΣΗ ΤΗΣ ΔΗΜΟΣΙΑΣ ΠΡΟΤΑΣΗΣ</w:t>
      </w:r>
    </w:p>
    <w:p w:rsidR="00B344A1" w:rsidRPr="00AD69E7" w:rsidRDefault="00B344A1" w:rsidP="00EE3B2A">
      <w:pPr>
        <w:spacing w:after="240" w:line="360" w:lineRule="auto"/>
        <w:ind w:left="567"/>
        <w:rPr>
          <w:rFonts w:ascii="Tahoma" w:hAnsi="Tahoma" w:cs="Tahoma"/>
          <w:sz w:val="18"/>
          <w:szCs w:val="18"/>
          <w:lang w:val="el-GR"/>
        </w:rPr>
      </w:pPr>
      <w:r w:rsidRPr="00AD69E7">
        <w:rPr>
          <w:rFonts w:ascii="Tahoma" w:hAnsi="Tahoma" w:cs="Tahoma"/>
          <w:sz w:val="18"/>
          <w:szCs w:val="18"/>
          <w:lang w:val="el-GR"/>
        </w:rPr>
        <w:t xml:space="preserve">Το αποτέλεσμα της Δημόσιας Πρότασης θα δημοσιευθεί </w:t>
      </w:r>
      <w:r w:rsidRPr="00AD69E7">
        <w:rPr>
          <w:rFonts w:ascii="Tahoma" w:hAnsi="Tahoma" w:cs="Tahoma"/>
          <w:b/>
          <w:sz w:val="18"/>
          <w:szCs w:val="18"/>
          <w:lang w:val="el-GR"/>
        </w:rPr>
        <w:t>εντός δύο (2) εργασίμων ημερών</w:t>
      </w:r>
      <w:r w:rsidRPr="00AD69E7">
        <w:rPr>
          <w:rFonts w:ascii="Tahoma" w:hAnsi="Tahoma" w:cs="Tahoma"/>
          <w:sz w:val="18"/>
          <w:szCs w:val="18"/>
          <w:lang w:val="el-GR"/>
        </w:rPr>
        <w:t xml:space="preserve"> από τη λήξη της Περιόδου Αποδοχής σύμφωνα με το άρθρο 23 του Ν.3461/2006, ήτοι μέχρι και τ</w:t>
      </w:r>
      <w:r w:rsidR="00BE7BDE" w:rsidRPr="00AD69E7">
        <w:rPr>
          <w:rFonts w:ascii="Tahoma" w:hAnsi="Tahoma" w:cs="Tahoma"/>
          <w:sz w:val="18"/>
          <w:szCs w:val="18"/>
          <w:lang w:val="el-GR"/>
        </w:rPr>
        <w:t>ην</w:t>
      </w:r>
      <w:r w:rsidR="00953241" w:rsidRPr="00AD69E7">
        <w:rPr>
          <w:rFonts w:ascii="Tahoma" w:hAnsi="Tahoma" w:cs="Tahoma"/>
          <w:sz w:val="18"/>
          <w:szCs w:val="18"/>
          <w:lang w:val="el-GR"/>
        </w:rPr>
        <w:t xml:space="preserve"> </w:t>
      </w:r>
      <w:r w:rsidR="00375CCD">
        <w:rPr>
          <w:rFonts w:ascii="Tahoma" w:hAnsi="Tahoma" w:cs="Tahoma"/>
          <w:sz w:val="18"/>
          <w:szCs w:val="18"/>
          <w:lang w:val="el-GR"/>
        </w:rPr>
        <w:t>Τετάρτη</w:t>
      </w:r>
      <w:r w:rsidR="00375CCD" w:rsidRPr="00AD69E7">
        <w:rPr>
          <w:rFonts w:ascii="Tahoma" w:hAnsi="Tahoma" w:cs="Tahoma"/>
          <w:sz w:val="18"/>
          <w:szCs w:val="18"/>
          <w:lang w:val="el-GR"/>
        </w:rPr>
        <w:t xml:space="preserve"> </w:t>
      </w:r>
      <w:r w:rsidR="0093707B" w:rsidRPr="00AD69E7">
        <w:rPr>
          <w:rFonts w:ascii="Tahoma" w:hAnsi="Tahoma" w:cs="Tahoma"/>
          <w:sz w:val="18"/>
          <w:szCs w:val="18"/>
          <w:lang w:val="el-GR"/>
        </w:rPr>
        <w:t>6</w:t>
      </w:r>
      <w:r w:rsidR="004E5940" w:rsidRPr="00AD69E7">
        <w:rPr>
          <w:rFonts w:ascii="Tahoma" w:hAnsi="Tahoma" w:cs="Tahoma"/>
          <w:sz w:val="18"/>
          <w:szCs w:val="18"/>
          <w:lang w:val="el-GR"/>
        </w:rPr>
        <w:t xml:space="preserve"> </w:t>
      </w:r>
      <w:r w:rsidR="00C34A39" w:rsidRPr="00AD69E7">
        <w:rPr>
          <w:rFonts w:ascii="Tahoma" w:hAnsi="Tahoma" w:cs="Tahoma"/>
          <w:sz w:val="18"/>
          <w:szCs w:val="18"/>
          <w:lang w:val="el-GR"/>
        </w:rPr>
        <w:t>Σεπτεμβρίου</w:t>
      </w:r>
      <w:r w:rsidR="00BE7BDE" w:rsidRPr="00AD69E7">
        <w:rPr>
          <w:rFonts w:ascii="Tahoma" w:hAnsi="Tahoma" w:cs="Tahoma"/>
          <w:sz w:val="18"/>
          <w:szCs w:val="18"/>
          <w:lang w:val="el-GR"/>
        </w:rPr>
        <w:t xml:space="preserve"> 2017</w:t>
      </w:r>
      <w:r w:rsidRPr="00AD69E7">
        <w:rPr>
          <w:rFonts w:ascii="Tahoma" w:hAnsi="Tahoma" w:cs="Tahoma"/>
          <w:sz w:val="18"/>
          <w:szCs w:val="18"/>
          <w:lang w:val="el-GR"/>
        </w:rPr>
        <w:t>.</w:t>
      </w:r>
    </w:p>
    <w:p w:rsidR="00B344A1" w:rsidRPr="00AD69E7" w:rsidRDefault="00F435C4" w:rsidP="00EE3B2A">
      <w:pPr>
        <w:spacing w:after="240" w:line="360" w:lineRule="auto"/>
        <w:ind w:left="567"/>
        <w:rPr>
          <w:rFonts w:ascii="Tahoma" w:hAnsi="Tahoma" w:cs="Tahoma"/>
          <w:sz w:val="18"/>
          <w:szCs w:val="18"/>
          <w:lang w:val="el-GR"/>
        </w:rPr>
      </w:pPr>
      <w:r w:rsidRPr="00AD69E7">
        <w:rPr>
          <w:rFonts w:ascii="Tahoma" w:hAnsi="Tahoma" w:cs="Tahoma"/>
          <w:sz w:val="18"/>
          <w:szCs w:val="18"/>
          <w:lang w:val="el-GR"/>
        </w:rPr>
        <w:t xml:space="preserve">Η μεταβίβαση των Προσφερόμενων Μετοχών, που έχουν νομίμως και εγκύρως προσφερθεί από τους Αποδεχόμενους Μετόχους, θα πραγματοποιηθεί μέσω εξωχρηματιστηριακής συναλλαγής, σύμφωνα με το άρθρο 46 του </w:t>
      </w:r>
      <w:r w:rsidR="00C00DAC" w:rsidRPr="00AD69E7">
        <w:rPr>
          <w:rFonts w:ascii="Tahoma" w:hAnsi="Tahoma" w:cs="Tahoma"/>
          <w:sz w:val="18"/>
          <w:szCs w:val="18"/>
          <w:lang w:val="el-GR"/>
        </w:rPr>
        <w:t>Σ.Α.Τ</w:t>
      </w:r>
      <w:r w:rsidR="00875B79" w:rsidRPr="00AD69E7">
        <w:rPr>
          <w:rFonts w:ascii="Tahoma" w:hAnsi="Tahoma" w:cs="Tahoma"/>
          <w:sz w:val="18"/>
          <w:szCs w:val="18"/>
          <w:lang w:val="el-GR"/>
        </w:rPr>
        <w:t xml:space="preserve"> </w:t>
      </w:r>
      <w:r w:rsidRPr="00AD69E7">
        <w:rPr>
          <w:rFonts w:ascii="Tahoma" w:hAnsi="Tahoma" w:cs="Tahoma"/>
          <w:sz w:val="18"/>
          <w:szCs w:val="18"/>
          <w:lang w:val="el-GR"/>
        </w:rPr>
        <w:t xml:space="preserve">την επόμενη εργάσιμη ημέρα μετά την ημερομηνία υποβολής των απαραίτητων εγγράφων </w:t>
      </w:r>
      <w:r w:rsidR="00C74C77" w:rsidRPr="00AD69E7">
        <w:rPr>
          <w:rFonts w:ascii="Tahoma" w:hAnsi="Tahoma" w:cs="Tahoma"/>
          <w:sz w:val="18"/>
          <w:szCs w:val="18"/>
          <w:lang w:val="el-GR"/>
        </w:rPr>
        <w:t xml:space="preserve">στην </w:t>
      </w:r>
      <w:r w:rsidR="00E816AB" w:rsidRPr="00AD69E7">
        <w:rPr>
          <w:rFonts w:ascii="Tahoma" w:hAnsi="Tahoma" w:cs="Tahoma"/>
          <w:sz w:val="18"/>
          <w:szCs w:val="18"/>
          <w:lang w:val="el-GR"/>
        </w:rPr>
        <w:t>εταιρεία</w:t>
      </w:r>
      <w:r w:rsidR="00C74C77" w:rsidRPr="00AD69E7">
        <w:rPr>
          <w:rFonts w:ascii="Tahoma" w:hAnsi="Tahoma" w:cs="Tahoma"/>
          <w:sz w:val="18"/>
          <w:szCs w:val="18"/>
          <w:lang w:val="el-GR"/>
        </w:rPr>
        <w:t xml:space="preserve"> </w:t>
      </w:r>
      <w:r w:rsidR="00C74C77" w:rsidRPr="00AD69E7">
        <w:rPr>
          <w:rFonts w:ascii="Tahoma" w:hAnsi="Tahoma" w:cs="Tahoma"/>
          <w:bCs/>
          <w:sz w:val="18"/>
          <w:lang w:val="el-GR"/>
        </w:rPr>
        <w:t xml:space="preserve">«Ελληνικό Κεντρικό Αποθετήριο Τίτλων Ανώνυμη Εταιρεία» (η </w:t>
      </w:r>
      <w:r w:rsidR="00C74C77" w:rsidRPr="00AD69E7">
        <w:rPr>
          <w:rFonts w:ascii="Tahoma" w:hAnsi="Tahoma" w:cs="Tahoma"/>
          <w:b/>
          <w:bCs/>
          <w:sz w:val="18"/>
          <w:lang w:val="el-GR"/>
        </w:rPr>
        <w:t>«</w:t>
      </w:r>
      <w:r w:rsidR="00EF6733" w:rsidRPr="00AD69E7">
        <w:rPr>
          <w:rFonts w:ascii="Tahoma" w:hAnsi="Tahoma" w:cs="Tahoma"/>
          <w:b/>
          <w:sz w:val="18"/>
          <w:szCs w:val="18"/>
          <w:lang w:val="el-GR"/>
        </w:rPr>
        <w:t>ΕΛ.Κ.Α.Τ</w:t>
      </w:r>
      <w:r w:rsidR="00C74C77" w:rsidRPr="00AD69E7">
        <w:rPr>
          <w:rFonts w:ascii="Tahoma" w:hAnsi="Tahoma" w:cs="Tahoma"/>
          <w:b/>
          <w:sz w:val="18"/>
          <w:szCs w:val="18"/>
          <w:lang w:val="el-GR"/>
        </w:rPr>
        <w:t>»</w:t>
      </w:r>
      <w:r w:rsidR="00C74C77" w:rsidRPr="00AD69E7">
        <w:rPr>
          <w:rFonts w:ascii="Tahoma" w:hAnsi="Tahoma" w:cs="Tahoma"/>
          <w:sz w:val="18"/>
          <w:szCs w:val="18"/>
          <w:lang w:val="el-GR"/>
        </w:rPr>
        <w:t>)</w:t>
      </w:r>
      <w:r w:rsidRPr="00AD69E7">
        <w:rPr>
          <w:rFonts w:ascii="Tahoma" w:hAnsi="Tahoma" w:cs="Tahoma"/>
          <w:sz w:val="18"/>
          <w:szCs w:val="18"/>
          <w:lang w:val="el-GR"/>
        </w:rPr>
        <w:t>, έναντι καταβολής του Προσφερόμενου Ανταλλάγματος, η οποία (καταβολή) θα πραγματοποιηθεί όπως προβλέπεται στην ενότητα 3.5 του Πληροφοριακού Δελτίου.</w:t>
      </w:r>
    </w:p>
    <w:p w:rsidR="007F40B0" w:rsidRPr="00AD69E7" w:rsidRDefault="007F40B0" w:rsidP="00B344A1">
      <w:pPr>
        <w:spacing w:line="360" w:lineRule="auto"/>
        <w:ind w:left="567"/>
        <w:rPr>
          <w:rFonts w:ascii="Tahoma" w:hAnsi="Tahoma" w:cs="Tahoma"/>
          <w:sz w:val="18"/>
          <w:szCs w:val="18"/>
          <w:lang w:val="el-GR"/>
        </w:rPr>
      </w:pPr>
    </w:p>
    <w:p w:rsidR="008650A4" w:rsidRPr="00AD69E7" w:rsidRDefault="001A6A5A" w:rsidP="008650A4">
      <w:pPr>
        <w:numPr>
          <w:ilvl w:val="0"/>
          <w:numId w:val="9"/>
        </w:numPr>
        <w:suppressAutoHyphens/>
        <w:autoSpaceDE w:val="0"/>
        <w:autoSpaceDN w:val="0"/>
        <w:adjustRightInd w:val="0"/>
        <w:spacing w:after="240" w:line="360" w:lineRule="auto"/>
        <w:rPr>
          <w:rFonts w:ascii="Tahoma" w:hAnsi="Tahoma" w:cs="Tahoma"/>
          <w:b/>
          <w:sz w:val="18"/>
          <w:szCs w:val="18"/>
          <w:lang w:val="el-GR"/>
        </w:rPr>
      </w:pPr>
      <w:r w:rsidRPr="00AD69E7">
        <w:rPr>
          <w:rFonts w:ascii="Tahoma" w:hAnsi="Tahoma" w:cs="Tahoma"/>
          <w:b/>
          <w:sz w:val="18"/>
          <w:szCs w:val="18"/>
          <w:lang w:val="el-GR"/>
        </w:rPr>
        <w:t>ΔΙΚΑΙΩΜΑ ΕΞΑΓΟΡΑΣ, ΔΙΚΑΙΩΜΑ ΕΞΟΔΟΥ ΚΑΙ ΔΙΑΓΡΑΦΗ</w:t>
      </w:r>
      <w:r w:rsidR="008650A4" w:rsidRPr="00AD69E7">
        <w:rPr>
          <w:rFonts w:ascii="Tahoma" w:hAnsi="Tahoma" w:cs="Tahoma"/>
          <w:b/>
          <w:sz w:val="18"/>
          <w:szCs w:val="18"/>
          <w:lang w:val="el-GR"/>
        </w:rPr>
        <w:t xml:space="preserve"> ΑΠΟ</w:t>
      </w:r>
      <w:r w:rsidRPr="00AD69E7">
        <w:rPr>
          <w:rFonts w:ascii="Tahoma" w:hAnsi="Tahoma" w:cs="Tahoma"/>
          <w:b/>
          <w:sz w:val="18"/>
          <w:szCs w:val="18"/>
          <w:lang w:val="el-GR"/>
        </w:rPr>
        <w:t xml:space="preserve"> </w:t>
      </w:r>
      <w:r w:rsidR="008650A4" w:rsidRPr="00AD69E7">
        <w:rPr>
          <w:rFonts w:ascii="Tahoma" w:hAnsi="Tahoma" w:cs="Tahoma"/>
          <w:b/>
          <w:sz w:val="18"/>
          <w:szCs w:val="18"/>
          <w:lang w:val="el-GR"/>
        </w:rPr>
        <w:t>ΤΗΝ ΑΓΟΡΑ ΑΞΙΩΝ</w:t>
      </w:r>
    </w:p>
    <w:p w:rsidR="00717858" w:rsidRPr="00AD69E7" w:rsidRDefault="00717858" w:rsidP="00717858">
      <w:pPr>
        <w:autoSpaceDE w:val="0"/>
        <w:autoSpaceDN w:val="0"/>
        <w:adjustRightInd w:val="0"/>
        <w:spacing w:before="120" w:after="120" w:line="360" w:lineRule="auto"/>
        <w:ind w:left="567"/>
        <w:rPr>
          <w:rFonts w:ascii="Tahoma" w:hAnsi="Tahoma" w:cs="Tahoma"/>
          <w:sz w:val="18"/>
          <w:szCs w:val="18"/>
          <w:lang w:val="el-GR"/>
        </w:rPr>
      </w:pPr>
      <w:r w:rsidRPr="00AD69E7">
        <w:rPr>
          <w:rFonts w:ascii="Tahoma" w:hAnsi="Tahoma" w:cs="Tahoma"/>
          <w:sz w:val="18"/>
          <w:szCs w:val="18"/>
          <w:lang w:val="el-GR"/>
        </w:rPr>
        <w:t>Μετά την ολοκλήρωση της Δημόσιας Πρότασης, ο Προτείνων δεν θα επιδιώξει τη διαγραφή των Μετοχών της Εταιρείας από το Χ.Α. και δεν θα κάνει χρήση του δικαιώματος εξαγοράς του άρθρου 27 του Νόμου (squeeze-out).</w:t>
      </w:r>
    </w:p>
    <w:p w:rsidR="00717858" w:rsidRPr="00AD69E7" w:rsidRDefault="00717858" w:rsidP="00717858">
      <w:pPr>
        <w:autoSpaceDE w:val="0"/>
        <w:autoSpaceDN w:val="0"/>
        <w:adjustRightInd w:val="0"/>
        <w:spacing w:before="120" w:after="120" w:line="360" w:lineRule="auto"/>
        <w:ind w:left="567"/>
        <w:rPr>
          <w:rFonts w:ascii="Tahoma" w:hAnsi="Tahoma" w:cs="Tahoma"/>
          <w:sz w:val="18"/>
          <w:szCs w:val="18"/>
          <w:lang w:val="el-GR"/>
        </w:rPr>
      </w:pPr>
      <w:r w:rsidRPr="00AD69E7">
        <w:rPr>
          <w:rFonts w:ascii="Tahoma" w:hAnsi="Tahoma" w:cs="Tahoma"/>
          <w:sz w:val="18"/>
          <w:szCs w:val="18"/>
          <w:lang w:val="el-GR"/>
        </w:rPr>
        <w:t>Εφόσον μετά την ολοκλήρωση της Δημόσιας Πρότασης, ο Προτείνων, κατέχει άμεσα ή έμμεσα μέσω των θυγατρικών του, συνολικά Μετοχές που αντιστοιχούν σε ποσοστό ίσο με τουλάχιστον 90% του συνόλου των δικαιωμάτων ψήφου της Εταιρείας, ο Προτείνων συμμορφούμενος με το άρθρο 28 του Νόμου, θα αναλάβει, για χρονική περίοδο τριών (3) μηνών από τη δημοσίευση των αποτελεσμάτων της Δημόσιας Πρότασης, να αποκτά χρηματιστηριακά, τοις μετρητοίς, σε τιμή ίση προς το Προσφερόμενο Αντάλλαγμα, όλες τις Μετοχές που θα του προσφερθούν (το «Δικαίωμα Εξόδου»). Ταυτόχρονα, με τη δημοσίευση των αποτελεσμάτων της Δημόσιας Πρότασης, ο Προτείνων θα δημοσιοποιήσει και το Δικαίωμα Εξόδου των Μετόχων.</w:t>
      </w:r>
    </w:p>
    <w:p w:rsidR="00717858" w:rsidRPr="00AD69E7" w:rsidRDefault="00717858" w:rsidP="00717858">
      <w:pPr>
        <w:autoSpaceDE w:val="0"/>
        <w:autoSpaceDN w:val="0"/>
        <w:adjustRightInd w:val="0"/>
        <w:spacing w:before="120" w:after="120" w:line="360" w:lineRule="auto"/>
        <w:ind w:left="567"/>
        <w:rPr>
          <w:rFonts w:ascii="Tahoma" w:hAnsi="Tahoma" w:cs="Tahoma"/>
          <w:sz w:val="18"/>
          <w:szCs w:val="18"/>
          <w:lang w:val="el-GR"/>
        </w:rPr>
      </w:pPr>
    </w:p>
    <w:p w:rsidR="00F435C4" w:rsidRPr="00AD69E7" w:rsidRDefault="00F435C4" w:rsidP="005E5488">
      <w:pPr>
        <w:suppressAutoHyphens/>
        <w:spacing w:after="240" w:line="360" w:lineRule="auto"/>
        <w:rPr>
          <w:rFonts w:ascii="Tahoma" w:hAnsi="Tahoma" w:cs="Tahoma"/>
          <w:b/>
          <w:sz w:val="18"/>
          <w:lang w:val="el-GR"/>
        </w:rPr>
      </w:pPr>
      <w:r w:rsidRPr="00AD69E7">
        <w:rPr>
          <w:rFonts w:ascii="Tahoma" w:hAnsi="Tahoma" w:cs="Tahoma"/>
          <w:b/>
          <w:sz w:val="18"/>
          <w:lang w:val="el-GR"/>
        </w:rPr>
        <w:t>ΣΗΜΕΙΩΣΕΙΣ</w:t>
      </w:r>
    </w:p>
    <w:p w:rsidR="0028795D" w:rsidRPr="00AD69E7" w:rsidRDefault="0028795D" w:rsidP="00B344A1">
      <w:pPr>
        <w:suppressAutoHyphens/>
        <w:spacing w:after="240" w:line="360" w:lineRule="auto"/>
        <w:rPr>
          <w:rFonts w:ascii="Tahoma" w:hAnsi="Tahoma" w:cs="Tahoma"/>
          <w:i/>
          <w:sz w:val="18"/>
          <w:szCs w:val="18"/>
          <w:lang w:val="el-GR"/>
        </w:rPr>
      </w:pPr>
      <w:r w:rsidRPr="00AD69E7">
        <w:rPr>
          <w:rFonts w:ascii="Tahoma" w:hAnsi="Tahoma" w:cs="Tahoma"/>
          <w:i/>
          <w:sz w:val="18"/>
          <w:szCs w:val="18"/>
          <w:lang w:val="el-GR"/>
        </w:rPr>
        <w:t xml:space="preserve">Η παρούσα </w:t>
      </w:r>
      <w:r w:rsidR="00E24DD3" w:rsidRPr="00AD69E7">
        <w:rPr>
          <w:rFonts w:ascii="Tahoma" w:hAnsi="Tahoma" w:cs="Tahoma"/>
          <w:i/>
          <w:sz w:val="18"/>
          <w:szCs w:val="18"/>
          <w:lang w:val="el-GR"/>
        </w:rPr>
        <w:t xml:space="preserve">υποχρεωτική </w:t>
      </w:r>
      <w:r w:rsidRPr="00AD69E7">
        <w:rPr>
          <w:rFonts w:ascii="Tahoma" w:hAnsi="Tahoma" w:cs="Tahoma"/>
          <w:i/>
          <w:sz w:val="18"/>
          <w:szCs w:val="18"/>
          <w:lang w:val="el-GR"/>
        </w:rPr>
        <w:t xml:space="preserve">Δημόσια Πρόταση (ως ανωτέρω ορίζεται) απευθύνεται προς όλους τους μετόχους της ελληνικής ανώνυμης </w:t>
      </w:r>
      <w:r w:rsidR="00E816AB" w:rsidRPr="00AD69E7">
        <w:rPr>
          <w:rFonts w:ascii="Tahoma" w:hAnsi="Tahoma" w:cs="Tahoma"/>
          <w:i/>
          <w:sz w:val="18"/>
          <w:szCs w:val="18"/>
          <w:lang w:val="el-GR"/>
        </w:rPr>
        <w:t>εταιρεία</w:t>
      </w:r>
      <w:r w:rsidRPr="00AD69E7">
        <w:rPr>
          <w:rFonts w:ascii="Tahoma" w:hAnsi="Tahoma" w:cs="Tahoma"/>
          <w:i/>
          <w:sz w:val="18"/>
          <w:szCs w:val="18"/>
          <w:lang w:val="el-GR"/>
        </w:rPr>
        <w:t>ς με την επωνυμία</w:t>
      </w:r>
      <w:r w:rsidR="00AD69E7">
        <w:rPr>
          <w:rFonts w:ascii="Tahoma" w:hAnsi="Tahoma" w:cs="Tahoma"/>
          <w:i/>
          <w:sz w:val="18"/>
          <w:szCs w:val="18"/>
          <w:lang w:val="el-GR"/>
        </w:rPr>
        <w:t xml:space="preserve"> </w:t>
      </w:r>
      <w:r w:rsidR="00E24DD3" w:rsidRPr="00AD69E7">
        <w:rPr>
          <w:rFonts w:ascii="Tahoma" w:hAnsi="Tahoma" w:cs="Tahoma"/>
          <w:i/>
          <w:sz w:val="18"/>
          <w:szCs w:val="18"/>
          <w:lang w:val="el-GR"/>
        </w:rPr>
        <w:t>«GRIVALIA PROPERTIES ΑΝΩΝΥΜΗ ΕΤΑΙΡΕΙΑ ΕΠΕΝΔΥΣΕΩΝ ΣΕ ΑΚΙΝΗΤΗ ΠΕΡΙΟΥΣΙΑ»</w:t>
      </w:r>
      <w:r w:rsidRPr="00AD69E7">
        <w:rPr>
          <w:rFonts w:ascii="Tahoma" w:hAnsi="Tahoma" w:cs="Tahoma"/>
          <w:i/>
          <w:sz w:val="18"/>
          <w:szCs w:val="18"/>
          <w:lang w:val="el-GR"/>
        </w:rPr>
        <w:t xml:space="preserve">, της οποίας οι μετοχές έχουν εισαχθεί και αποτελούν αντικείμενο διαπραγμάτευσης στο Χ.Α. </w:t>
      </w:r>
    </w:p>
    <w:p w:rsidR="003F73DC" w:rsidRPr="00AD69E7" w:rsidRDefault="003F73DC" w:rsidP="003F73DC">
      <w:pPr>
        <w:spacing w:line="360" w:lineRule="auto"/>
        <w:rPr>
          <w:rFonts w:ascii="Tahoma" w:hAnsi="Tahoma" w:cs="Tahoma"/>
          <w:i/>
          <w:sz w:val="18"/>
          <w:szCs w:val="18"/>
          <w:lang w:val="el-GR"/>
        </w:rPr>
      </w:pPr>
      <w:r w:rsidRPr="00AD69E7">
        <w:rPr>
          <w:rFonts w:ascii="Tahoma" w:hAnsi="Tahoma" w:cs="Tahoma"/>
          <w:i/>
          <w:sz w:val="18"/>
          <w:szCs w:val="18"/>
          <w:lang w:val="el-GR"/>
        </w:rPr>
        <w:t xml:space="preserve">Η παρούσα Δημόσια Πρόταση, δεν αποτελεί πρόταση για αγορά μετοχών και δεν απευθύνεται με κανένα τρόπο ή καθ' οιονδήποτε τύπο (έγγραφο ή άλλως πως), άμεσα ή έμμεσα, σε (νομικά ή φυσικά) πρόσωπα σε οιαδήποτε δικαιοδοσία, πλην της ελληνικής επικράτειας, όπου η διενέργεια μίας τέτοιας πρότασης ή η ταχυδρόμηση/διανομή της παρούσας ανακοίνωσης είναι παράνομη ή αποτελεί παραβίαση οποιασδήποτε εφαρμοστέας νομοθεσίας, διατάξεως ή κανονισμού ή υπόκειται σε περιορισμούς. Για το λόγο αυτό, απαγορεύεται η αποστολή, διανομή, ταχυδρόμηση ή καθ' οιονδήποτε άλλο τρόπο προώθηση αντιγράφων ή αντιτύπων του Πληροφοριακού Δελτίου και κάθε σχετικού με την παρούσα Δημόσια Πρόταση εγγράφου ή άλλου υλικού από οποιοδήποτε (φυσικό ή νομικό) πρόσωπο, προς, ή η λήψη από, τις χώρες αυτές. Ως εκ τούτου, πρόσωπα τα οποία τυχόν λάβουν το παρόν Πληροφοριακό Δελτίο ή έγγραφο σχετικό με αυτό, ή / και με τη Δημόσια Πρόταση θα πρέπει να ενημερωθούν </w:t>
      </w:r>
      <w:r w:rsidRPr="00AD69E7">
        <w:rPr>
          <w:rFonts w:ascii="Tahoma" w:hAnsi="Tahoma" w:cs="Tahoma"/>
          <w:i/>
          <w:sz w:val="18"/>
          <w:szCs w:val="18"/>
          <w:lang w:val="el-GR"/>
        </w:rPr>
        <w:lastRenderedPageBreak/>
        <w:t>προσηκόντως και να λάβουν υπόψη τους τέτοιους περιορισμούς. Ούτε ο Προτείνων, ούτε ο Σύμβουλος φέρουν οιαδήποτε ευθύνη για την παραβίαση των παραπάνω απαγορεύσεων από οιοδήποτε πρόσωπο.</w:t>
      </w:r>
    </w:p>
    <w:p w:rsidR="003F73DC" w:rsidRPr="00AD69E7" w:rsidRDefault="003F73DC" w:rsidP="003F73DC">
      <w:pPr>
        <w:spacing w:line="360" w:lineRule="auto"/>
        <w:rPr>
          <w:rFonts w:ascii="Tahoma" w:hAnsi="Tahoma" w:cs="Tahoma"/>
          <w:i/>
          <w:sz w:val="18"/>
          <w:szCs w:val="18"/>
          <w:lang w:val="el-GR"/>
        </w:rPr>
      </w:pPr>
    </w:p>
    <w:p w:rsidR="00AE4F6B" w:rsidRPr="00AD69E7" w:rsidRDefault="002B5C62" w:rsidP="00B344A1">
      <w:pPr>
        <w:suppressAutoHyphens/>
        <w:spacing w:after="240" w:line="360" w:lineRule="auto"/>
        <w:rPr>
          <w:rFonts w:ascii="Tahoma" w:hAnsi="Tahoma" w:cs="Tahoma"/>
          <w:i/>
          <w:sz w:val="18"/>
          <w:szCs w:val="18"/>
          <w:lang w:val="el-GR"/>
        </w:rPr>
      </w:pPr>
      <w:r w:rsidRPr="00AD69E7">
        <w:rPr>
          <w:rFonts w:ascii="Tahoma" w:hAnsi="Tahoma" w:cs="Tahoma"/>
          <w:i/>
          <w:sz w:val="18"/>
          <w:szCs w:val="18"/>
          <w:lang w:val="el-GR"/>
        </w:rPr>
        <w:t xml:space="preserve">Η παρούσα ανακοίνωση δεν </w:t>
      </w:r>
      <w:r w:rsidR="005C071B" w:rsidRPr="00AD69E7">
        <w:rPr>
          <w:rFonts w:ascii="Tahoma" w:hAnsi="Tahoma" w:cs="Tahoma"/>
          <w:i/>
          <w:sz w:val="18"/>
          <w:szCs w:val="18"/>
          <w:lang w:val="el-GR"/>
        </w:rPr>
        <w:t xml:space="preserve">υποκαθιστά το πλήρες κείμενο του εγκριθέντος Πληροφοριακού Δελτίου, στο οποίο οι ενδιαφερόμενοι θα πρέπει να ανατρέχουν και να αναγιγνώσκουν προσεκτικά </w:t>
      </w:r>
      <w:r w:rsidR="003F73DC" w:rsidRPr="00AD69E7">
        <w:rPr>
          <w:rFonts w:ascii="Tahoma" w:hAnsi="Tahoma" w:cs="Tahoma"/>
          <w:i/>
          <w:sz w:val="18"/>
          <w:szCs w:val="18"/>
          <w:lang w:val="el-GR"/>
        </w:rPr>
        <w:t xml:space="preserve">πριν τη λήψη οποιασδήποτε επενδυτικής απόφασης σχετικά με τη </w:t>
      </w:r>
      <w:r w:rsidRPr="00AD69E7">
        <w:rPr>
          <w:rFonts w:ascii="Tahoma" w:hAnsi="Tahoma" w:cs="Tahoma"/>
          <w:i/>
          <w:sz w:val="18"/>
          <w:szCs w:val="18"/>
          <w:lang w:val="el-GR"/>
        </w:rPr>
        <w:t>Δημόσια Πρόταση</w:t>
      </w:r>
      <w:r w:rsidR="003F73DC" w:rsidRPr="00AD69E7">
        <w:rPr>
          <w:rFonts w:ascii="Tahoma" w:hAnsi="Tahoma" w:cs="Tahoma"/>
          <w:i/>
          <w:sz w:val="18"/>
          <w:szCs w:val="18"/>
          <w:lang w:val="el-GR"/>
        </w:rPr>
        <w:t>.</w:t>
      </w:r>
      <w:r w:rsidRPr="00AD69E7">
        <w:rPr>
          <w:rFonts w:ascii="Tahoma" w:hAnsi="Tahoma" w:cs="Tahoma"/>
          <w:i/>
          <w:sz w:val="18"/>
          <w:szCs w:val="18"/>
          <w:lang w:val="el-GR"/>
        </w:rPr>
        <w:t xml:space="preserve"> </w:t>
      </w:r>
    </w:p>
    <w:sectPr w:rsidR="00AE4F6B" w:rsidRPr="00AD69E7" w:rsidSect="007B2AEC">
      <w:footerReference w:type="even" r:id="rId16"/>
      <w:footerReference w:type="default" r:id="rId17"/>
      <w:footerReference w:type="first" r:id="rId18"/>
      <w:pgSz w:w="11906" w:h="16838" w:code="9"/>
      <w:pgMar w:top="1418" w:right="1418" w:bottom="1418" w:left="1418" w:header="851" w:footer="85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2ED" w:rsidRDefault="009722ED">
      <w:r>
        <w:separator/>
      </w:r>
    </w:p>
  </w:endnote>
  <w:endnote w:type="continuationSeparator" w:id="0">
    <w:p w:rsidR="009722ED" w:rsidRDefault="009722ED">
      <w:r>
        <w:continuationSeparator/>
      </w:r>
    </w:p>
  </w:endnote>
  <w:endnote w:type="continuationNotice" w:id="1">
    <w:p w:rsidR="009722ED" w:rsidRDefault="009722E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90" w:rsidRDefault="007F4A6C" w:rsidP="001B5DA4">
    <w:pPr>
      <w:pStyle w:val="a4"/>
      <w:framePr w:wrap="around" w:vAnchor="text" w:hAnchor="margin" w:xAlign="center" w:y="1"/>
      <w:rPr>
        <w:rStyle w:val="a8"/>
      </w:rPr>
    </w:pPr>
    <w:r>
      <w:rPr>
        <w:rStyle w:val="a8"/>
      </w:rPr>
      <w:fldChar w:fldCharType="begin"/>
    </w:r>
    <w:r w:rsidR="003B0B90">
      <w:rPr>
        <w:rStyle w:val="a8"/>
      </w:rPr>
      <w:instrText xml:space="preserve">PAGE  </w:instrText>
    </w:r>
    <w:r>
      <w:rPr>
        <w:rStyle w:val="a8"/>
      </w:rPr>
      <w:fldChar w:fldCharType="end"/>
    </w:r>
  </w:p>
  <w:p w:rsidR="003B0B90" w:rsidRDefault="003B0B90">
    <w:pPr>
      <w:pStyle w:val="a4"/>
    </w:pPr>
  </w:p>
  <w:p w:rsidR="003B0B90" w:rsidRPr="00DD1994" w:rsidRDefault="007F4A6C" w:rsidP="00DD1994">
    <w:pPr>
      <w:pStyle w:val="a4"/>
      <w:jc w:val="left"/>
      <w:rPr>
        <w:rFonts w:ascii="Tahoma" w:hAnsi="Tahoma" w:cs="Tahoma"/>
        <w:smallCaps/>
        <w:noProof/>
        <w:color w:val="404040"/>
        <w:sz w:val="16"/>
      </w:rPr>
    </w:pPr>
    <w:fldSimple w:instr=" DOCPROPERTY &quot;wsPV&quot;  \* MERGEFORMAT ">
      <w:r w:rsidR="008466B7" w:rsidRPr="008466B7">
        <w:rPr>
          <w:rFonts w:ascii="Tahoma" w:hAnsi="Tahoma" w:cs="Tahoma"/>
          <w:smallCaps/>
          <w:noProof/>
          <w:color w:val="404040"/>
          <w:sz w:val="16"/>
        </w:rPr>
        <w:t xml:space="preserve">PotamitisVekris Law </w:t>
      </w:r>
      <w:r w:rsidR="008466B7">
        <w:t>Partnership Ref. Num.: 2109682.2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90" w:rsidRDefault="007F4A6C" w:rsidP="001B5DA4">
    <w:pPr>
      <w:pStyle w:val="a4"/>
      <w:framePr w:wrap="around" w:vAnchor="text" w:hAnchor="margin" w:xAlign="center" w:y="1"/>
      <w:rPr>
        <w:rStyle w:val="a8"/>
      </w:rPr>
    </w:pPr>
    <w:r>
      <w:rPr>
        <w:rStyle w:val="a8"/>
      </w:rPr>
      <w:fldChar w:fldCharType="begin"/>
    </w:r>
    <w:r w:rsidR="003B0B90">
      <w:rPr>
        <w:rStyle w:val="a8"/>
      </w:rPr>
      <w:instrText xml:space="preserve">PAGE  </w:instrText>
    </w:r>
    <w:r>
      <w:rPr>
        <w:rStyle w:val="a8"/>
      </w:rPr>
      <w:fldChar w:fldCharType="separate"/>
    </w:r>
    <w:r w:rsidR="00325A45">
      <w:rPr>
        <w:rStyle w:val="a8"/>
        <w:noProof/>
      </w:rPr>
      <w:t>1</w:t>
    </w:r>
    <w:r>
      <w:rPr>
        <w:rStyle w:val="a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90" w:rsidRPr="00DD1994" w:rsidRDefault="007F4A6C" w:rsidP="00DD1994">
    <w:pPr>
      <w:pStyle w:val="a4"/>
      <w:jc w:val="left"/>
      <w:rPr>
        <w:rFonts w:ascii="Tahoma" w:hAnsi="Tahoma" w:cs="Tahoma"/>
        <w:smallCaps/>
        <w:noProof/>
        <w:color w:val="404040"/>
        <w:sz w:val="16"/>
      </w:rPr>
    </w:pPr>
    <w:fldSimple w:instr=" DOCPROPERTY &quot;wsPV&quot;  \* MERGEFORMAT ">
      <w:r w:rsidR="008466B7" w:rsidRPr="008466B7">
        <w:rPr>
          <w:rFonts w:ascii="Tahoma" w:hAnsi="Tahoma" w:cs="Tahoma"/>
          <w:smallCaps/>
          <w:noProof/>
          <w:color w:val="404040"/>
          <w:sz w:val="16"/>
        </w:rPr>
        <w:t xml:space="preserve">PotamitisVekris Law </w:t>
      </w:r>
      <w:r w:rsidR="008466B7">
        <w:t>Partnership Ref. Num.: 2109682.2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2ED" w:rsidRDefault="009722ED">
      <w:r>
        <w:continuationSeparator/>
      </w:r>
    </w:p>
  </w:footnote>
  <w:footnote w:type="continuationSeparator" w:id="0">
    <w:p w:rsidR="009722ED" w:rsidRDefault="009722ED">
      <w:r>
        <w:continuationSeparator/>
      </w:r>
    </w:p>
  </w:footnote>
  <w:footnote w:type="continuationNotice" w:id="1">
    <w:p w:rsidR="009722ED" w:rsidRDefault="009722ED"/>
  </w:footnote>
  <w:footnote w:id="2">
    <w:p w:rsidR="00DA4344" w:rsidRPr="005C0959" w:rsidRDefault="00DA4344" w:rsidP="00DA4344">
      <w:pPr>
        <w:pStyle w:val="a6"/>
        <w:suppressAutoHyphens/>
        <w:rPr>
          <w:rFonts w:ascii="Calibri" w:hAnsi="Calibri"/>
          <w:sz w:val="18"/>
          <w:szCs w:val="18"/>
          <w:lang w:val="el-GR"/>
        </w:rPr>
      </w:pPr>
      <w:r w:rsidRPr="00B345F9">
        <w:rPr>
          <w:rStyle w:val="a5"/>
          <w:rFonts w:ascii="Calibri" w:hAnsi="Calibri"/>
          <w:sz w:val="18"/>
          <w:szCs w:val="18"/>
        </w:rPr>
        <w:footnoteRef/>
      </w:r>
      <w:r w:rsidRPr="005C0959">
        <w:rPr>
          <w:rFonts w:ascii="Calibri" w:hAnsi="Calibri"/>
          <w:sz w:val="18"/>
          <w:szCs w:val="18"/>
          <w:lang w:val="el-GR"/>
        </w:rPr>
        <w:t xml:space="preserve"> </w:t>
      </w:r>
      <w:r w:rsidRPr="007275F1">
        <w:rPr>
          <w:rFonts w:ascii="Calibri" w:hAnsi="Calibri"/>
          <w:szCs w:val="16"/>
          <w:lang w:val="el-GR"/>
        </w:rPr>
        <w:t>Σημειώνεται ότι κατά τον υπολογισμό των ποσοστών της παρούσας ανακοίνωσης δεν αφαιρούνται τα δικαιώματα ψήφου των ιδίων Μετοχών που κατέχει η Εταιρεία και οι οποίες ανέρχονται σε 4.046.489 ίδιες Μετοχές, οι οποίες αντιπροσωπεύουν ποσοστό ίσο με το 4% περίπου του καταβεβλημένου μετοχικού κεφαλαίου της Εταιρείας.</w:t>
      </w:r>
      <w:r w:rsidRPr="00843A1D">
        <w:rPr>
          <w:rFonts w:ascii="Calibri" w:hAnsi="Calibri"/>
          <w:sz w:val="18"/>
          <w:szCs w:val="18"/>
          <w:lang w:val="el-GR"/>
        </w:rPr>
        <w:t xml:space="preserve"> </w:t>
      </w:r>
      <w:r w:rsidRPr="005C0959">
        <w:rPr>
          <w:rFonts w:ascii="Calibri" w:hAnsi="Calibri"/>
          <w:sz w:val="18"/>
          <w:szCs w:val="18"/>
          <w:lang w:val="el-G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CFD"/>
    <w:multiLevelType w:val="multilevel"/>
    <w:tmpl w:val="1EF4DF66"/>
    <w:lvl w:ilvl="0">
      <w:start w:val="1"/>
      <w:numFmt w:val="decimal"/>
      <w:pStyle w:val="Schedule"/>
      <w:suff w:val="nothing"/>
      <w:lvlText w:val="Schedule %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20C4446F"/>
    <w:multiLevelType w:val="hybridMultilevel"/>
    <w:tmpl w:val="5816A45A"/>
    <w:lvl w:ilvl="0" w:tplc="31CCC5A8">
      <w:start w:val="7"/>
      <w:numFmt w:val="decimal"/>
      <w:lvlText w:val="%1"/>
      <w:lvlJc w:val="left"/>
      <w:pPr>
        <w:tabs>
          <w:tab w:val="num" w:pos="0"/>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86E4105"/>
    <w:multiLevelType w:val="multilevel"/>
    <w:tmpl w:val="730629E4"/>
    <w:lvl w:ilvl="0">
      <w:start w:val="1"/>
      <w:numFmt w:val="decimal"/>
      <w:pStyle w:val="1"/>
      <w:lvlText w:val="%1"/>
      <w:lvlJc w:val="right"/>
      <w:pPr>
        <w:tabs>
          <w:tab w:val="num" w:pos="567"/>
        </w:tabs>
        <w:ind w:left="567" w:hanging="454"/>
      </w:pPr>
    </w:lvl>
    <w:lvl w:ilvl="1">
      <w:start w:val="1"/>
      <w:numFmt w:val="decimal"/>
      <w:pStyle w:val="2"/>
      <w:lvlText w:val="%1.%2"/>
      <w:lvlJc w:val="right"/>
      <w:pPr>
        <w:tabs>
          <w:tab w:val="num" w:pos="567"/>
        </w:tabs>
        <w:ind w:left="567" w:hanging="454"/>
      </w:pPr>
    </w:lvl>
    <w:lvl w:ilvl="2">
      <w:start w:val="1"/>
      <w:numFmt w:val="decimal"/>
      <w:pStyle w:val="3"/>
      <w:lvlText w:val="%1.%2.%3"/>
      <w:lvlJc w:val="right"/>
      <w:pPr>
        <w:tabs>
          <w:tab w:val="num" w:pos="567"/>
        </w:tabs>
        <w:ind w:left="567" w:hanging="454"/>
      </w:pPr>
    </w:lvl>
    <w:lvl w:ilvl="3">
      <w:start w:val="1"/>
      <w:numFmt w:val="lowerLetter"/>
      <w:pStyle w:val="4"/>
      <w:lvlText w:val="(%4)"/>
      <w:lvlJc w:val="left"/>
      <w:pPr>
        <w:tabs>
          <w:tab w:val="num" w:pos="1276"/>
        </w:tabs>
        <w:ind w:left="1276" w:hanging="426"/>
      </w:pPr>
    </w:lvl>
    <w:lvl w:ilvl="4">
      <w:start w:val="1"/>
      <w:numFmt w:val="lowerRoman"/>
      <w:pStyle w:val="5"/>
      <w:lvlText w:val="(%5)"/>
      <w:lvlJc w:val="left"/>
      <w:pPr>
        <w:tabs>
          <w:tab w:val="num" w:pos="1843"/>
        </w:tabs>
        <w:ind w:left="1843" w:hanging="567"/>
      </w:pPr>
    </w:lvl>
    <w:lvl w:ilvl="5">
      <w:start w:val="1"/>
      <w:numFmt w:val="upperLetter"/>
      <w:pStyle w:val="6"/>
      <w:lvlText w:val="(%6)"/>
      <w:lvlJc w:val="left"/>
      <w:pPr>
        <w:tabs>
          <w:tab w:val="num" w:pos="2409"/>
        </w:tabs>
        <w:ind w:left="2409" w:hanging="566"/>
      </w:pPr>
    </w:lvl>
    <w:lvl w:ilvl="6">
      <w:start w:val="1"/>
      <w:numFmt w:val="decimal"/>
      <w:pStyle w:val="7"/>
      <w:lvlText w:val="%7)"/>
      <w:lvlJc w:val="left"/>
      <w:pPr>
        <w:tabs>
          <w:tab w:val="num" w:pos="2976"/>
        </w:tabs>
        <w:ind w:left="2976" w:hanging="567"/>
      </w:pPr>
    </w:lvl>
    <w:lvl w:ilvl="7">
      <w:start w:val="1"/>
      <w:numFmt w:val="lowerLetter"/>
      <w:pStyle w:val="8"/>
      <w:lvlText w:val="%8)"/>
      <w:lvlJc w:val="left"/>
      <w:pPr>
        <w:tabs>
          <w:tab w:val="num" w:pos="3543"/>
        </w:tabs>
        <w:ind w:left="3543" w:hanging="567"/>
      </w:pPr>
    </w:lvl>
    <w:lvl w:ilvl="8">
      <w:start w:val="1"/>
      <w:numFmt w:val="lowerRoman"/>
      <w:pStyle w:val="9"/>
      <w:lvlText w:val="%9)"/>
      <w:lvlJc w:val="left"/>
      <w:pPr>
        <w:tabs>
          <w:tab w:val="num" w:pos="4110"/>
        </w:tabs>
        <w:ind w:left="4110" w:hanging="567"/>
      </w:pPr>
    </w:lvl>
  </w:abstractNum>
  <w:abstractNum w:abstractNumId="3">
    <w:nsid w:val="400F51A5"/>
    <w:multiLevelType w:val="hybridMultilevel"/>
    <w:tmpl w:val="1406904A"/>
    <w:lvl w:ilvl="0" w:tplc="E6D2C934">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nsid w:val="57AF21D0"/>
    <w:multiLevelType w:val="hybridMultilevel"/>
    <w:tmpl w:val="C4AEDADE"/>
    <w:lvl w:ilvl="0" w:tplc="433CCF0E">
      <w:start w:val="9"/>
      <w:numFmt w:val="decimal"/>
      <w:lvlText w:val="%1"/>
      <w:lvlJc w:val="left"/>
      <w:pPr>
        <w:tabs>
          <w:tab w:val="num" w:pos="0"/>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8D80E44"/>
    <w:multiLevelType w:val="hybridMultilevel"/>
    <w:tmpl w:val="F860340C"/>
    <w:lvl w:ilvl="0" w:tplc="D14CEDCA">
      <w:start w:val="1"/>
      <w:numFmt w:val="lowerRoman"/>
      <w:lvlText w:val="(%1)"/>
      <w:lvlJc w:val="left"/>
      <w:pPr>
        <w:ind w:left="1287" w:hanging="72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
    <w:nsid w:val="72241CCB"/>
    <w:multiLevelType w:val="hybridMultilevel"/>
    <w:tmpl w:val="BB10C6D6"/>
    <w:lvl w:ilvl="0" w:tplc="26AE67B2">
      <w:start w:val="1"/>
      <w:numFmt w:val="decimal"/>
      <w:lvlText w:val="%1."/>
      <w:lvlJc w:val="left"/>
      <w:pPr>
        <w:tabs>
          <w:tab w:val="num" w:pos="720"/>
        </w:tabs>
        <w:ind w:left="720" w:hanging="72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7">
    <w:nsid w:val="743E3648"/>
    <w:multiLevelType w:val="multilevel"/>
    <w:tmpl w:val="476C4B1C"/>
    <w:lvl w:ilvl="0">
      <w:start w:val="1"/>
      <w:numFmt w:val="decimal"/>
      <w:lvlText w:val="%1"/>
      <w:legacy w:legacy="1" w:legacySpace="120" w:legacyIndent="567"/>
      <w:lvlJc w:val="left"/>
      <w:pPr>
        <w:ind w:left="567" w:hanging="567"/>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
    <w:nsid w:val="7D0F0B7F"/>
    <w:multiLevelType w:val="singleLevel"/>
    <w:tmpl w:val="00000000"/>
    <w:lvl w:ilvl="0">
      <w:start w:val="1"/>
      <w:numFmt w:val="decimal"/>
      <w:lvlText w:val="%1"/>
      <w:legacy w:legacy="1" w:legacySpace="120" w:legacyIndent="567"/>
      <w:lvlJc w:val="left"/>
      <w:pPr>
        <w:ind w:left="567" w:hanging="567"/>
      </w:pPr>
    </w:lvl>
  </w:abstractNum>
  <w:num w:numId="1">
    <w:abstractNumId w:val="0"/>
  </w:num>
  <w:num w:numId="2">
    <w:abstractNumId w:val="2"/>
  </w:num>
  <w:num w:numId="3">
    <w:abstractNumId w:val="8"/>
  </w:num>
  <w:num w:numId="4">
    <w:abstractNumId w:val="4"/>
  </w:num>
  <w:num w:numId="5">
    <w:abstractNumId w:val="7"/>
  </w:num>
  <w:num w:numId="6">
    <w:abstractNumId w:val="1"/>
  </w:num>
  <w:num w:numId="7">
    <w:abstractNumId w:val="5"/>
  </w:num>
  <w:num w:numId="8">
    <w:abstractNumId w:val="6"/>
  </w:num>
  <w:num w:numId="9">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B530C4"/>
    <w:rsid w:val="00000455"/>
    <w:rsid w:val="00000EA4"/>
    <w:rsid w:val="00001252"/>
    <w:rsid w:val="00001370"/>
    <w:rsid w:val="00001F08"/>
    <w:rsid w:val="0000297C"/>
    <w:rsid w:val="0000432D"/>
    <w:rsid w:val="00005A9E"/>
    <w:rsid w:val="00012BD3"/>
    <w:rsid w:val="00014CF7"/>
    <w:rsid w:val="000155F7"/>
    <w:rsid w:val="00015805"/>
    <w:rsid w:val="0001580E"/>
    <w:rsid w:val="000169A9"/>
    <w:rsid w:val="00021DBD"/>
    <w:rsid w:val="00023576"/>
    <w:rsid w:val="000245AA"/>
    <w:rsid w:val="000249A7"/>
    <w:rsid w:val="00025265"/>
    <w:rsid w:val="00025A42"/>
    <w:rsid w:val="00025C01"/>
    <w:rsid w:val="00025DE6"/>
    <w:rsid w:val="00025EB6"/>
    <w:rsid w:val="00027014"/>
    <w:rsid w:val="000300E1"/>
    <w:rsid w:val="00030306"/>
    <w:rsid w:val="00034083"/>
    <w:rsid w:val="00034B34"/>
    <w:rsid w:val="0003529C"/>
    <w:rsid w:val="00036603"/>
    <w:rsid w:val="000402D3"/>
    <w:rsid w:val="00040E4A"/>
    <w:rsid w:val="0004179B"/>
    <w:rsid w:val="000420AF"/>
    <w:rsid w:val="0004381A"/>
    <w:rsid w:val="00043DB5"/>
    <w:rsid w:val="000452A5"/>
    <w:rsid w:val="000468A4"/>
    <w:rsid w:val="00046FB7"/>
    <w:rsid w:val="00047D67"/>
    <w:rsid w:val="0005061B"/>
    <w:rsid w:val="0005189B"/>
    <w:rsid w:val="00053577"/>
    <w:rsid w:val="00053864"/>
    <w:rsid w:val="00054D68"/>
    <w:rsid w:val="00056672"/>
    <w:rsid w:val="000572D4"/>
    <w:rsid w:val="00060D09"/>
    <w:rsid w:val="0006229A"/>
    <w:rsid w:val="000634C1"/>
    <w:rsid w:val="00064251"/>
    <w:rsid w:val="0006530D"/>
    <w:rsid w:val="00065B32"/>
    <w:rsid w:val="00065F04"/>
    <w:rsid w:val="00066204"/>
    <w:rsid w:val="00067ACE"/>
    <w:rsid w:val="00067EAE"/>
    <w:rsid w:val="000706E6"/>
    <w:rsid w:val="00070DF3"/>
    <w:rsid w:val="0007122F"/>
    <w:rsid w:val="000729AD"/>
    <w:rsid w:val="00072BC6"/>
    <w:rsid w:val="000745AE"/>
    <w:rsid w:val="000746E0"/>
    <w:rsid w:val="00074BE4"/>
    <w:rsid w:val="0007538F"/>
    <w:rsid w:val="000774EC"/>
    <w:rsid w:val="0008081F"/>
    <w:rsid w:val="00080872"/>
    <w:rsid w:val="000828A4"/>
    <w:rsid w:val="00082D4F"/>
    <w:rsid w:val="00085419"/>
    <w:rsid w:val="00085E88"/>
    <w:rsid w:val="00086951"/>
    <w:rsid w:val="00086EAD"/>
    <w:rsid w:val="00091C0D"/>
    <w:rsid w:val="00092EC4"/>
    <w:rsid w:val="0009471F"/>
    <w:rsid w:val="00095172"/>
    <w:rsid w:val="00096024"/>
    <w:rsid w:val="000965CD"/>
    <w:rsid w:val="00096B00"/>
    <w:rsid w:val="0009705A"/>
    <w:rsid w:val="00097FDF"/>
    <w:rsid w:val="000A29F9"/>
    <w:rsid w:val="000A2CC1"/>
    <w:rsid w:val="000A343F"/>
    <w:rsid w:val="000A3C3B"/>
    <w:rsid w:val="000A448E"/>
    <w:rsid w:val="000A53D2"/>
    <w:rsid w:val="000A55A2"/>
    <w:rsid w:val="000A732F"/>
    <w:rsid w:val="000A7DE9"/>
    <w:rsid w:val="000B2AC2"/>
    <w:rsid w:val="000B2F58"/>
    <w:rsid w:val="000B3481"/>
    <w:rsid w:val="000B4B61"/>
    <w:rsid w:val="000B4B8D"/>
    <w:rsid w:val="000B6709"/>
    <w:rsid w:val="000B7B8F"/>
    <w:rsid w:val="000C17F6"/>
    <w:rsid w:val="000C1BE3"/>
    <w:rsid w:val="000C2D9E"/>
    <w:rsid w:val="000C3B70"/>
    <w:rsid w:val="000C3DEA"/>
    <w:rsid w:val="000C49FC"/>
    <w:rsid w:val="000C5118"/>
    <w:rsid w:val="000C66CD"/>
    <w:rsid w:val="000C6DE4"/>
    <w:rsid w:val="000C7893"/>
    <w:rsid w:val="000D0BB0"/>
    <w:rsid w:val="000D2EDB"/>
    <w:rsid w:val="000D3B33"/>
    <w:rsid w:val="000D5004"/>
    <w:rsid w:val="000D6BF4"/>
    <w:rsid w:val="000D7476"/>
    <w:rsid w:val="000E0EF4"/>
    <w:rsid w:val="000E1080"/>
    <w:rsid w:val="000E30EE"/>
    <w:rsid w:val="000E4A34"/>
    <w:rsid w:val="000F133F"/>
    <w:rsid w:val="000F1C4C"/>
    <w:rsid w:val="000F4E1F"/>
    <w:rsid w:val="00100187"/>
    <w:rsid w:val="0010142D"/>
    <w:rsid w:val="00102085"/>
    <w:rsid w:val="00103693"/>
    <w:rsid w:val="00104E9C"/>
    <w:rsid w:val="00105523"/>
    <w:rsid w:val="00105808"/>
    <w:rsid w:val="001058AC"/>
    <w:rsid w:val="001067F8"/>
    <w:rsid w:val="00107E85"/>
    <w:rsid w:val="001117CE"/>
    <w:rsid w:val="0011282B"/>
    <w:rsid w:val="00112D5D"/>
    <w:rsid w:val="00112E3C"/>
    <w:rsid w:val="001142FE"/>
    <w:rsid w:val="001149F2"/>
    <w:rsid w:val="00115C74"/>
    <w:rsid w:val="00115CAD"/>
    <w:rsid w:val="00116AB1"/>
    <w:rsid w:val="00117FA6"/>
    <w:rsid w:val="0012094B"/>
    <w:rsid w:val="00120E84"/>
    <w:rsid w:val="0012129E"/>
    <w:rsid w:val="00121DE4"/>
    <w:rsid w:val="00122A62"/>
    <w:rsid w:val="001234E4"/>
    <w:rsid w:val="00123810"/>
    <w:rsid w:val="00123A2A"/>
    <w:rsid w:val="0012558D"/>
    <w:rsid w:val="00125B95"/>
    <w:rsid w:val="00127AC4"/>
    <w:rsid w:val="001308BD"/>
    <w:rsid w:val="001313B3"/>
    <w:rsid w:val="001325B9"/>
    <w:rsid w:val="001338F5"/>
    <w:rsid w:val="00136489"/>
    <w:rsid w:val="00137E94"/>
    <w:rsid w:val="00140AE9"/>
    <w:rsid w:val="00140E68"/>
    <w:rsid w:val="00146D3D"/>
    <w:rsid w:val="001506E7"/>
    <w:rsid w:val="00150E98"/>
    <w:rsid w:val="001516A2"/>
    <w:rsid w:val="00151A6C"/>
    <w:rsid w:val="00152BA4"/>
    <w:rsid w:val="00153AE1"/>
    <w:rsid w:val="0015511C"/>
    <w:rsid w:val="00156B64"/>
    <w:rsid w:val="0016106F"/>
    <w:rsid w:val="001613B1"/>
    <w:rsid w:val="00163644"/>
    <w:rsid w:val="00163B9A"/>
    <w:rsid w:val="00164C61"/>
    <w:rsid w:val="00167F6C"/>
    <w:rsid w:val="00170FDC"/>
    <w:rsid w:val="00174B6A"/>
    <w:rsid w:val="00175567"/>
    <w:rsid w:val="00176313"/>
    <w:rsid w:val="001764C0"/>
    <w:rsid w:val="0018061A"/>
    <w:rsid w:val="00186091"/>
    <w:rsid w:val="00187FFD"/>
    <w:rsid w:val="00190593"/>
    <w:rsid w:val="00190595"/>
    <w:rsid w:val="0019166D"/>
    <w:rsid w:val="00191D7D"/>
    <w:rsid w:val="0019260F"/>
    <w:rsid w:val="00192D0F"/>
    <w:rsid w:val="001935FE"/>
    <w:rsid w:val="00194311"/>
    <w:rsid w:val="001943A4"/>
    <w:rsid w:val="0019508A"/>
    <w:rsid w:val="00196E0A"/>
    <w:rsid w:val="00196E1E"/>
    <w:rsid w:val="00197CFB"/>
    <w:rsid w:val="001A0B19"/>
    <w:rsid w:val="001A13B2"/>
    <w:rsid w:val="001A1609"/>
    <w:rsid w:val="001A3D50"/>
    <w:rsid w:val="001A3F32"/>
    <w:rsid w:val="001A62BD"/>
    <w:rsid w:val="001A6919"/>
    <w:rsid w:val="001A6A5A"/>
    <w:rsid w:val="001B0BD3"/>
    <w:rsid w:val="001B11D1"/>
    <w:rsid w:val="001B16F2"/>
    <w:rsid w:val="001B209A"/>
    <w:rsid w:val="001B28F5"/>
    <w:rsid w:val="001B4B23"/>
    <w:rsid w:val="001B5DA4"/>
    <w:rsid w:val="001B72D6"/>
    <w:rsid w:val="001C00CE"/>
    <w:rsid w:val="001C07BC"/>
    <w:rsid w:val="001C14A2"/>
    <w:rsid w:val="001C1C03"/>
    <w:rsid w:val="001C2F16"/>
    <w:rsid w:val="001C2F53"/>
    <w:rsid w:val="001C31E3"/>
    <w:rsid w:val="001C4085"/>
    <w:rsid w:val="001C423B"/>
    <w:rsid w:val="001C4DC6"/>
    <w:rsid w:val="001C5968"/>
    <w:rsid w:val="001D1A24"/>
    <w:rsid w:val="001D1E02"/>
    <w:rsid w:val="001D31C7"/>
    <w:rsid w:val="001D414B"/>
    <w:rsid w:val="001D5E79"/>
    <w:rsid w:val="001D632F"/>
    <w:rsid w:val="001D6BD5"/>
    <w:rsid w:val="001D733F"/>
    <w:rsid w:val="001D7D0B"/>
    <w:rsid w:val="001E046F"/>
    <w:rsid w:val="001E0658"/>
    <w:rsid w:val="001E0A1F"/>
    <w:rsid w:val="001E19D2"/>
    <w:rsid w:val="001E2201"/>
    <w:rsid w:val="001E256D"/>
    <w:rsid w:val="001E2FEA"/>
    <w:rsid w:val="001E509F"/>
    <w:rsid w:val="001E792C"/>
    <w:rsid w:val="001F0AFA"/>
    <w:rsid w:val="001F150C"/>
    <w:rsid w:val="001F1CDA"/>
    <w:rsid w:val="001F2181"/>
    <w:rsid w:val="001F2701"/>
    <w:rsid w:val="001F2FDD"/>
    <w:rsid w:val="001F3E67"/>
    <w:rsid w:val="001F4601"/>
    <w:rsid w:val="001F4734"/>
    <w:rsid w:val="001F5220"/>
    <w:rsid w:val="001F528C"/>
    <w:rsid w:val="001F5792"/>
    <w:rsid w:val="001F64C2"/>
    <w:rsid w:val="00201C80"/>
    <w:rsid w:val="00202E25"/>
    <w:rsid w:val="002059C5"/>
    <w:rsid w:val="0020675A"/>
    <w:rsid w:val="00207A40"/>
    <w:rsid w:val="00211039"/>
    <w:rsid w:val="0021232C"/>
    <w:rsid w:val="00213B07"/>
    <w:rsid w:val="002162AC"/>
    <w:rsid w:val="00216AA2"/>
    <w:rsid w:val="00220A45"/>
    <w:rsid w:val="00220DC8"/>
    <w:rsid w:val="00221868"/>
    <w:rsid w:val="00222BA5"/>
    <w:rsid w:val="00222EE0"/>
    <w:rsid w:val="0022320D"/>
    <w:rsid w:val="0022498A"/>
    <w:rsid w:val="00224E96"/>
    <w:rsid w:val="0022698B"/>
    <w:rsid w:val="002322E5"/>
    <w:rsid w:val="002335AD"/>
    <w:rsid w:val="00233600"/>
    <w:rsid w:val="00235E09"/>
    <w:rsid w:val="00235F93"/>
    <w:rsid w:val="00236B22"/>
    <w:rsid w:val="00236E09"/>
    <w:rsid w:val="00237AA2"/>
    <w:rsid w:val="00240D25"/>
    <w:rsid w:val="00240E85"/>
    <w:rsid w:val="00241155"/>
    <w:rsid w:val="002413B9"/>
    <w:rsid w:val="002417C1"/>
    <w:rsid w:val="00242AA9"/>
    <w:rsid w:val="00243AA4"/>
    <w:rsid w:val="0024453E"/>
    <w:rsid w:val="00244BB4"/>
    <w:rsid w:val="00244CB8"/>
    <w:rsid w:val="00251059"/>
    <w:rsid w:val="00254052"/>
    <w:rsid w:val="00254E5C"/>
    <w:rsid w:val="00254E87"/>
    <w:rsid w:val="00255876"/>
    <w:rsid w:val="00257164"/>
    <w:rsid w:val="0026487A"/>
    <w:rsid w:val="00264FE1"/>
    <w:rsid w:val="00270690"/>
    <w:rsid w:val="002716D1"/>
    <w:rsid w:val="00272630"/>
    <w:rsid w:val="00274D93"/>
    <w:rsid w:val="00277917"/>
    <w:rsid w:val="00280E7E"/>
    <w:rsid w:val="00283219"/>
    <w:rsid w:val="00286BFB"/>
    <w:rsid w:val="0028795D"/>
    <w:rsid w:val="0029077C"/>
    <w:rsid w:val="00290879"/>
    <w:rsid w:val="002908CA"/>
    <w:rsid w:val="002916F2"/>
    <w:rsid w:val="00291D4A"/>
    <w:rsid w:val="00294383"/>
    <w:rsid w:val="0029453C"/>
    <w:rsid w:val="002956FD"/>
    <w:rsid w:val="0029672C"/>
    <w:rsid w:val="002973CA"/>
    <w:rsid w:val="002A025A"/>
    <w:rsid w:val="002A0F82"/>
    <w:rsid w:val="002A3909"/>
    <w:rsid w:val="002A3982"/>
    <w:rsid w:val="002A4279"/>
    <w:rsid w:val="002A7074"/>
    <w:rsid w:val="002A716A"/>
    <w:rsid w:val="002A73D7"/>
    <w:rsid w:val="002B16E8"/>
    <w:rsid w:val="002B1E05"/>
    <w:rsid w:val="002B1ECC"/>
    <w:rsid w:val="002B2A61"/>
    <w:rsid w:val="002B4675"/>
    <w:rsid w:val="002B481C"/>
    <w:rsid w:val="002B5325"/>
    <w:rsid w:val="002B59A2"/>
    <w:rsid w:val="002B5AEA"/>
    <w:rsid w:val="002B5C62"/>
    <w:rsid w:val="002C088B"/>
    <w:rsid w:val="002C287B"/>
    <w:rsid w:val="002C5DF8"/>
    <w:rsid w:val="002D0FBA"/>
    <w:rsid w:val="002D11F2"/>
    <w:rsid w:val="002D193E"/>
    <w:rsid w:val="002D20E2"/>
    <w:rsid w:val="002D243A"/>
    <w:rsid w:val="002D2A97"/>
    <w:rsid w:val="002D43DC"/>
    <w:rsid w:val="002D54F7"/>
    <w:rsid w:val="002D6D89"/>
    <w:rsid w:val="002D6E1D"/>
    <w:rsid w:val="002D7614"/>
    <w:rsid w:val="002E058F"/>
    <w:rsid w:val="002E0E8F"/>
    <w:rsid w:val="002E164D"/>
    <w:rsid w:val="002E1DB1"/>
    <w:rsid w:val="002E1EA2"/>
    <w:rsid w:val="002E2259"/>
    <w:rsid w:val="002E4127"/>
    <w:rsid w:val="002E5711"/>
    <w:rsid w:val="002E624D"/>
    <w:rsid w:val="002E6DD9"/>
    <w:rsid w:val="002E6F40"/>
    <w:rsid w:val="002E6F86"/>
    <w:rsid w:val="002E767F"/>
    <w:rsid w:val="002F1409"/>
    <w:rsid w:val="002F20F0"/>
    <w:rsid w:val="002F25B4"/>
    <w:rsid w:val="002F37D0"/>
    <w:rsid w:val="002F4A77"/>
    <w:rsid w:val="002F4CE4"/>
    <w:rsid w:val="002F5586"/>
    <w:rsid w:val="002F7B61"/>
    <w:rsid w:val="00301023"/>
    <w:rsid w:val="0030279C"/>
    <w:rsid w:val="0030298E"/>
    <w:rsid w:val="00303D62"/>
    <w:rsid w:val="00303E14"/>
    <w:rsid w:val="00303F8F"/>
    <w:rsid w:val="00304DBC"/>
    <w:rsid w:val="0030528B"/>
    <w:rsid w:val="00307C7E"/>
    <w:rsid w:val="00310B8B"/>
    <w:rsid w:val="0031111F"/>
    <w:rsid w:val="0031187B"/>
    <w:rsid w:val="00312084"/>
    <w:rsid w:val="00313526"/>
    <w:rsid w:val="00313D7C"/>
    <w:rsid w:val="00316321"/>
    <w:rsid w:val="0031705F"/>
    <w:rsid w:val="00317664"/>
    <w:rsid w:val="00317CE3"/>
    <w:rsid w:val="0032080E"/>
    <w:rsid w:val="003208FB"/>
    <w:rsid w:val="00322AF0"/>
    <w:rsid w:val="00323515"/>
    <w:rsid w:val="003238BE"/>
    <w:rsid w:val="0032465B"/>
    <w:rsid w:val="003249E0"/>
    <w:rsid w:val="003251D4"/>
    <w:rsid w:val="00325384"/>
    <w:rsid w:val="003257A2"/>
    <w:rsid w:val="00325A45"/>
    <w:rsid w:val="00326540"/>
    <w:rsid w:val="003268DE"/>
    <w:rsid w:val="00327452"/>
    <w:rsid w:val="00327697"/>
    <w:rsid w:val="00327CAE"/>
    <w:rsid w:val="00330D92"/>
    <w:rsid w:val="00332B12"/>
    <w:rsid w:val="003341D2"/>
    <w:rsid w:val="00334F4F"/>
    <w:rsid w:val="003362BD"/>
    <w:rsid w:val="00340D30"/>
    <w:rsid w:val="00343B07"/>
    <w:rsid w:val="00344441"/>
    <w:rsid w:val="00346465"/>
    <w:rsid w:val="0035146D"/>
    <w:rsid w:val="00351622"/>
    <w:rsid w:val="00351AD3"/>
    <w:rsid w:val="00351D8A"/>
    <w:rsid w:val="003525F1"/>
    <w:rsid w:val="00352C95"/>
    <w:rsid w:val="00354827"/>
    <w:rsid w:val="00355207"/>
    <w:rsid w:val="003578EF"/>
    <w:rsid w:val="00357C5B"/>
    <w:rsid w:val="003603D4"/>
    <w:rsid w:val="00361257"/>
    <w:rsid w:val="0036297D"/>
    <w:rsid w:val="00363EBA"/>
    <w:rsid w:val="00364972"/>
    <w:rsid w:val="00364D27"/>
    <w:rsid w:val="0036510D"/>
    <w:rsid w:val="0036737C"/>
    <w:rsid w:val="00371448"/>
    <w:rsid w:val="00371D0B"/>
    <w:rsid w:val="003742EC"/>
    <w:rsid w:val="00374DCE"/>
    <w:rsid w:val="00375CCD"/>
    <w:rsid w:val="00375EF3"/>
    <w:rsid w:val="00377899"/>
    <w:rsid w:val="0037792D"/>
    <w:rsid w:val="00380061"/>
    <w:rsid w:val="003816CF"/>
    <w:rsid w:val="00381BF4"/>
    <w:rsid w:val="0038225D"/>
    <w:rsid w:val="00382486"/>
    <w:rsid w:val="00383590"/>
    <w:rsid w:val="00385AFC"/>
    <w:rsid w:val="00385D2F"/>
    <w:rsid w:val="003861E3"/>
    <w:rsid w:val="003866FA"/>
    <w:rsid w:val="0039010E"/>
    <w:rsid w:val="00390744"/>
    <w:rsid w:val="003918D9"/>
    <w:rsid w:val="003926B7"/>
    <w:rsid w:val="00392811"/>
    <w:rsid w:val="00393461"/>
    <w:rsid w:val="003935B2"/>
    <w:rsid w:val="00395BC7"/>
    <w:rsid w:val="00395F18"/>
    <w:rsid w:val="003971E6"/>
    <w:rsid w:val="003A3D1A"/>
    <w:rsid w:val="003A4043"/>
    <w:rsid w:val="003A40D1"/>
    <w:rsid w:val="003A467D"/>
    <w:rsid w:val="003B0B90"/>
    <w:rsid w:val="003B2182"/>
    <w:rsid w:val="003B43F9"/>
    <w:rsid w:val="003B4F53"/>
    <w:rsid w:val="003B7702"/>
    <w:rsid w:val="003B7848"/>
    <w:rsid w:val="003C040D"/>
    <w:rsid w:val="003C0E4E"/>
    <w:rsid w:val="003C3EBF"/>
    <w:rsid w:val="003C3F92"/>
    <w:rsid w:val="003C4098"/>
    <w:rsid w:val="003C5432"/>
    <w:rsid w:val="003D05BB"/>
    <w:rsid w:val="003D12BF"/>
    <w:rsid w:val="003D358D"/>
    <w:rsid w:val="003D549D"/>
    <w:rsid w:val="003D6391"/>
    <w:rsid w:val="003D67CC"/>
    <w:rsid w:val="003D6A80"/>
    <w:rsid w:val="003E1DAE"/>
    <w:rsid w:val="003E35AA"/>
    <w:rsid w:val="003E35C4"/>
    <w:rsid w:val="003E3CB2"/>
    <w:rsid w:val="003E42E9"/>
    <w:rsid w:val="003E51EC"/>
    <w:rsid w:val="003E55D0"/>
    <w:rsid w:val="003E586A"/>
    <w:rsid w:val="003E589C"/>
    <w:rsid w:val="003F0F5E"/>
    <w:rsid w:val="003F36BA"/>
    <w:rsid w:val="003F3880"/>
    <w:rsid w:val="003F5628"/>
    <w:rsid w:val="003F73DC"/>
    <w:rsid w:val="003F7FAD"/>
    <w:rsid w:val="004005E9"/>
    <w:rsid w:val="00401094"/>
    <w:rsid w:val="0040333A"/>
    <w:rsid w:val="0040466D"/>
    <w:rsid w:val="00404D33"/>
    <w:rsid w:val="004057F8"/>
    <w:rsid w:val="00406AB6"/>
    <w:rsid w:val="004075AE"/>
    <w:rsid w:val="00407635"/>
    <w:rsid w:val="0041010F"/>
    <w:rsid w:val="0041050D"/>
    <w:rsid w:val="004124C2"/>
    <w:rsid w:val="004131B7"/>
    <w:rsid w:val="00414789"/>
    <w:rsid w:val="00414CC1"/>
    <w:rsid w:val="00415140"/>
    <w:rsid w:val="00415CBC"/>
    <w:rsid w:val="004165CD"/>
    <w:rsid w:val="004165F8"/>
    <w:rsid w:val="00420C9A"/>
    <w:rsid w:val="00421D15"/>
    <w:rsid w:val="00422848"/>
    <w:rsid w:val="00423B3F"/>
    <w:rsid w:val="0042431F"/>
    <w:rsid w:val="004243D7"/>
    <w:rsid w:val="00425298"/>
    <w:rsid w:val="004266AC"/>
    <w:rsid w:val="004277C3"/>
    <w:rsid w:val="00430B0F"/>
    <w:rsid w:val="00430C67"/>
    <w:rsid w:val="00434953"/>
    <w:rsid w:val="0043668E"/>
    <w:rsid w:val="00436EBD"/>
    <w:rsid w:val="00440A1D"/>
    <w:rsid w:val="0044133A"/>
    <w:rsid w:val="004422E1"/>
    <w:rsid w:val="0044240B"/>
    <w:rsid w:val="00442B0C"/>
    <w:rsid w:val="00443A81"/>
    <w:rsid w:val="00444479"/>
    <w:rsid w:val="00444DF7"/>
    <w:rsid w:val="004456BC"/>
    <w:rsid w:val="00445FD1"/>
    <w:rsid w:val="00446EFF"/>
    <w:rsid w:val="004473B0"/>
    <w:rsid w:val="00450087"/>
    <w:rsid w:val="00452117"/>
    <w:rsid w:val="00452381"/>
    <w:rsid w:val="0045342B"/>
    <w:rsid w:val="0045431A"/>
    <w:rsid w:val="00454BC4"/>
    <w:rsid w:val="004557CD"/>
    <w:rsid w:val="004563B5"/>
    <w:rsid w:val="00457636"/>
    <w:rsid w:val="0045773F"/>
    <w:rsid w:val="00460AAC"/>
    <w:rsid w:val="00460BAA"/>
    <w:rsid w:val="004615BB"/>
    <w:rsid w:val="004635EC"/>
    <w:rsid w:val="00464707"/>
    <w:rsid w:val="00464C5D"/>
    <w:rsid w:val="00465D2B"/>
    <w:rsid w:val="0046728D"/>
    <w:rsid w:val="00467B5F"/>
    <w:rsid w:val="00472F6D"/>
    <w:rsid w:val="00474721"/>
    <w:rsid w:val="004752DD"/>
    <w:rsid w:val="004754F7"/>
    <w:rsid w:val="0048036B"/>
    <w:rsid w:val="00482513"/>
    <w:rsid w:val="00482E02"/>
    <w:rsid w:val="004834DD"/>
    <w:rsid w:val="00485B65"/>
    <w:rsid w:val="004911D6"/>
    <w:rsid w:val="00492BFE"/>
    <w:rsid w:val="004937D7"/>
    <w:rsid w:val="00494083"/>
    <w:rsid w:val="00495809"/>
    <w:rsid w:val="00496ECA"/>
    <w:rsid w:val="004979E4"/>
    <w:rsid w:val="004A06EF"/>
    <w:rsid w:val="004A17A2"/>
    <w:rsid w:val="004A204F"/>
    <w:rsid w:val="004A3A14"/>
    <w:rsid w:val="004A3EEB"/>
    <w:rsid w:val="004A4FBE"/>
    <w:rsid w:val="004A609A"/>
    <w:rsid w:val="004A6E83"/>
    <w:rsid w:val="004B3835"/>
    <w:rsid w:val="004B49FC"/>
    <w:rsid w:val="004B577B"/>
    <w:rsid w:val="004B6648"/>
    <w:rsid w:val="004B6BEE"/>
    <w:rsid w:val="004B6BF5"/>
    <w:rsid w:val="004B732D"/>
    <w:rsid w:val="004B770F"/>
    <w:rsid w:val="004B7E15"/>
    <w:rsid w:val="004C07B7"/>
    <w:rsid w:val="004C28C8"/>
    <w:rsid w:val="004C2A39"/>
    <w:rsid w:val="004C2E66"/>
    <w:rsid w:val="004C336F"/>
    <w:rsid w:val="004C481D"/>
    <w:rsid w:val="004C50EC"/>
    <w:rsid w:val="004C5289"/>
    <w:rsid w:val="004C5387"/>
    <w:rsid w:val="004C78CE"/>
    <w:rsid w:val="004D04C0"/>
    <w:rsid w:val="004D0F30"/>
    <w:rsid w:val="004D12C1"/>
    <w:rsid w:val="004D1E85"/>
    <w:rsid w:val="004D3214"/>
    <w:rsid w:val="004D47F2"/>
    <w:rsid w:val="004D5E81"/>
    <w:rsid w:val="004D7E2E"/>
    <w:rsid w:val="004E05FC"/>
    <w:rsid w:val="004E1907"/>
    <w:rsid w:val="004E28B8"/>
    <w:rsid w:val="004E4B03"/>
    <w:rsid w:val="004E5940"/>
    <w:rsid w:val="004E5E61"/>
    <w:rsid w:val="004E61F4"/>
    <w:rsid w:val="004E66DF"/>
    <w:rsid w:val="004E780A"/>
    <w:rsid w:val="004E78CC"/>
    <w:rsid w:val="004E7EFA"/>
    <w:rsid w:val="004F065E"/>
    <w:rsid w:val="004F30A6"/>
    <w:rsid w:val="004F4F81"/>
    <w:rsid w:val="004F6E07"/>
    <w:rsid w:val="004F7D55"/>
    <w:rsid w:val="0050050E"/>
    <w:rsid w:val="00501395"/>
    <w:rsid w:val="0050150E"/>
    <w:rsid w:val="0050177C"/>
    <w:rsid w:val="00501DDC"/>
    <w:rsid w:val="0050233C"/>
    <w:rsid w:val="00502EFA"/>
    <w:rsid w:val="005037E9"/>
    <w:rsid w:val="005045C9"/>
    <w:rsid w:val="00507E1C"/>
    <w:rsid w:val="00507F20"/>
    <w:rsid w:val="0051035C"/>
    <w:rsid w:val="00510EB7"/>
    <w:rsid w:val="005122B4"/>
    <w:rsid w:val="005129BA"/>
    <w:rsid w:val="00515293"/>
    <w:rsid w:val="00515A9C"/>
    <w:rsid w:val="00516FBF"/>
    <w:rsid w:val="00517D6D"/>
    <w:rsid w:val="00517FEA"/>
    <w:rsid w:val="00522009"/>
    <w:rsid w:val="0052305A"/>
    <w:rsid w:val="00524688"/>
    <w:rsid w:val="0052626B"/>
    <w:rsid w:val="005267F1"/>
    <w:rsid w:val="00526FF0"/>
    <w:rsid w:val="00531672"/>
    <w:rsid w:val="00531A8B"/>
    <w:rsid w:val="00531FC0"/>
    <w:rsid w:val="00532D18"/>
    <w:rsid w:val="005347F5"/>
    <w:rsid w:val="00535580"/>
    <w:rsid w:val="00541763"/>
    <w:rsid w:val="00542E08"/>
    <w:rsid w:val="00543230"/>
    <w:rsid w:val="005448E4"/>
    <w:rsid w:val="00551F85"/>
    <w:rsid w:val="005541E8"/>
    <w:rsid w:val="0055552E"/>
    <w:rsid w:val="0055732D"/>
    <w:rsid w:val="005610A6"/>
    <w:rsid w:val="00562E41"/>
    <w:rsid w:val="005643D6"/>
    <w:rsid w:val="00567843"/>
    <w:rsid w:val="00567D6D"/>
    <w:rsid w:val="00571BE9"/>
    <w:rsid w:val="005729CA"/>
    <w:rsid w:val="00572F2D"/>
    <w:rsid w:val="00573832"/>
    <w:rsid w:val="00573DE3"/>
    <w:rsid w:val="00574070"/>
    <w:rsid w:val="00574B66"/>
    <w:rsid w:val="005777AC"/>
    <w:rsid w:val="00577A43"/>
    <w:rsid w:val="0058031B"/>
    <w:rsid w:val="005809D4"/>
    <w:rsid w:val="00582B39"/>
    <w:rsid w:val="005847E3"/>
    <w:rsid w:val="00584871"/>
    <w:rsid w:val="005859BF"/>
    <w:rsid w:val="00586ACB"/>
    <w:rsid w:val="00586C0F"/>
    <w:rsid w:val="005876BC"/>
    <w:rsid w:val="00587DF1"/>
    <w:rsid w:val="005906CA"/>
    <w:rsid w:val="0059489F"/>
    <w:rsid w:val="00595364"/>
    <w:rsid w:val="00595478"/>
    <w:rsid w:val="00597BBA"/>
    <w:rsid w:val="005A083B"/>
    <w:rsid w:val="005A2449"/>
    <w:rsid w:val="005A3BDC"/>
    <w:rsid w:val="005A7B23"/>
    <w:rsid w:val="005A7CB5"/>
    <w:rsid w:val="005B37DA"/>
    <w:rsid w:val="005B41E4"/>
    <w:rsid w:val="005B445E"/>
    <w:rsid w:val="005B461A"/>
    <w:rsid w:val="005B47E3"/>
    <w:rsid w:val="005B52F8"/>
    <w:rsid w:val="005B57ED"/>
    <w:rsid w:val="005B5D29"/>
    <w:rsid w:val="005B5F02"/>
    <w:rsid w:val="005B6A24"/>
    <w:rsid w:val="005B6E8C"/>
    <w:rsid w:val="005C071B"/>
    <w:rsid w:val="005C0959"/>
    <w:rsid w:val="005C1326"/>
    <w:rsid w:val="005C20A4"/>
    <w:rsid w:val="005C216D"/>
    <w:rsid w:val="005C21ED"/>
    <w:rsid w:val="005C4436"/>
    <w:rsid w:val="005C6440"/>
    <w:rsid w:val="005C67D7"/>
    <w:rsid w:val="005C6D71"/>
    <w:rsid w:val="005C7051"/>
    <w:rsid w:val="005C7055"/>
    <w:rsid w:val="005C7669"/>
    <w:rsid w:val="005D0703"/>
    <w:rsid w:val="005D11BD"/>
    <w:rsid w:val="005D1294"/>
    <w:rsid w:val="005D1ECE"/>
    <w:rsid w:val="005D2D98"/>
    <w:rsid w:val="005D33B2"/>
    <w:rsid w:val="005D5A55"/>
    <w:rsid w:val="005D5A5E"/>
    <w:rsid w:val="005D6D07"/>
    <w:rsid w:val="005E1402"/>
    <w:rsid w:val="005E25B3"/>
    <w:rsid w:val="005E321E"/>
    <w:rsid w:val="005E5488"/>
    <w:rsid w:val="005E59CC"/>
    <w:rsid w:val="005E64BD"/>
    <w:rsid w:val="005E74A7"/>
    <w:rsid w:val="005E757B"/>
    <w:rsid w:val="005F0E85"/>
    <w:rsid w:val="005F24C0"/>
    <w:rsid w:val="005F4535"/>
    <w:rsid w:val="005F4953"/>
    <w:rsid w:val="005F7163"/>
    <w:rsid w:val="005F78FB"/>
    <w:rsid w:val="005F7E5E"/>
    <w:rsid w:val="005F7FB0"/>
    <w:rsid w:val="00600700"/>
    <w:rsid w:val="00601B79"/>
    <w:rsid w:val="00604AC9"/>
    <w:rsid w:val="006061E7"/>
    <w:rsid w:val="00610141"/>
    <w:rsid w:val="006107A8"/>
    <w:rsid w:val="006129FF"/>
    <w:rsid w:val="0061616E"/>
    <w:rsid w:val="006162CB"/>
    <w:rsid w:val="00616A3A"/>
    <w:rsid w:val="006170B3"/>
    <w:rsid w:val="00617164"/>
    <w:rsid w:val="00617632"/>
    <w:rsid w:val="00617638"/>
    <w:rsid w:val="00620706"/>
    <w:rsid w:val="00621980"/>
    <w:rsid w:val="00621D7F"/>
    <w:rsid w:val="006243E6"/>
    <w:rsid w:val="00624593"/>
    <w:rsid w:val="006249C2"/>
    <w:rsid w:val="00625BDC"/>
    <w:rsid w:val="00625F49"/>
    <w:rsid w:val="0063020A"/>
    <w:rsid w:val="006302E3"/>
    <w:rsid w:val="00631BA5"/>
    <w:rsid w:val="00632295"/>
    <w:rsid w:val="0063318A"/>
    <w:rsid w:val="00633A1E"/>
    <w:rsid w:val="0063418D"/>
    <w:rsid w:val="00634267"/>
    <w:rsid w:val="00634481"/>
    <w:rsid w:val="00635409"/>
    <w:rsid w:val="006359A1"/>
    <w:rsid w:val="00637655"/>
    <w:rsid w:val="0064025A"/>
    <w:rsid w:val="00640347"/>
    <w:rsid w:val="00641447"/>
    <w:rsid w:val="006426D4"/>
    <w:rsid w:val="00645D96"/>
    <w:rsid w:val="006462D0"/>
    <w:rsid w:val="0064698C"/>
    <w:rsid w:val="00646B84"/>
    <w:rsid w:val="00653B64"/>
    <w:rsid w:val="0065419B"/>
    <w:rsid w:val="0065474B"/>
    <w:rsid w:val="00654B82"/>
    <w:rsid w:val="00654BE2"/>
    <w:rsid w:val="0065720D"/>
    <w:rsid w:val="00660BB2"/>
    <w:rsid w:val="00661AE6"/>
    <w:rsid w:val="00664A51"/>
    <w:rsid w:val="006665C3"/>
    <w:rsid w:val="00666EF3"/>
    <w:rsid w:val="00667596"/>
    <w:rsid w:val="0067263F"/>
    <w:rsid w:val="00673852"/>
    <w:rsid w:val="00673A90"/>
    <w:rsid w:val="00673F23"/>
    <w:rsid w:val="006747A3"/>
    <w:rsid w:val="00676C29"/>
    <w:rsid w:val="00677120"/>
    <w:rsid w:val="00677604"/>
    <w:rsid w:val="006809F8"/>
    <w:rsid w:val="00680D12"/>
    <w:rsid w:val="0068112F"/>
    <w:rsid w:val="00681FDA"/>
    <w:rsid w:val="00682835"/>
    <w:rsid w:val="0068368B"/>
    <w:rsid w:val="00683CD5"/>
    <w:rsid w:val="006864F9"/>
    <w:rsid w:val="006869BF"/>
    <w:rsid w:val="00686E55"/>
    <w:rsid w:val="00687BE9"/>
    <w:rsid w:val="00687EAF"/>
    <w:rsid w:val="00692329"/>
    <w:rsid w:val="00693E97"/>
    <w:rsid w:val="00694FC6"/>
    <w:rsid w:val="0069543B"/>
    <w:rsid w:val="00696BF9"/>
    <w:rsid w:val="0069798E"/>
    <w:rsid w:val="006A2308"/>
    <w:rsid w:val="006A782F"/>
    <w:rsid w:val="006B0ED3"/>
    <w:rsid w:val="006B32AC"/>
    <w:rsid w:val="006B60AC"/>
    <w:rsid w:val="006B662A"/>
    <w:rsid w:val="006C0337"/>
    <w:rsid w:val="006C2321"/>
    <w:rsid w:val="006C3766"/>
    <w:rsid w:val="006C3F0F"/>
    <w:rsid w:val="006C500B"/>
    <w:rsid w:val="006C5856"/>
    <w:rsid w:val="006C702D"/>
    <w:rsid w:val="006C7AF5"/>
    <w:rsid w:val="006C7F60"/>
    <w:rsid w:val="006D063E"/>
    <w:rsid w:val="006D0A89"/>
    <w:rsid w:val="006D5D26"/>
    <w:rsid w:val="006D66A1"/>
    <w:rsid w:val="006D6A25"/>
    <w:rsid w:val="006D733B"/>
    <w:rsid w:val="006E0DD9"/>
    <w:rsid w:val="006E1119"/>
    <w:rsid w:val="006E2CF3"/>
    <w:rsid w:val="006E4BB5"/>
    <w:rsid w:val="006E5376"/>
    <w:rsid w:val="006E71E4"/>
    <w:rsid w:val="006F0EBF"/>
    <w:rsid w:val="006F65C3"/>
    <w:rsid w:val="006F6E2D"/>
    <w:rsid w:val="00701E4A"/>
    <w:rsid w:val="00701F9D"/>
    <w:rsid w:val="00703B71"/>
    <w:rsid w:val="007041FF"/>
    <w:rsid w:val="007044A4"/>
    <w:rsid w:val="00704999"/>
    <w:rsid w:val="007066D9"/>
    <w:rsid w:val="00706E66"/>
    <w:rsid w:val="00711A37"/>
    <w:rsid w:val="00711C52"/>
    <w:rsid w:val="00712841"/>
    <w:rsid w:val="007132F2"/>
    <w:rsid w:val="00713556"/>
    <w:rsid w:val="00713EF4"/>
    <w:rsid w:val="0071636E"/>
    <w:rsid w:val="00716C10"/>
    <w:rsid w:val="00716D7F"/>
    <w:rsid w:val="00717858"/>
    <w:rsid w:val="007228D8"/>
    <w:rsid w:val="00722A94"/>
    <w:rsid w:val="00723893"/>
    <w:rsid w:val="007246FA"/>
    <w:rsid w:val="0072549B"/>
    <w:rsid w:val="00725EA3"/>
    <w:rsid w:val="00726425"/>
    <w:rsid w:val="00726F48"/>
    <w:rsid w:val="007275F1"/>
    <w:rsid w:val="00727934"/>
    <w:rsid w:val="00730269"/>
    <w:rsid w:val="00731222"/>
    <w:rsid w:val="0073292F"/>
    <w:rsid w:val="00732DA1"/>
    <w:rsid w:val="007332B2"/>
    <w:rsid w:val="00733572"/>
    <w:rsid w:val="007343D0"/>
    <w:rsid w:val="00734B6A"/>
    <w:rsid w:val="00735322"/>
    <w:rsid w:val="00735DBD"/>
    <w:rsid w:val="0073690A"/>
    <w:rsid w:val="007375AD"/>
    <w:rsid w:val="00740BA4"/>
    <w:rsid w:val="00740F3A"/>
    <w:rsid w:val="00741D47"/>
    <w:rsid w:val="00742806"/>
    <w:rsid w:val="00743293"/>
    <w:rsid w:val="007435F1"/>
    <w:rsid w:val="00744037"/>
    <w:rsid w:val="007442CD"/>
    <w:rsid w:val="00744C1B"/>
    <w:rsid w:val="00750FA3"/>
    <w:rsid w:val="00751351"/>
    <w:rsid w:val="007516C3"/>
    <w:rsid w:val="00751874"/>
    <w:rsid w:val="00753D95"/>
    <w:rsid w:val="007542EA"/>
    <w:rsid w:val="00754BC4"/>
    <w:rsid w:val="00755C2B"/>
    <w:rsid w:val="00756189"/>
    <w:rsid w:val="007619B1"/>
    <w:rsid w:val="00763E73"/>
    <w:rsid w:val="00765BBD"/>
    <w:rsid w:val="007669CD"/>
    <w:rsid w:val="00766B60"/>
    <w:rsid w:val="00767081"/>
    <w:rsid w:val="00772693"/>
    <w:rsid w:val="00772E34"/>
    <w:rsid w:val="007733CD"/>
    <w:rsid w:val="007737CB"/>
    <w:rsid w:val="00774463"/>
    <w:rsid w:val="007745E3"/>
    <w:rsid w:val="00775289"/>
    <w:rsid w:val="0078028A"/>
    <w:rsid w:val="007830D2"/>
    <w:rsid w:val="00785544"/>
    <w:rsid w:val="00785D4C"/>
    <w:rsid w:val="00787F47"/>
    <w:rsid w:val="0079016E"/>
    <w:rsid w:val="007944C7"/>
    <w:rsid w:val="00794E4B"/>
    <w:rsid w:val="00794FDB"/>
    <w:rsid w:val="007953AF"/>
    <w:rsid w:val="00796AE1"/>
    <w:rsid w:val="00796B48"/>
    <w:rsid w:val="0079700D"/>
    <w:rsid w:val="00797C89"/>
    <w:rsid w:val="007A0EB3"/>
    <w:rsid w:val="007A201B"/>
    <w:rsid w:val="007A3455"/>
    <w:rsid w:val="007A4EAD"/>
    <w:rsid w:val="007A5366"/>
    <w:rsid w:val="007A7E9C"/>
    <w:rsid w:val="007B00C1"/>
    <w:rsid w:val="007B18D3"/>
    <w:rsid w:val="007B1DF2"/>
    <w:rsid w:val="007B2AEC"/>
    <w:rsid w:val="007B31FF"/>
    <w:rsid w:val="007B45C9"/>
    <w:rsid w:val="007B4CA2"/>
    <w:rsid w:val="007B50F0"/>
    <w:rsid w:val="007B5109"/>
    <w:rsid w:val="007B5ADA"/>
    <w:rsid w:val="007B659D"/>
    <w:rsid w:val="007C1DD3"/>
    <w:rsid w:val="007C36F5"/>
    <w:rsid w:val="007C3728"/>
    <w:rsid w:val="007C4A99"/>
    <w:rsid w:val="007C579B"/>
    <w:rsid w:val="007C68D5"/>
    <w:rsid w:val="007D0982"/>
    <w:rsid w:val="007D0D0B"/>
    <w:rsid w:val="007D3F95"/>
    <w:rsid w:val="007D4707"/>
    <w:rsid w:val="007D5383"/>
    <w:rsid w:val="007D5D27"/>
    <w:rsid w:val="007D5EAA"/>
    <w:rsid w:val="007E0699"/>
    <w:rsid w:val="007E1925"/>
    <w:rsid w:val="007E40D5"/>
    <w:rsid w:val="007F0126"/>
    <w:rsid w:val="007F40B0"/>
    <w:rsid w:val="007F4384"/>
    <w:rsid w:val="007F4849"/>
    <w:rsid w:val="007F4A6C"/>
    <w:rsid w:val="00800C7D"/>
    <w:rsid w:val="008021C8"/>
    <w:rsid w:val="00804225"/>
    <w:rsid w:val="0080653F"/>
    <w:rsid w:val="008065F4"/>
    <w:rsid w:val="00806CAF"/>
    <w:rsid w:val="00807334"/>
    <w:rsid w:val="008119F4"/>
    <w:rsid w:val="00814F05"/>
    <w:rsid w:val="00815FA2"/>
    <w:rsid w:val="008217D0"/>
    <w:rsid w:val="00824763"/>
    <w:rsid w:val="008247B6"/>
    <w:rsid w:val="00824AE8"/>
    <w:rsid w:val="00825499"/>
    <w:rsid w:val="00826D74"/>
    <w:rsid w:val="00827915"/>
    <w:rsid w:val="00830CAC"/>
    <w:rsid w:val="0083100E"/>
    <w:rsid w:val="00834197"/>
    <w:rsid w:val="008346C6"/>
    <w:rsid w:val="008351FF"/>
    <w:rsid w:val="008411B4"/>
    <w:rsid w:val="00841864"/>
    <w:rsid w:val="00841DA2"/>
    <w:rsid w:val="00844EC2"/>
    <w:rsid w:val="00845267"/>
    <w:rsid w:val="0084542F"/>
    <w:rsid w:val="00846196"/>
    <w:rsid w:val="008466B7"/>
    <w:rsid w:val="00847869"/>
    <w:rsid w:val="00851462"/>
    <w:rsid w:val="00852859"/>
    <w:rsid w:val="00853760"/>
    <w:rsid w:val="008544BA"/>
    <w:rsid w:val="00855801"/>
    <w:rsid w:val="00856627"/>
    <w:rsid w:val="0085696C"/>
    <w:rsid w:val="00860EF6"/>
    <w:rsid w:val="00861208"/>
    <w:rsid w:val="008614CB"/>
    <w:rsid w:val="00862594"/>
    <w:rsid w:val="00862FB8"/>
    <w:rsid w:val="008632F6"/>
    <w:rsid w:val="00864310"/>
    <w:rsid w:val="008650A4"/>
    <w:rsid w:val="008655D0"/>
    <w:rsid w:val="0086581B"/>
    <w:rsid w:val="00866E34"/>
    <w:rsid w:val="00866E55"/>
    <w:rsid w:val="0086743F"/>
    <w:rsid w:val="008700D3"/>
    <w:rsid w:val="0087055F"/>
    <w:rsid w:val="00871703"/>
    <w:rsid w:val="0087242B"/>
    <w:rsid w:val="00872CC4"/>
    <w:rsid w:val="0087396A"/>
    <w:rsid w:val="00874442"/>
    <w:rsid w:val="00874D14"/>
    <w:rsid w:val="008750FC"/>
    <w:rsid w:val="00875B79"/>
    <w:rsid w:val="008776EC"/>
    <w:rsid w:val="00877A8B"/>
    <w:rsid w:val="00877BEF"/>
    <w:rsid w:val="00877C32"/>
    <w:rsid w:val="00877D82"/>
    <w:rsid w:val="00880C25"/>
    <w:rsid w:val="00881745"/>
    <w:rsid w:val="00881F5C"/>
    <w:rsid w:val="00881F5D"/>
    <w:rsid w:val="00883AF1"/>
    <w:rsid w:val="008842C5"/>
    <w:rsid w:val="0088486E"/>
    <w:rsid w:val="00886180"/>
    <w:rsid w:val="008876A0"/>
    <w:rsid w:val="00887B24"/>
    <w:rsid w:val="00890643"/>
    <w:rsid w:val="00890D87"/>
    <w:rsid w:val="00892439"/>
    <w:rsid w:val="00895532"/>
    <w:rsid w:val="008957F9"/>
    <w:rsid w:val="00896AC4"/>
    <w:rsid w:val="00897100"/>
    <w:rsid w:val="008973AB"/>
    <w:rsid w:val="008A2A33"/>
    <w:rsid w:val="008A7D57"/>
    <w:rsid w:val="008B1AFD"/>
    <w:rsid w:val="008B24C3"/>
    <w:rsid w:val="008B4449"/>
    <w:rsid w:val="008B452C"/>
    <w:rsid w:val="008B5AAE"/>
    <w:rsid w:val="008B61E2"/>
    <w:rsid w:val="008C176B"/>
    <w:rsid w:val="008C1FAF"/>
    <w:rsid w:val="008C21DB"/>
    <w:rsid w:val="008C3C0C"/>
    <w:rsid w:val="008C65CA"/>
    <w:rsid w:val="008C665B"/>
    <w:rsid w:val="008D0D19"/>
    <w:rsid w:val="008D1152"/>
    <w:rsid w:val="008D145B"/>
    <w:rsid w:val="008D18AC"/>
    <w:rsid w:val="008D2294"/>
    <w:rsid w:val="008D2779"/>
    <w:rsid w:val="008D2BB3"/>
    <w:rsid w:val="008D3F2C"/>
    <w:rsid w:val="008D4539"/>
    <w:rsid w:val="008D4989"/>
    <w:rsid w:val="008D6FD2"/>
    <w:rsid w:val="008D7266"/>
    <w:rsid w:val="008D792F"/>
    <w:rsid w:val="008E0696"/>
    <w:rsid w:val="008E1650"/>
    <w:rsid w:val="008E25FA"/>
    <w:rsid w:val="008E2887"/>
    <w:rsid w:val="008E301C"/>
    <w:rsid w:val="008E5F0D"/>
    <w:rsid w:val="008E60B8"/>
    <w:rsid w:val="008E6954"/>
    <w:rsid w:val="008E6F8A"/>
    <w:rsid w:val="008F0FDD"/>
    <w:rsid w:val="008F1F2F"/>
    <w:rsid w:val="008F284A"/>
    <w:rsid w:val="008F3A4A"/>
    <w:rsid w:val="008F3EE6"/>
    <w:rsid w:val="008F406D"/>
    <w:rsid w:val="008F43CD"/>
    <w:rsid w:val="008F55B2"/>
    <w:rsid w:val="008F5EA3"/>
    <w:rsid w:val="00901E91"/>
    <w:rsid w:val="00903940"/>
    <w:rsid w:val="00903C9F"/>
    <w:rsid w:val="00904DB1"/>
    <w:rsid w:val="009057A7"/>
    <w:rsid w:val="009119B9"/>
    <w:rsid w:val="00911B4E"/>
    <w:rsid w:val="009122B5"/>
    <w:rsid w:val="00912DD9"/>
    <w:rsid w:val="00912E47"/>
    <w:rsid w:val="00913121"/>
    <w:rsid w:val="00915AD1"/>
    <w:rsid w:val="00915BE9"/>
    <w:rsid w:val="00917631"/>
    <w:rsid w:val="009231D4"/>
    <w:rsid w:val="00923681"/>
    <w:rsid w:val="00926E00"/>
    <w:rsid w:val="009273AB"/>
    <w:rsid w:val="00933B5C"/>
    <w:rsid w:val="00934474"/>
    <w:rsid w:val="00934908"/>
    <w:rsid w:val="00936796"/>
    <w:rsid w:val="009367C7"/>
    <w:rsid w:val="0093707B"/>
    <w:rsid w:val="009376A8"/>
    <w:rsid w:val="00937740"/>
    <w:rsid w:val="00940714"/>
    <w:rsid w:val="00941592"/>
    <w:rsid w:val="009429E2"/>
    <w:rsid w:val="00942DB6"/>
    <w:rsid w:val="009455C5"/>
    <w:rsid w:val="009468D3"/>
    <w:rsid w:val="00947940"/>
    <w:rsid w:val="00950128"/>
    <w:rsid w:val="0095176D"/>
    <w:rsid w:val="00951C3D"/>
    <w:rsid w:val="00953069"/>
    <w:rsid w:val="00953241"/>
    <w:rsid w:val="00955EC1"/>
    <w:rsid w:val="00960809"/>
    <w:rsid w:val="00961555"/>
    <w:rsid w:val="00961693"/>
    <w:rsid w:val="00962FCA"/>
    <w:rsid w:val="00963378"/>
    <w:rsid w:val="00963A16"/>
    <w:rsid w:val="009656D8"/>
    <w:rsid w:val="00966FBE"/>
    <w:rsid w:val="00967F90"/>
    <w:rsid w:val="009722ED"/>
    <w:rsid w:val="00972EA1"/>
    <w:rsid w:val="00972F3A"/>
    <w:rsid w:val="0097302F"/>
    <w:rsid w:val="0097346D"/>
    <w:rsid w:val="009736FC"/>
    <w:rsid w:val="0097404C"/>
    <w:rsid w:val="009755C2"/>
    <w:rsid w:val="00977337"/>
    <w:rsid w:val="00980001"/>
    <w:rsid w:val="00980161"/>
    <w:rsid w:val="00980F85"/>
    <w:rsid w:val="009813C3"/>
    <w:rsid w:val="00981AE7"/>
    <w:rsid w:val="00981FC7"/>
    <w:rsid w:val="0098476B"/>
    <w:rsid w:val="009849CA"/>
    <w:rsid w:val="0098599D"/>
    <w:rsid w:val="009860DF"/>
    <w:rsid w:val="00986624"/>
    <w:rsid w:val="0098686D"/>
    <w:rsid w:val="00986F81"/>
    <w:rsid w:val="009933F6"/>
    <w:rsid w:val="00994438"/>
    <w:rsid w:val="00994D67"/>
    <w:rsid w:val="00994F65"/>
    <w:rsid w:val="00996B39"/>
    <w:rsid w:val="00996C52"/>
    <w:rsid w:val="009978F0"/>
    <w:rsid w:val="009A039A"/>
    <w:rsid w:val="009A0CB7"/>
    <w:rsid w:val="009A0F7F"/>
    <w:rsid w:val="009A2194"/>
    <w:rsid w:val="009A4924"/>
    <w:rsid w:val="009A4E1E"/>
    <w:rsid w:val="009A5545"/>
    <w:rsid w:val="009A5969"/>
    <w:rsid w:val="009A5FEF"/>
    <w:rsid w:val="009B06A4"/>
    <w:rsid w:val="009B4980"/>
    <w:rsid w:val="009B625C"/>
    <w:rsid w:val="009B6328"/>
    <w:rsid w:val="009B747E"/>
    <w:rsid w:val="009C2420"/>
    <w:rsid w:val="009C3750"/>
    <w:rsid w:val="009C3B9E"/>
    <w:rsid w:val="009C44EB"/>
    <w:rsid w:val="009C5E68"/>
    <w:rsid w:val="009C6D81"/>
    <w:rsid w:val="009C73E4"/>
    <w:rsid w:val="009D00BA"/>
    <w:rsid w:val="009D0C09"/>
    <w:rsid w:val="009D1180"/>
    <w:rsid w:val="009D127E"/>
    <w:rsid w:val="009D199F"/>
    <w:rsid w:val="009D1E74"/>
    <w:rsid w:val="009D2EB7"/>
    <w:rsid w:val="009D3E0C"/>
    <w:rsid w:val="009E15EB"/>
    <w:rsid w:val="009E1693"/>
    <w:rsid w:val="009E19CF"/>
    <w:rsid w:val="009E1CF0"/>
    <w:rsid w:val="009E30F7"/>
    <w:rsid w:val="009E3C6E"/>
    <w:rsid w:val="009E3F2B"/>
    <w:rsid w:val="009E4A41"/>
    <w:rsid w:val="009E4A6C"/>
    <w:rsid w:val="009E5802"/>
    <w:rsid w:val="009E6032"/>
    <w:rsid w:val="009E6EFE"/>
    <w:rsid w:val="009F0941"/>
    <w:rsid w:val="009F0F7B"/>
    <w:rsid w:val="009F1E5A"/>
    <w:rsid w:val="009F3C4E"/>
    <w:rsid w:val="009F4C3D"/>
    <w:rsid w:val="009F5178"/>
    <w:rsid w:val="009F59C6"/>
    <w:rsid w:val="009F657F"/>
    <w:rsid w:val="009F6A97"/>
    <w:rsid w:val="00A0031D"/>
    <w:rsid w:val="00A00BBE"/>
    <w:rsid w:val="00A028F5"/>
    <w:rsid w:val="00A03F91"/>
    <w:rsid w:val="00A06119"/>
    <w:rsid w:val="00A06A6B"/>
    <w:rsid w:val="00A07445"/>
    <w:rsid w:val="00A107F2"/>
    <w:rsid w:val="00A127CB"/>
    <w:rsid w:val="00A13315"/>
    <w:rsid w:val="00A16A91"/>
    <w:rsid w:val="00A16F24"/>
    <w:rsid w:val="00A17A5B"/>
    <w:rsid w:val="00A2014F"/>
    <w:rsid w:val="00A2078B"/>
    <w:rsid w:val="00A21A1B"/>
    <w:rsid w:val="00A21D2C"/>
    <w:rsid w:val="00A24949"/>
    <w:rsid w:val="00A24D1F"/>
    <w:rsid w:val="00A25828"/>
    <w:rsid w:val="00A25F12"/>
    <w:rsid w:val="00A265B6"/>
    <w:rsid w:val="00A27B19"/>
    <w:rsid w:val="00A3014B"/>
    <w:rsid w:val="00A30A11"/>
    <w:rsid w:val="00A30AED"/>
    <w:rsid w:val="00A33425"/>
    <w:rsid w:val="00A33446"/>
    <w:rsid w:val="00A34086"/>
    <w:rsid w:val="00A343C5"/>
    <w:rsid w:val="00A34552"/>
    <w:rsid w:val="00A34836"/>
    <w:rsid w:val="00A34BF3"/>
    <w:rsid w:val="00A35305"/>
    <w:rsid w:val="00A3664B"/>
    <w:rsid w:val="00A36F2F"/>
    <w:rsid w:val="00A41BCD"/>
    <w:rsid w:val="00A41FC5"/>
    <w:rsid w:val="00A426B0"/>
    <w:rsid w:val="00A426C9"/>
    <w:rsid w:val="00A4281D"/>
    <w:rsid w:val="00A42E68"/>
    <w:rsid w:val="00A42FA8"/>
    <w:rsid w:val="00A43D37"/>
    <w:rsid w:val="00A44B25"/>
    <w:rsid w:val="00A4729A"/>
    <w:rsid w:val="00A47963"/>
    <w:rsid w:val="00A512BF"/>
    <w:rsid w:val="00A517E5"/>
    <w:rsid w:val="00A5319B"/>
    <w:rsid w:val="00A538C6"/>
    <w:rsid w:val="00A54A27"/>
    <w:rsid w:val="00A54CAA"/>
    <w:rsid w:val="00A551FC"/>
    <w:rsid w:val="00A55C0F"/>
    <w:rsid w:val="00A62200"/>
    <w:rsid w:val="00A6440C"/>
    <w:rsid w:val="00A66801"/>
    <w:rsid w:val="00A66C18"/>
    <w:rsid w:val="00A6742A"/>
    <w:rsid w:val="00A6748D"/>
    <w:rsid w:val="00A6749C"/>
    <w:rsid w:val="00A67739"/>
    <w:rsid w:val="00A70F02"/>
    <w:rsid w:val="00A71F0D"/>
    <w:rsid w:val="00A726CD"/>
    <w:rsid w:val="00A7341E"/>
    <w:rsid w:val="00A74CB1"/>
    <w:rsid w:val="00A75A42"/>
    <w:rsid w:val="00A76D1F"/>
    <w:rsid w:val="00A807BE"/>
    <w:rsid w:val="00A819D5"/>
    <w:rsid w:val="00A83716"/>
    <w:rsid w:val="00A8371A"/>
    <w:rsid w:val="00A83C28"/>
    <w:rsid w:val="00A84614"/>
    <w:rsid w:val="00A90301"/>
    <w:rsid w:val="00A905C8"/>
    <w:rsid w:val="00A91B36"/>
    <w:rsid w:val="00A93021"/>
    <w:rsid w:val="00A93A55"/>
    <w:rsid w:val="00A956CD"/>
    <w:rsid w:val="00A96A7D"/>
    <w:rsid w:val="00A9730A"/>
    <w:rsid w:val="00A97C5F"/>
    <w:rsid w:val="00AA1088"/>
    <w:rsid w:val="00AA1955"/>
    <w:rsid w:val="00AA1D4A"/>
    <w:rsid w:val="00AA45CF"/>
    <w:rsid w:val="00AA495D"/>
    <w:rsid w:val="00AA4B1C"/>
    <w:rsid w:val="00AA5A7B"/>
    <w:rsid w:val="00AA6D7E"/>
    <w:rsid w:val="00AA70B4"/>
    <w:rsid w:val="00AB2C8A"/>
    <w:rsid w:val="00AB32DC"/>
    <w:rsid w:val="00AB3B0F"/>
    <w:rsid w:val="00AB406B"/>
    <w:rsid w:val="00AB42D9"/>
    <w:rsid w:val="00AB4E57"/>
    <w:rsid w:val="00AB52B0"/>
    <w:rsid w:val="00AB5CA4"/>
    <w:rsid w:val="00AB7C7A"/>
    <w:rsid w:val="00AC3769"/>
    <w:rsid w:val="00AC4633"/>
    <w:rsid w:val="00AC473D"/>
    <w:rsid w:val="00AC5272"/>
    <w:rsid w:val="00AC52DC"/>
    <w:rsid w:val="00AC7555"/>
    <w:rsid w:val="00AC7BE6"/>
    <w:rsid w:val="00AD04A2"/>
    <w:rsid w:val="00AD129C"/>
    <w:rsid w:val="00AD2A58"/>
    <w:rsid w:val="00AD323F"/>
    <w:rsid w:val="00AD4148"/>
    <w:rsid w:val="00AD47F0"/>
    <w:rsid w:val="00AD69E7"/>
    <w:rsid w:val="00AD7A8A"/>
    <w:rsid w:val="00AE1243"/>
    <w:rsid w:val="00AE2BAE"/>
    <w:rsid w:val="00AE2C01"/>
    <w:rsid w:val="00AE2CE9"/>
    <w:rsid w:val="00AE4300"/>
    <w:rsid w:val="00AE454A"/>
    <w:rsid w:val="00AE489A"/>
    <w:rsid w:val="00AE4F6B"/>
    <w:rsid w:val="00AE4F81"/>
    <w:rsid w:val="00AE7035"/>
    <w:rsid w:val="00AF385A"/>
    <w:rsid w:val="00AF427D"/>
    <w:rsid w:val="00AF62C5"/>
    <w:rsid w:val="00AF62C9"/>
    <w:rsid w:val="00B004CF"/>
    <w:rsid w:val="00B01568"/>
    <w:rsid w:val="00B015DA"/>
    <w:rsid w:val="00B023C4"/>
    <w:rsid w:val="00B077A3"/>
    <w:rsid w:val="00B11406"/>
    <w:rsid w:val="00B12460"/>
    <w:rsid w:val="00B12828"/>
    <w:rsid w:val="00B12D3B"/>
    <w:rsid w:val="00B14669"/>
    <w:rsid w:val="00B15317"/>
    <w:rsid w:val="00B157C8"/>
    <w:rsid w:val="00B17AAC"/>
    <w:rsid w:val="00B2097B"/>
    <w:rsid w:val="00B219F5"/>
    <w:rsid w:val="00B22056"/>
    <w:rsid w:val="00B2216D"/>
    <w:rsid w:val="00B23627"/>
    <w:rsid w:val="00B24954"/>
    <w:rsid w:val="00B25AB3"/>
    <w:rsid w:val="00B26FBB"/>
    <w:rsid w:val="00B3168E"/>
    <w:rsid w:val="00B33584"/>
    <w:rsid w:val="00B33DBE"/>
    <w:rsid w:val="00B344A1"/>
    <w:rsid w:val="00B42601"/>
    <w:rsid w:val="00B45841"/>
    <w:rsid w:val="00B505B3"/>
    <w:rsid w:val="00B50F84"/>
    <w:rsid w:val="00B530C4"/>
    <w:rsid w:val="00B5515A"/>
    <w:rsid w:val="00B57D86"/>
    <w:rsid w:val="00B60117"/>
    <w:rsid w:val="00B6137D"/>
    <w:rsid w:val="00B628F2"/>
    <w:rsid w:val="00B63166"/>
    <w:rsid w:val="00B63717"/>
    <w:rsid w:val="00B6448E"/>
    <w:rsid w:val="00B646E1"/>
    <w:rsid w:val="00B64ADB"/>
    <w:rsid w:val="00B65B11"/>
    <w:rsid w:val="00B70428"/>
    <w:rsid w:val="00B70BFF"/>
    <w:rsid w:val="00B71BD9"/>
    <w:rsid w:val="00B71CE5"/>
    <w:rsid w:val="00B724EB"/>
    <w:rsid w:val="00B73346"/>
    <w:rsid w:val="00B73BB3"/>
    <w:rsid w:val="00B740DB"/>
    <w:rsid w:val="00B74949"/>
    <w:rsid w:val="00B74BA4"/>
    <w:rsid w:val="00B81197"/>
    <w:rsid w:val="00B8553B"/>
    <w:rsid w:val="00B86929"/>
    <w:rsid w:val="00B90AD7"/>
    <w:rsid w:val="00B9417D"/>
    <w:rsid w:val="00B958B3"/>
    <w:rsid w:val="00B95FCC"/>
    <w:rsid w:val="00B964DB"/>
    <w:rsid w:val="00BA07F5"/>
    <w:rsid w:val="00BA1F04"/>
    <w:rsid w:val="00BA34A8"/>
    <w:rsid w:val="00BA3A2D"/>
    <w:rsid w:val="00BA4459"/>
    <w:rsid w:val="00BA4DEE"/>
    <w:rsid w:val="00BA6B64"/>
    <w:rsid w:val="00BA6C49"/>
    <w:rsid w:val="00BA733F"/>
    <w:rsid w:val="00BB3DA6"/>
    <w:rsid w:val="00BB4397"/>
    <w:rsid w:val="00BB4951"/>
    <w:rsid w:val="00BB560A"/>
    <w:rsid w:val="00BB5D95"/>
    <w:rsid w:val="00BB70A1"/>
    <w:rsid w:val="00BB756B"/>
    <w:rsid w:val="00BB782E"/>
    <w:rsid w:val="00BB7B6A"/>
    <w:rsid w:val="00BC07B4"/>
    <w:rsid w:val="00BC0E4C"/>
    <w:rsid w:val="00BC0EF2"/>
    <w:rsid w:val="00BC437F"/>
    <w:rsid w:val="00BC5C78"/>
    <w:rsid w:val="00BC6DA3"/>
    <w:rsid w:val="00BC6DE2"/>
    <w:rsid w:val="00BC6F2F"/>
    <w:rsid w:val="00BD0863"/>
    <w:rsid w:val="00BD28FE"/>
    <w:rsid w:val="00BD3492"/>
    <w:rsid w:val="00BD4491"/>
    <w:rsid w:val="00BD57B0"/>
    <w:rsid w:val="00BD5921"/>
    <w:rsid w:val="00BD622F"/>
    <w:rsid w:val="00BD760A"/>
    <w:rsid w:val="00BE0D64"/>
    <w:rsid w:val="00BE151A"/>
    <w:rsid w:val="00BE24AB"/>
    <w:rsid w:val="00BE2E32"/>
    <w:rsid w:val="00BE45BD"/>
    <w:rsid w:val="00BE566C"/>
    <w:rsid w:val="00BE5949"/>
    <w:rsid w:val="00BE7BD8"/>
    <w:rsid w:val="00BE7BDE"/>
    <w:rsid w:val="00BF1024"/>
    <w:rsid w:val="00BF217D"/>
    <w:rsid w:val="00BF2DAF"/>
    <w:rsid w:val="00BF3219"/>
    <w:rsid w:val="00BF437D"/>
    <w:rsid w:val="00BF5C2C"/>
    <w:rsid w:val="00BF644D"/>
    <w:rsid w:val="00BF759A"/>
    <w:rsid w:val="00C00DAC"/>
    <w:rsid w:val="00C025FA"/>
    <w:rsid w:val="00C0428E"/>
    <w:rsid w:val="00C05092"/>
    <w:rsid w:val="00C05ACE"/>
    <w:rsid w:val="00C10518"/>
    <w:rsid w:val="00C1074A"/>
    <w:rsid w:val="00C1262B"/>
    <w:rsid w:val="00C12795"/>
    <w:rsid w:val="00C15237"/>
    <w:rsid w:val="00C15BBA"/>
    <w:rsid w:val="00C170EA"/>
    <w:rsid w:val="00C20E33"/>
    <w:rsid w:val="00C222BE"/>
    <w:rsid w:val="00C22C02"/>
    <w:rsid w:val="00C2408D"/>
    <w:rsid w:val="00C24C65"/>
    <w:rsid w:val="00C2513A"/>
    <w:rsid w:val="00C25438"/>
    <w:rsid w:val="00C25D35"/>
    <w:rsid w:val="00C271E1"/>
    <w:rsid w:val="00C31FE0"/>
    <w:rsid w:val="00C322CA"/>
    <w:rsid w:val="00C32CD8"/>
    <w:rsid w:val="00C34A39"/>
    <w:rsid w:val="00C34FAE"/>
    <w:rsid w:val="00C34FCD"/>
    <w:rsid w:val="00C35C11"/>
    <w:rsid w:val="00C3664C"/>
    <w:rsid w:val="00C36664"/>
    <w:rsid w:val="00C404B8"/>
    <w:rsid w:val="00C40637"/>
    <w:rsid w:val="00C412C0"/>
    <w:rsid w:val="00C43072"/>
    <w:rsid w:val="00C43455"/>
    <w:rsid w:val="00C4520A"/>
    <w:rsid w:val="00C453CB"/>
    <w:rsid w:val="00C460FF"/>
    <w:rsid w:val="00C47DA3"/>
    <w:rsid w:val="00C50E99"/>
    <w:rsid w:val="00C514A5"/>
    <w:rsid w:val="00C515BD"/>
    <w:rsid w:val="00C516ED"/>
    <w:rsid w:val="00C518B1"/>
    <w:rsid w:val="00C52820"/>
    <w:rsid w:val="00C53BE9"/>
    <w:rsid w:val="00C550E6"/>
    <w:rsid w:val="00C552A7"/>
    <w:rsid w:val="00C56245"/>
    <w:rsid w:val="00C56CC7"/>
    <w:rsid w:val="00C5718A"/>
    <w:rsid w:val="00C5735E"/>
    <w:rsid w:val="00C60655"/>
    <w:rsid w:val="00C60CE8"/>
    <w:rsid w:val="00C60DDE"/>
    <w:rsid w:val="00C61A3A"/>
    <w:rsid w:val="00C62679"/>
    <w:rsid w:val="00C6274C"/>
    <w:rsid w:val="00C631D4"/>
    <w:rsid w:val="00C635BF"/>
    <w:rsid w:val="00C65F75"/>
    <w:rsid w:val="00C66092"/>
    <w:rsid w:val="00C66F85"/>
    <w:rsid w:val="00C67BCE"/>
    <w:rsid w:val="00C73E40"/>
    <w:rsid w:val="00C74996"/>
    <w:rsid w:val="00C74C77"/>
    <w:rsid w:val="00C75DAC"/>
    <w:rsid w:val="00C76D40"/>
    <w:rsid w:val="00C77602"/>
    <w:rsid w:val="00C80355"/>
    <w:rsid w:val="00C81963"/>
    <w:rsid w:val="00C8290B"/>
    <w:rsid w:val="00C84434"/>
    <w:rsid w:val="00C85257"/>
    <w:rsid w:val="00C85BA9"/>
    <w:rsid w:val="00C87398"/>
    <w:rsid w:val="00C87E2B"/>
    <w:rsid w:val="00C90712"/>
    <w:rsid w:val="00C91442"/>
    <w:rsid w:val="00C92F7F"/>
    <w:rsid w:val="00C93374"/>
    <w:rsid w:val="00C94006"/>
    <w:rsid w:val="00C962B9"/>
    <w:rsid w:val="00CA05B1"/>
    <w:rsid w:val="00CA0C72"/>
    <w:rsid w:val="00CA0E54"/>
    <w:rsid w:val="00CA1542"/>
    <w:rsid w:val="00CA159A"/>
    <w:rsid w:val="00CA1D0F"/>
    <w:rsid w:val="00CA21F5"/>
    <w:rsid w:val="00CA2DA9"/>
    <w:rsid w:val="00CA2E69"/>
    <w:rsid w:val="00CA36A4"/>
    <w:rsid w:val="00CA3C5D"/>
    <w:rsid w:val="00CA3F8F"/>
    <w:rsid w:val="00CA63F9"/>
    <w:rsid w:val="00CB0424"/>
    <w:rsid w:val="00CB24DF"/>
    <w:rsid w:val="00CB2E3A"/>
    <w:rsid w:val="00CB43F9"/>
    <w:rsid w:val="00CB44DE"/>
    <w:rsid w:val="00CB498A"/>
    <w:rsid w:val="00CB5CBB"/>
    <w:rsid w:val="00CB5E19"/>
    <w:rsid w:val="00CB6231"/>
    <w:rsid w:val="00CB64AD"/>
    <w:rsid w:val="00CB78DD"/>
    <w:rsid w:val="00CB7ADD"/>
    <w:rsid w:val="00CC0426"/>
    <w:rsid w:val="00CC0607"/>
    <w:rsid w:val="00CC101E"/>
    <w:rsid w:val="00CC48FF"/>
    <w:rsid w:val="00CC60B9"/>
    <w:rsid w:val="00CC6247"/>
    <w:rsid w:val="00CC712D"/>
    <w:rsid w:val="00CD30C5"/>
    <w:rsid w:val="00CD7511"/>
    <w:rsid w:val="00CD7809"/>
    <w:rsid w:val="00CE107A"/>
    <w:rsid w:val="00CE1AF0"/>
    <w:rsid w:val="00CE301B"/>
    <w:rsid w:val="00CE3179"/>
    <w:rsid w:val="00CE3487"/>
    <w:rsid w:val="00CE34B7"/>
    <w:rsid w:val="00CE3EB1"/>
    <w:rsid w:val="00CE3EE4"/>
    <w:rsid w:val="00CE45B5"/>
    <w:rsid w:val="00CE714F"/>
    <w:rsid w:val="00CE7A66"/>
    <w:rsid w:val="00CF00E9"/>
    <w:rsid w:val="00CF0703"/>
    <w:rsid w:val="00CF1B64"/>
    <w:rsid w:val="00CF2957"/>
    <w:rsid w:val="00CF5859"/>
    <w:rsid w:val="00CF6665"/>
    <w:rsid w:val="00CF69E9"/>
    <w:rsid w:val="00D015FB"/>
    <w:rsid w:val="00D01F78"/>
    <w:rsid w:val="00D02686"/>
    <w:rsid w:val="00D041C3"/>
    <w:rsid w:val="00D11D19"/>
    <w:rsid w:val="00D11DDB"/>
    <w:rsid w:val="00D11F14"/>
    <w:rsid w:val="00D12239"/>
    <w:rsid w:val="00D125CF"/>
    <w:rsid w:val="00D12DED"/>
    <w:rsid w:val="00D13039"/>
    <w:rsid w:val="00D13ED6"/>
    <w:rsid w:val="00D14EEF"/>
    <w:rsid w:val="00D153D0"/>
    <w:rsid w:val="00D1689E"/>
    <w:rsid w:val="00D219E8"/>
    <w:rsid w:val="00D22662"/>
    <w:rsid w:val="00D2596A"/>
    <w:rsid w:val="00D2611D"/>
    <w:rsid w:val="00D26326"/>
    <w:rsid w:val="00D26749"/>
    <w:rsid w:val="00D26F8F"/>
    <w:rsid w:val="00D30549"/>
    <w:rsid w:val="00D306A9"/>
    <w:rsid w:val="00D3113C"/>
    <w:rsid w:val="00D31387"/>
    <w:rsid w:val="00D34A87"/>
    <w:rsid w:val="00D35A33"/>
    <w:rsid w:val="00D35BB5"/>
    <w:rsid w:val="00D368B7"/>
    <w:rsid w:val="00D36F9D"/>
    <w:rsid w:val="00D407FE"/>
    <w:rsid w:val="00D41451"/>
    <w:rsid w:val="00D415D2"/>
    <w:rsid w:val="00D42285"/>
    <w:rsid w:val="00D42B24"/>
    <w:rsid w:val="00D439B7"/>
    <w:rsid w:val="00D470F7"/>
    <w:rsid w:val="00D50E32"/>
    <w:rsid w:val="00D512D4"/>
    <w:rsid w:val="00D53625"/>
    <w:rsid w:val="00D54C5B"/>
    <w:rsid w:val="00D6142B"/>
    <w:rsid w:val="00D62893"/>
    <w:rsid w:val="00D62D1B"/>
    <w:rsid w:val="00D62D81"/>
    <w:rsid w:val="00D6378B"/>
    <w:rsid w:val="00D6423F"/>
    <w:rsid w:val="00D646BB"/>
    <w:rsid w:val="00D668D3"/>
    <w:rsid w:val="00D67A01"/>
    <w:rsid w:val="00D7007F"/>
    <w:rsid w:val="00D72E58"/>
    <w:rsid w:val="00D77105"/>
    <w:rsid w:val="00D779F5"/>
    <w:rsid w:val="00D77EFD"/>
    <w:rsid w:val="00D800A8"/>
    <w:rsid w:val="00D8055A"/>
    <w:rsid w:val="00D83DC6"/>
    <w:rsid w:val="00D84AF4"/>
    <w:rsid w:val="00D84B68"/>
    <w:rsid w:val="00D85CF3"/>
    <w:rsid w:val="00D8746D"/>
    <w:rsid w:val="00D87EED"/>
    <w:rsid w:val="00D90AD4"/>
    <w:rsid w:val="00D9152A"/>
    <w:rsid w:val="00D97EF8"/>
    <w:rsid w:val="00DA1013"/>
    <w:rsid w:val="00DA1D9A"/>
    <w:rsid w:val="00DA252D"/>
    <w:rsid w:val="00DA2C40"/>
    <w:rsid w:val="00DA3111"/>
    <w:rsid w:val="00DA4344"/>
    <w:rsid w:val="00DA44FC"/>
    <w:rsid w:val="00DA61F7"/>
    <w:rsid w:val="00DA6E24"/>
    <w:rsid w:val="00DA7141"/>
    <w:rsid w:val="00DB02EC"/>
    <w:rsid w:val="00DB38CD"/>
    <w:rsid w:val="00DB5A63"/>
    <w:rsid w:val="00DB5B37"/>
    <w:rsid w:val="00DB5B8B"/>
    <w:rsid w:val="00DB6337"/>
    <w:rsid w:val="00DB64AE"/>
    <w:rsid w:val="00DB6948"/>
    <w:rsid w:val="00DC0C61"/>
    <w:rsid w:val="00DC154C"/>
    <w:rsid w:val="00DC22AE"/>
    <w:rsid w:val="00DC22F6"/>
    <w:rsid w:val="00DC28D5"/>
    <w:rsid w:val="00DC3C94"/>
    <w:rsid w:val="00DC4478"/>
    <w:rsid w:val="00DC4AAA"/>
    <w:rsid w:val="00DC4EE0"/>
    <w:rsid w:val="00DC5022"/>
    <w:rsid w:val="00DC7798"/>
    <w:rsid w:val="00DC77A2"/>
    <w:rsid w:val="00DD0FAB"/>
    <w:rsid w:val="00DD1994"/>
    <w:rsid w:val="00DD1CD7"/>
    <w:rsid w:val="00DD1CD8"/>
    <w:rsid w:val="00DD24E9"/>
    <w:rsid w:val="00DD25A8"/>
    <w:rsid w:val="00DD2698"/>
    <w:rsid w:val="00DD36DE"/>
    <w:rsid w:val="00DD3DDB"/>
    <w:rsid w:val="00DD689D"/>
    <w:rsid w:val="00DD6B17"/>
    <w:rsid w:val="00DD774D"/>
    <w:rsid w:val="00DE160B"/>
    <w:rsid w:val="00DE17A3"/>
    <w:rsid w:val="00DE1DDC"/>
    <w:rsid w:val="00DE4C3B"/>
    <w:rsid w:val="00DE4DC4"/>
    <w:rsid w:val="00DE5E80"/>
    <w:rsid w:val="00DE6679"/>
    <w:rsid w:val="00DE695D"/>
    <w:rsid w:val="00DE7D7B"/>
    <w:rsid w:val="00DF1913"/>
    <w:rsid w:val="00DF1F40"/>
    <w:rsid w:val="00DF4030"/>
    <w:rsid w:val="00DF45BF"/>
    <w:rsid w:val="00DF4B8F"/>
    <w:rsid w:val="00DF63F4"/>
    <w:rsid w:val="00DF690E"/>
    <w:rsid w:val="00DF6D1A"/>
    <w:rsid w:val="00E01DE6"/>
    <w:rsid w:val="00E024B1"/>
    <w:rsid w:val="00E03B3C"/>
    <w:rsid w:val="00E051E9"/>
    <w:rsid w:val="00E0588C"/>
    <w:rsid w:val="00E05B0E"/>
    <w:rsid w:val="00E104C6"/>
    <w:rsid w:val="00E12092"/>
    <w:rsid w:val="00E13D5B"/>
    <w:rsid w:val="00E15071"/>
    <w:rsid w:val="00E1587A"/>
    <w:rsid w:val="00E17222"/>
    <w:rsid w:val="00E172B1"/>
    <w:rsid w:val="00E20323"/>
    <w:rsid w:val="00E20836"/>
    <w:rsid w:val="00E21345"/>
    <w:rsid w:val="00E21DA0"/>
    <w:rsid w:val="00E23C5A"/>
    <w:rsid w:val="00E23F54"/>
    <w:rsid w:val="00E24D58"/>
    <w:rsid w:val="00E24DD3"/>
    <w:rsid w:val="00E25102"/>
    <w:rsid w:val="00E25E78"/>
    <w:rsid w:val="00E262D9"/>
    <w:rsid w:val="00E263F0"/>
    <w:rsid w:val="00E321AA"/>
    <w:rsid w:val="00E34061"/>
    <w:rsid w:val="00E354A9"/>
    <w:rsid w:val="00E360D5"/>
    <w:rsid w:val="00E364F2"/>
    <w:rsid w:val="00E407C3"/>
    <w:rsid w:val="00E40DEE"/>
    <w:rsid w:val="00E428D0"/>
    <w:rsid w:val="00E43A89"/>
    <w:rsid w:val="00E43C24"/>
    <w:rsid w:val="00E448B1"/>
    <w:rsid w:val="00E5080A"/>
    <w:rsid w:val="00E526EF"/>
    <w:rsid w:val="00E543BE"/>
    <w:rsid w:val="00E54BCB"/>
    <w:rsid w:val="00E5591B"/>
    <w:rsid w:val="00E56C94"/>
    <w:rsid w:val="00E574DE"/>
    <w:rsid w:val="00E626ED"/>
    <w:rsid w:val="00E631EB"/>
    <w:rsid w:val="00E6464D"/>
    <w:rsid w:val="00E72299"/>
    <w:rsid w:val="00E723CD"/>
    <w:rsid w:val="00E72721"/>
    <w:rsid w:val="00E73632"/>
    <w:rsid w:val="00E73899"/>
    <w:rsid w:val="00E73EA5"/>
    <w:rsid w:val="00E74A25"/>
    <w:rsid w:val="00E76B6A"/>
    <w:rsid w:val="00E7706A"/>
    <w:rsid w:val="00E77E9F"/>
    <w:rsid w:val="00E816AB"/>
    <w:rsid w:val="00E82B5E"/>
    <w:rsid w:val="00E83421"/>
    <w:rsid w:val="00E836A7"/>
    <w:rsid w:val="00E878F3"/>
    <w:rsid w:val="00E9075B"/>
    <w:rsid w:val="00E9153E"/>
    <w:rsid w:val="00E91E57"/>
    <w:rsid w:val="00E92BA8"/>
    <w:rsid w:val="00E92FC4"/>
    <w:rsid w:val="00E93AAD"/>
    <w:rsid w:val="00E940A3"/>
    <w:rsid w:val="00E9486A"/>
    <w:rsid w:val="00E96F39"/>
    <w:rsid w:val="00EA682D"/>
    <w:rsid w:val="00EA6BA3"/>
    <w:rsid w:val="00EA7E74"/>
    <w:rsid w:val="00EB04AE"/>
    <w:rsid w:val="00EB0A82"/>
    <w:rsid w:val="00EB1706"/>
    <w:rsid w:val="00EB1857"/>
    <w:rsid w:val="00EB25EF"/>
    <w:rsid w:val="00EB2C03"/>
    <w:rsid w:val="00EB46B1"/>
    <w:rsid w:val="00EB5060"/>
    <w:rsid w:val="00EB5602"/>
    <w:rsid w:val="00EB6CD0"/>
    <w:rsid w:val="00EC1E0D"/>
    <w:rsid w:val="00EC2244"/>
    <w:rsid w:val="00EC4FF9"/>
    <w:rsid w:val="00EC5B28"/>
    <w:rsid w:val="00EC6165"/>
    <w:rsid w:val="00EC6261"/>
    <w:rsid w:val="00ED0454"/>
    <w:rsid w:val="00ED1EC3"/>
    <w:rsid w:val="00ED296D"/>
    <w:rsid w:val="00ED2F82"/>
    <w:rsid w:val="00ED6343"/>
    <w:rsid w:val="00ED6A12"/>
    <w:rsid w:val="00ED6E1C"/>
    <w:rsid w:val="00ED72E7"/>
    <w:rsid w:val="00ED763E"/>
    <w:rsid w:val="00ED7885"/>
    <w:rsid w:val="00ED7CC5"/>
    <w:rsid w:val="00EE1450"/>
    <w:rsid w:val="00EE3B2A"/>
    <w:rsid w:val="00EE4291"/>
    <w:rsid w:val="00EE4B0E"/>
    <w:rsid w:val="00EE56CC"/>
    <w:rsid w:val="00EE6ADB"/>
    <w:rsid w:val="00EE6DD3"/>
    <w:rsid w:val="00EF1475"/>
    <w:rsid w:val="00EF6733"/>
    <w:rsid w:val="00EF6A11"/>
    <w:rsid w:val="00EF6C8D"/>
    <w:rsid w:val="00F009BA"/>
    <w:rsid w:val="00F01E62"/>
    <w:rsid w:val="00F021FA"/>
    <w:rsid w:val="00F03BCE"/>
    <w:rsid w:val="00F04AE2"/>
    <w:rsid w:val="00F04EFB"/>
    <w:rsid w:val="00F077B7"/>
    <w:rsid w:val="00F07C81"/>
    <w:rsid w:val="00F10ECC"/>
    <w:rsid w:val="00F11640"/>
    <w:rsid w:val="00F12B9B"/>
    <w:rsid w:val="00F15493"/>
    <w:rsid w:val="00F173E0"/>
    <w:rsid w:val="00F20F37"/>
    <w:rsid w:val="00F218E3"/>
    <w:rsid w:val="00F21BEE"/>
    <w:rsid w:val="00F23518"/>
    <w:rsid w:val="00F26C8E"/>
    <w:rsid w:val="00F273DA"/>
    <w:rsid w:val="00F30FA0"/>
    <w:rsid w:val="00F34F73"/>
    <w:rsid w:val="00F36161"/>
    <w:rsid w:val="00F36635"/>
    <w:rsid w:val="00F3765B"/>
    <w:rsid w:val="00F407C6"/>
    <w:rsid w:val="00F408ED"/>
    <w:rsid w:val="00F40AE6"/>
    <w:rsid w:val="00F4159C"/>
    <w:rsid w:val="00F43511"/>
    <w:rsid w:val="00F435C4"/>
    <w:rsid w:val="00F43AE1"/>
    <w:rsid w:val="00F447BA"/>
    <w:rsid w:val="00F44EA7"/>
    <w:rsid w:val="00F46DA8"/>
    <w:rsid w:val="00F47312"/>
    <w:rsid w:val="00F5395B"/>
    <w:rsid w:val="00F54204"/>
    <w:rsid w:val="00F544FD"/>
    <w:rsid w:val="00F54F7C"/>
    <w:rsid w:val="00F60023"/>
    <w:rsid w:val="00F62770"/>
    <w:rsid w:val="00F64CE2"/>
    <w:rsid w:val="00F66C31"/>
    <w:rsid w:val="00F71B9C"/>
    <w:rsid w:val="00F71DE0"/>
    <w:rsid w:val="00F71FE1"/>
    <w:rsid w:val="00F72E23"/>
    <w:rsid w:val="00F73699"/>
    <w:rsid w:val="00F74517"/>
    <w:rsid w:val="00F74F62"/>
    <w:rsid w:val="00F74FEB"/>
    <w:rsid w:val="00F75CAB"/>
    <w:rsid w:val="00F75E72"/>
    <w:rsid w:val="00F7629D"/>
    <w:rsid w:val="00F77072"/>
    <w:rsid w:val="00F8090E"/>
    <w:rsid w:val="00F8191B"/>
    <w:rsid w:val="00F82C11"/>
    <w:rsid w:val="00F83D0D"/>
    <w:rsid w:val="00F83F2E"/>
    <w:rsid w:val="00F841CD"/>
    <w:rsid w:val="00F858FC"/>
    <w:rsid w:val="00F8656B"/>
    <w:rsid w:val="00F869A9"/>
    <w:rsid w:val="00F8733B"/>
    <w:rsid w:val="00F87C54"/>
    <w:rsid w:val="00F9119D"/>
    <w:rsid w:val="00F91EF1"/>
    <w:rsid w:val="00F93A87"/>
    <w:rsid w:val="00F96FB3"/>
    <w:rsid w:val="00F97E31"/>
    <w:rsid w:val="00FA1262"/>
    <w:rsid w:val="00FA34AD"/>
    <w:rsid w:val="00FA5A04"/>
    <w:rsid w:val="00FA5BB4"/>
    <w:rsid w:val="00FA729E"/>
    <w:rsid w:val="00FA7846"/>
    <w:rsid w:val="00FB3404"/>
    <w:rsid w:val="00FB37C2"/>
    <w:rsid w:val="00FB6AAB"/>
    <w:rsid w:val="00FC0577"/>
    <w:rsid w:val="00FC0CE6"/>
    <w:rsid w:val="00FC3BE4"/>
    <w:rsid w:val="00FC4C8D"/>
    <w:rsid w:val="00FC5807"/>
    <w:rsid w:val="00FC6487"/>
    <w:rsid w:val="00FC671D"/>
    <w:rsid w:val="00FD3BA4"/>
    <w:rsid w:val="00FD5CE0"/>
    <w:rsid w:val="00FD7BB9"/>
    <w:rsid w:val="00FE1606"/>
    <w:rsid w:val="00FE56F4"/>
    <w:rsid w:val="00FE6AA7"/>
    <w:rsid w:val="00FE71A0"/>
    <w:rsid w:val="00FF079B"/>
    <w:rsid w:val="00FF0B51"/>
    <w:rsid w:val="00FF2203"/>
    <w:rsid w:val="00FF44CE"/>
    <w:rsid w:val="00FF4959"/>
    <w:rsid w:val="00FF5076"/>
    <w:rsid w:val="00FF5C8B"/>
    <w:rsid w:val="00FF5FB5"/>
    <w:rsid w:val="00FF6B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4EC"/>
    <w:pPr>
      <w:jc w:val="both"/>
    </w:pPr>
    <w:rPr>
      <w:rFonts w:ascii="Arial" w:hAnsi="Arial"/>
      <w:lang w:val="en-GB" w:eastAsia="zh-CN"/>
    </w:rPr>
  </w:style>
  <w:style w:type="paragraph" w:styleId="1">
    <w:name w:val="heading 1"/>
    <w:basedOn w:val="a"/>
    <w:next w:val="Body1"/>
    <w:qFormat/>
    <w:rsid w:val="000774EC"/>
    <w:pPr>
      <w:keepNext/>
      <w:numPr>
        <w:numId w:val="2"/>
      </w:numPr>
      <w:spacing w:after="240"/>
      <w:outlineLvl w:val="0"/>
    </w:pPr>
    <w:rPr>
      <w:b/>
      <w:sz w:val="24"/>
    </w:rPr>
  </w:style>
  <w:style w:type="paragraph" w:styleId="2">
    <w:name w:val="heading 2"/>
    <w:basedOn w:val="a"/>
    <w:next w:val="Body2"/>
    <w:qFormat/>
    <w:rsid w:val="000774EC"/>
    <w:pPr>
      <w:numPr>
        <w:ilvl w:val="1"/>
        <w:numId w:val="2"/>
      </w:numPr>
      <w:spacing w:after="240"/>
      <w:outlineLvl w:val="1"/>
    </w:pPr>
  </w:style>
  <w:style w:type="paragraph" w:styleId="3">
    <w:name w:val="heading 3"/>
    <w:basedOn w:val="a"/>
    <w:next w:val="Body3"/>
    <w:link w:val="3Char"/>
    <w:qFormat/>
    <w:rsid w:val="000774EC"/>
    <w:pPr>
      <w:numPr>
        <w:ilvl w:val="2"/>
        <w:numId w:val="2"/>
      </w:numPr>
      <w:spacing w:after="240"/>
      <w:outlineLvl w:val="2"/>
    </w:pPr>
  </w:style>
  <w:style w:type="paragraph" w:styleId="4">
    <w:name w:val="heading 4"/>
    <w:basedOn w:val="a"/>
    <w:next w:val="Body4"/>
    <w:qFormat/>
    <w:rsid w:val="000774EC"/>
    <w:pPr>
      <w:numPr>
        <w:ilvl w:val="3"/>
        <w:numId w:val="2"/>
      </w:numPr>
      <w:spacing w:after="240"/>
      <w:outlineLvl w:val="3"/>
    </w:pPr>
  </w:style>
  <w:style w:type="paragraph" w:styleId="5">
    <w:name w:val="heading 5"/>
    <w:basedOn w:val="a"/>
    <w:next w:val="Body5"/>
    <w:qFormat/>
    <w:rsid w:val="000774EC"/>
    <w:pPr>
      <w:numPr>
        <w:ilvl w:val="4"/>
        <w:numId w:val="2"/>
      </w:numPr>
      <w:spacing w:after="240"/>
      <w:outlineLvl w:val="4"/>
    </w:pPr>
  </w:style>
  <w:style w:type="paragraph" w:styleId="6">
    <w:name w:val="heading 6"/>
    <w:basedOn w:val="a"/>
    <w:next w:val="Body6"/>
    <w:qFormat/>
    <w:rsid w:val="000774EC"/>
    <w:pPr>
      <w:numPr>
        <w:ilvl w:val="5"/>
        <w:numId w:val="2"/>
      </w:numPr>
      <w:spacing w:after="240"/>
      <w:outlineLvl w:val="5"/>
    </w:pPr>
  </w:style>
  <w:style w:type="paragraph" w:styleId="7">
    <w:name w:val="heading 7"/>
    <w:basedOn w:val="a"/>
    <w:next w:val="Body7"/>
    <w:qFormat/>
    <w:rsid w:val="000774EC"/>
    <w:pPr>
      <w:numPr>
        <w:ilvl w:val="6"/>
        <w:numId w:val="2"/>
      </w:numPr>
      <w:spacing w:after="240"/>
      <w:outlineLvl w:val="6"/>
    </w:pPr>
  </w:style>
  <w:style w:type="paragraph" w:styleId="8">
    <w:name w:val="heading 8"/>
    <w:basedOn w:val="a"/>
    <w:next w:val="Body8"/>
    <w:qFormat/>
    <w:rsid w:val="000774EC"/>
    <w:pPr>
      <w:numPr>
        <w:ilvl w:val="7"/>
        <w:numId w:val="2"/>
      </w:numPr>
      <w:spacing w:after="240"/>
      <w:outlineLvl w:val="7"/>
    </w:pPr>
  </w:style>
  <w:style w:type="paragraph" w:styleId="9">
    <w:name w:val="heading 9"/>
    <w:basedOn w:val="a"/>
    <w:next w:val="Body9"/>
    <w:qFormat/>
    <w:rsid w:val="000774EC"/>
    <w:pPr>
      <w:numPr>
        <w:ilvl w:val="8"/>
        <w:numId w:val="2"/>
      </w:numPr>
      <w:spacing w:after="240"/>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774EC"/>
    <w:pPr>
      <w:spacing w:after="240"/>
    </w:pPr>
  </w:style>
  <w:style w:type="paragraph" w:customStyle="1" w:styleId="Body1">
    <w:name w:val="Body1"/>
    <w:basedOn w:val="a"/>
    <w:rsid w:val="000774EC"/>
    <w:pPr>
      <w:spacing w:after="240"/>
      <w:ind w:left="567"/>
    </w:pPr>
  </w:style>
  <w:style w:type="paragraph" w:customStyle="1" w:styleId="Body2">
    <w:name w:val="Body2"/>
    <w:basedOn w:val="a"/>
    <w:rsid w:val="000774EC"/>
    <w:pPr>
      <w:spacing w:after="240"/>
      <w:ind w:left="567"/>
    </w:pPr>
  </w:style>
  <w:style w:type="paragraph" w:customStyle="1" w:styleId="Body3">
    <w:name w:val="Body3"/>
    <w:basedOn w:val="a"/>
    <w:rsid w:val="000774EC"/>
    <w:pPr>
      <w:spacing w:after="240"/>
      <w:ind w:left="567"/>
    </w:pPr>
  </w:style>
  <w:style w:type="paragraph" w:customStyle="1" w:styleId="Body4">
    <w:name w:val="Body4"/>
    <w:basedOn w:val="a"/>
    <w:rsid w:val="000774EC"/>
    <w:pPr>
      <w:spacing w:after="240"/>
      <w:ind w:left="1276"/>
    </w:pPr>
  </w:style>
  <w:style w:type="paragraph" w:customStyle="1" w:styleId="Body5">
    <w:name w:val="Body5"/>
    <w:basedOn w:val="a"/>
    <w:rsid w:val="000774EC"/>
    <w:pPr>
      <w:spacing w:after="240"/>
      <w:ind w:left="1843"/>
    </w:pPr>
  </w:style>
  <w:style w:type="paragraph" w:customStyle="1" w:styleId="Body6">
    <w:name w:val="Body6"/>
    <w:basedOn w:val="a"/>
    <w:rsid w:val="000774EC"/>
    <w:pPr>
      <w:spacing w:after="240"/>
      <w:ind w:left="2409"/>
    </w:pPr>
  </w:style>
  <w:style w:type="paragraph" w:customStyle="1" w:styleId="Body7">
    <w:name w:val="Body7"/>
    <w:basedOn w:val="a"/>
    <w:rsid w:val="000774EC"/>
    <w:pPr>
      <w:spacing w:after="240"/>
      <w:ind w:left="2976"/>
    </w:pPr>
  </w:style>
  <w:style w:type="paragraph" w:customStyle="1" w:styleId="Body8">
    <w:name w:val="Body8"/>
    <w:basedOn w:val="a"/>
    <w:rsid w:val="000774EC"/>
    <w:pPr>
      <w:spacing w:after="240"/>
      <w:ind w:left="3543"/>
    </w:pPr>
  </w:style>
  <w:style w:type="paragraph" w:customStyle="1" w:styleId="Body9">
    <w:name w:val="Body9"/>
    <w:basedOn w:val="a"/>
    <w:rsid w:val="000774EC"/>
    <w:pPr>
      <w:spacing w:after="240"/>
      <w:ind w:left="4110"/>
    </w:pPr>
  </w:style>
  <w:style w:type="paragraph" w:styleId="a4">
    <w:name w:val="footer"/>
    <w:basedOn w:val="a"/>
    <w:rsid w:val="000774EC"/>
    <w:pPr>
      <w:tabs>
        <w:tab w:val="center" w:pos="4536"/>
        <w:tab w:val="right" w:pos="9072"/>
      </w:tabs>
    </w:pPr>
  </w:style>
  <w:style w:type="character" w:styleId="a5">
    <w:name w:val="footnote reference"/>
    <w:semiHidden/>
    <w:rsid w:val="000774EC"/>
    <w:rPr>
      <w:vertAlign w:val="superscript"/>
    </w:rPr>
  </w:style>
  <w:style w:type="paragraph" w:styleId="a6">
    <w:name w:val="footnote text"/>
    <w:basedOn w:val="a"/>
    <w:link w:val="Char"/>
    <w:semiHidden/>
    <w:rsid w:val="000774EC"/>
    <w:rPr>
      <w:sz w:val="16"/>
    </w:rPr>
  </w:style>
  <w:style w:type="paragraph" w:styleId="a7">
    <w:name w:val="header"/>
    <w:basedOn w:val="a"/>
    <w:rsid w:val="000774EC"/>
    <w:pPr>
      <w:tabs>
        <w:tab w:val="center" w:pos="4536"/>
        <w:tab w:val="right" w:pos="9072"/>
      </w:tabs>
    </w:pPr>
  </w:style>
  <w:style w:type="paragraph" w:customStyle="1" w:styleId="PrecedentNote">
    <w:name w:val="Precedent Note"/>
    <w:basedOn w:val="a"/>
    <w:rsid w:val="000774EC"/>
    <w:pPr>
      <w:spacing w:after="240"/>
      <w:jc w:val="left"/>
    </w:pPr>
    <w:rPr>
      <w:b/>
      <w:i/>
      <w:color w:val="000080"/>
    </w:rPr>
  </w:style>
  <w:style w:type="paragraph" w:customStyle="1" w:styleId="Schedule">
    <w:name w:val="Schedule"/>
    <w:basedOn w:val="a"/>
    <w:next w:val="a"/>
    <w:rsid w:val="000774EC"/>
    <w:pPr>
      <w:numPr>
        <w:numId w:val="1"/>
      </w:numPr>
      <w:tabs>
        <w:tab w:val="clear" w:pos="0"/>
      </w:tabs>
      <w:spacing w:after="240" w:line="360" w:lineRule="auto"/>
      <w:jc w:val="center"/>
    </w:pPr>
    <w:rPr>
      <w:b/>
      <w:sz w:val="24"/>
    </w:rPr>
  </w:style>
  <w:style w:type="paragraph" w:styleId="10">
    <w:name w:val="toc 1"/>
    <w:basedOn w:val="a"/>
    <w:next w:val="a"/>
    <w:semiHidden/>
    <w:rsid w:val="000774EC"/>
    <w:pPr>
      <w:tabs>
        <w:tab w:val="left" w:pos="567"/>
        <w:tab w:val="right" w:leader="dot" w:pos="9071"/>
      </w:tabs>
      <w:spacing w:before="240"/>
      <w:jc w:val="left"/>
    </w:pPr>
    <w:rPr>
      <w:noProof/>
    </w:rPr>
  </w:style>
  <w:style w:type="paragraph" w:styleId="20">
    <w:name w:val="toc 2"/>
    <w:basedOn w:val="a"/>
    <w:next w:val="a"/>
    <w:semiHidden/>
    <w:rsid w:val="000774EC"/>
    <w:pPr>
      <w:tabs>
        <w:tab w:val="left" w:pos="1134"/>
        <w:tab w:val="right" w:leader="dot" w:pos="9071"/>
      </w:tabs>
      <w:ind w:left="567"/>
      <w:jc w:val="left"/>
    </w:pPr>
    <w:rPr>
      <w:noProof/>
    </w:rPr>
  </w:style>
  <w:style w:type="paragraph" w:styleId="30">
    <w:name w:val="toc 3"/>
    <w:basedOn w:val="a"/>
    <w:next w:val="a"/>
    <w:autoRedefine/>
    <w:semiHidden/>
    <w:rsid w:val="000774EC"/>
    <w:pPr>
      <w:tabs>
        <w:tab w:val="left" w:pos="1701"/>
        <w:tab w:val="right" w:leader="dot" w:pos="9072"/>
      </w:tabs>
      <w:ind w:left="1701" w:hanging="567"/>
    </w:pPr>
    <w:rPr>
      <w:noProof/>
    </w:rPr>
  </w:style>
  <w:style w:type="paragraph" w:styleId="40">
    <w:name w:val="toc 4"/>
    <w:basedOn w:val="a"/>
    <w:next w:val="a"/>
    <w:autoRedefine/>
    <w:semiHidden/>
    <w:rsid w:val="000774EC"/>
    <w:pPr>
      <w:tabs>
        <w:tab w:val="left" w:pos="2268"/>
        <w:tab w:val="right" w:leader="dot" w:pos="9072"/>
      </w:tabs>
      <w:ind w:left="2268" w:hanging="567"/>
    </w:pPr>
    <w:rPr>
      <w:noProof/>
    </w:rPr>
  </w:style>
  <w:style w:type="paragraph" w:styleId="50">
    <w:name w:val="toc 5"/>
    <w:basedOn w:val="a"/>
    <w:next w:val="a"/>
    <w:autoRedefine/>
    <w:semiHidden/>
    <w:rsid w:val="000774EC"/>
    <w:pPr>
      <w:tabs>
        <w:tab w:val="left" w:pos="2835"/>
        <w:tab w:val="right" w:leader="dot" w:pos="9072"/>
      </w:tabs>
      <w:ind w:left="2835" w:hanging="567"/>
    </w:pPr>
    <w:rPr>
      <w:noProof/>
    </w:rPr>
  </w:style>
  <w:style w:type="paragraph" w:styleId="60">
    <w:name w:val="toc 6"/>
    <w:basedOn w:val="a"/>
    <w:next w:val="a"/>
    <w:autoRedefine/>
    <w:semiHidden/>
    <w:rsid w:val="000774EC"/>
    <w:pPr>
      <w:tabs>
        <w:tab w:val="left" w:pos="3402"/>
        <w:tab w:val="right" w:leader="dot" w:pos="9072"/>
      </w:tabs>
      <w:ind w:left="3402" w:hanging="567"/>
    </w:pPr>
    <w:rPr>
      <w:noProof/>
    </w:rPr>
  </w:style>
  <w:style w:type="paragraph" w:styleId="70">
    <w:name w:val="toc 7"/>
    <w:basedOn w:val="a"/>
    <w:next w:val="a"/>
    <w:autoRedefine/>
    <w:semiHidden/>
    <w:rsid w:val="000774EC"/>
    <w:pPr>
      <w:tabs>
        <w:tab w:val="left" w:pos="3969"/>
        <w:tab w:val="right" w:leader="dot" w:pos="9072"/>
      </w:tabs>
      <w:ind w:left="3969" w:hanging="567"/>
    </w:pPr>
    <w:rPr>
      <w:noProof/>
    </w:rPr>
  </w:style>
  <w:style w:type="paragraph" w:styleId="80">
    <w:name w:val="toc 8"/>
    <w:basedOn w:val="a"/>
    <w:next w:val="a"/>
    <w:autoRedefine/>
    <w:semiHidden/>
    <w:rsid w:val="000774EC"/>
    <w:pPr>
      <w:tabs>
        <w:tab w:val="left" w:pos="4536"/>
        <w:tab w:val="right" w:leader="dot" w:pos="9072"/>
      </w:tabs>
      <w:ind w:left="4536" w:hanging="567"/>
    </w:pPr>
    <w:rPr>
      <w:noProof/>
    </w:rPr>
  </w:style>
  <w:style w:type="paragraph" w:styleId="90">
    <w:name w:val="toc 9"/>
    <w:basedOn w:val="a"/>
    <w:next w:val="a"/>
    <w:autoRedefine/>
    <w:semiHidden/>
    <w:rsid w:val="000774EC"/>
    <w:pPr>
      <w:tabs>
        <w:tab w:val="left" w:pos="5103"/>
        <w:tab w:val="right" w:leader="dot" w:pos="9072"/>
      </w:tabs>
      <w:ind w:left="5103" w:hanging="567"/>
    </w:pPr>
    <w:rPr>
      <w:noProof/>
    </w:rPr>
  </w:style>
  <w:style w:type="paragraph" w:customStyle="1" w:styleId="Heading3List">
    <w:name w:val="Heading 3 List"/>
    <w:basedOn w:val="3"/>
    <w:next w:val="Body3List"/>
    <w:rsid w:val="000774EC"/>
    <w:pPr>
      <w:tabs>
        <w:tab w:val="clear" w:pos="567"/>
        <w:tab w:val="left" w:pos="851"/>
      </w:tabs>
      <w:ind w:left="850" w:hanging="737"/>
    </w:pPr>
  </w:style>
  <w:style w:type="paragraph" w:customStyle="1" w:styleId="Body3List">
    <w:name w:val="Body3 List"/>
    <w:basedOn w:val="a"/>
    <w:rsid w:val="000774EC"/>
    <w:pPr>
      <w:spacing w:after="240"/>
      <w:ind w:left="851"/>
    </w:pPr>
  </w:style>
  <w:style w:type="paragraph" w:customStyle="1" w:styleId="Heading2Title">
    <w:name w:val="Heading 2 Title"/>
    <w:basedOn w:val="2"/>
    <w:next w:val="Body2"/>
    <w:rsid w:val="000774EC"/>
    <w:rPr>
      <w:b/>
    </w:rPr>
  </w:style>
  <w:style w:type="character" w:styleId="-">
    <w:name w:val="Hyperlink"/>
    <w:uiPriority w:val="99"/>
    <w:rsid w:val="006C500B"/>
    <w:rPr>
      <w:color w:val="0000FF"/>
      <w:u w:val="single"/>
    </w:rPr>
  </w:style>
  <w:style w:type="paragraph" w:customStyle="1" w:styleId="Default">
    <w:name w:val="Default"/>
    <w:rsid w:val="006C500B"/>
    <w:pPr>
      <w:autoSpaceDE w:val="0"/>
      <w:autoSpaceDN w:val="0"/>
      <w:adjustRightInd w:val="0"/>
    </w:pPr>
    <w:rPr>
      <w:rFonts w:eastAsia="Times New Roman"/>
      <w:color w:val="000000"/>
      <w:sz w:val="24"/>
      <w:szCs w:val="24"/>
      <w:lang w:val="en-US" w:eastAsia="en-US"/>
    </w:rPr>
  </w:style>
  <w:style w:type="character" w:customStyle="1" w:styleId="3Char">
    <w:name w:val="Επικεφαλίδα 3 Char"/>
    <w:link w:val="3"/>
    <w:rsid w:val="00732DA1"/>
    <w:rPr>
      <w:rFonts w:ascii="Arial" w:hAnsi="Arial"/>
      <w:lang w:val="en-GB" w:eastAsia="zh-CN"/>
    </w:rPr>
  </w:style>
  <w:style w:type="character" w:styleId="-0">
    <w:name w:val="FollowedHyperlink"/>
    <w:rsid w:val="00887B24"/>
    <w:rPr>
      <w:color w:val="800080"/>
      <w:u w:val="single"/>
    </w:rPr>
  </w:style>
  <w:style w:type="character" w:styleId="a8">
    <w:name w:val="page number"/>
    <w:basedOn w:val="a0"/>
    <w:rsid w:val="001B5DA4"/>
  </w:style>
  <w:style w:type="character" w:customStyle="1" w:styleId="Char">
    <w:name w:val="Κείμενο υποσημείωσης Char"/>
    <w:link w:val="a6"/>
    <w:semiHidden/>
    <w:rsid w:val="00AB42D9"/>
    <w:rPr>
      <w:rFonts w:ascii="Arial" w:eastAsia="SimSun" w:hAnsi="Arial"/>
      <w:sz w:val="16"/>
      <w:lang w:val="en-GB" w:eastAsia="zh-CN" w:bidi="ar-SA"/>
    </w:rPr>
  </w:style>
  <w:style w:type="paragraph" w:customStyle="1" w:styleId="BodyText">
    <w:name w:val="_BodyText"/>
    <w:basedOn w:val="a"/>
    <w:rsid w:val="00744037"/>
    <w:pPr>
      <w:spacing w:before="220"/>
      <w:jc w:val="left"/>
    </w:pPr>
    <w:rPr>
      <w:color w:val="000000"/>
      <w:kern w:val="2"/>
      <w:sz w:val="22"/>
    </w:rPr>
  </w:style>
  <w:style w:type="paragraph" w:styleId="a9">
    <w:name w:val="Balloon Text"/>
    <w:basedOn w:val="a"/>
    <w:link w:val="Char0"/>
    <w:uiPriority w:val="99"/>
    <w:semiHidden/>
    <w:unhideWhenUsed/>
    <w:rsid w:val="000E1080"/>
    <w:rPr>
      <w:rFonts w:ascii="Tahoma" w:hAnsi="Tahoma"/>
      <w:sz w:val="16"/>
      <w:szCs w:val="16"/>
    </w:rPr>
  </w:style>
  <w:style w:type="character" w:customStyle="1" w:styleId="Char0">
    <w:name w:val="Κείμενο πλαισίου Char"/>
    <w:link w:val="a9"/>
    <w:uiPriority w:val="99"/>
    <w:semiHidden/>
    <w:rsid w:val="000E1080"/>
    <w:rPr>
      <w:rFonts w:ascii="Tahoma" w:hAnsi="Tahoma" w:cs="Tahoma"/>
      <w:sz w:val="16"/>
      <w:szCs w:val="16"/>
      <w:lang w:val="en-GB" w:eastAsia="zh-CN"/>
    </w:rPr>
  </w:style>
  <w:style w:type="character" w:styleId="aa">
    <w:name w:val="annotation reference"/>
    <w:uiPriority w:val="99"/>
    <w:semiHidden/>
    <w:unhideWhenUsed/>
    <w:rsid w:val="001F1CDA"/>
    <w:rPr>
      <w:sz w:val="16"/>
      <w:szCs w:val="16"/>
    </w:rPr>
  </w:style>
  <w:style w:type="paragraph" w:styleId="ab">
    <w:name w:val="annotation text"/>
    <w:basedOn w:val="a"/>
    <w:link w:val="Char1"/>
    <w:uiPriority w:val="99"/>
    <w:semiHidden/>
    <w:unhideWhenUsed/>
    <w:rsid w:val="001F1CDA"/>
    <w:rPr>
      <w:lang/>
    </w:rPr>
  </w:style>
  <w:style w:type="character" w:customStyle="1" w:styleId="Char1">
    <w:name w:val="Κείμενο σχολίου Char"/>
    <w:link w:val="ab"/>
    <w:uiPriority w:val="99"/>
    <w:semiHidden/>
    <w:rsid w:val="001F1CDA"/>
    <w:rPr>
      <w:rFonts w:ascii="Arial" w:hAnsi="Arial"/>
      <w:lang w:eastAsia="zh-CN"/>
    </w:rPr>
  </w:style>
  <w:style w:type="paragraph" w:styleId="ac">
    <w:name w:val="annotation subject"/>
    <w:basedOn w:val="ab"/>
    <w:next w:val="ab"/>
    <w:link w:val="Char2"/>
    <w:uiPriority w:val="99"/>
    <w:semiHidden/>
    <w:unhideWhenUsed/>
    <w:rsid w:val="001F1CDA"/>
    <w:rPr>
      <w:b/>
      <w:bCs/>
    </w:rPr>
  </w:style>
  <w:style w:type="character" w:customStyle="1" w:styleId="Char2">
    <w:name w:val="Θέμα σχολίου Char"/>
    <w:link w:val="ac"/>
    <w:uiPriority w:val="99"/>
    <w:semiHidden/>
    <w:rsid w:val="001F1CDA"/>
    <w:rPr>
      <w:rFonts w:ascii="Arial" w:hAnsi="Arial"/>
      <w:b/>
      <w:bCs/>
      <w:lang w:eastAsia="zh-CN"/>
    </w:rPr>
  </w:style>
  <w:style w:type="paragraph" w:styleId="21">
    <w:name w:val="Body Text Indent 2"/>
    <w:basedOn w:val="a"/>
    <w:link w:val="2Char"/>
    <w:uiPriority w:val="99"/>
    <w:semiHidden/>
    <w:unhideWhenUsed/>
    <w:rsid w:val="002D11F2"/>
    <w:pPr>
      <w:spacing w:after="120" w:line="480" w:lineRule="auto"/>
      <w:ind w:left="283"/>
    </w:pPr>
  </w:style>
  <w:style w:type="character" w:customStyle="1" w:styleId="2Char">
    <w:name w:val="Σώμα κείμενου με εσοχή 2 Char"/>
    <w:link w:val="21"/>
    <w:uiPriority w:val="99"/>
    <w:semiHidden/>
    <w:rsid w:val="002D11F2"/>
    <w:rPr>
      <w:rFonts w:ascii="Arial" w:hAnsi="Arial"/>
      <w:lang w:val="en-GB" w:eastAsia="zh-CN"/>
    </w:rPr>
  </w:style>
  <w:style w:type="paragraph" w:styleId="31">
    <w:name w:val="Body Text 3"/>
    <w:basedOn w:val="a"/>
    <w:link w:val="3Char0"/>
    <w:uiPriority w:val="99"/>
    <w:unhideWhenUsed/>
    <w:rsid w:val="007D0982"/>
    <w:pPr>
      <w:spacing w:after="120"/>
    </w:pPr>
    <w:rPr>
      <w:sz w:val="16"/>
      <w:szCs w:val="16"/>
    </w:rPr>
  </w:style>
  <w:style w:type="character" w:customStyle="1" w:styleId="3Char0">
    <w:name w:val="Σώμα κείμενου 3 Char"/>
    <w:link w:val="31"/>
    <w:uiPriority w:val="99"/>
    <w:rsid w:val="007D0982"/>
    <w:rPr>
      <w:rFonts w:ascii="Arial" w:hAnsi="Arial"/>
      <w:sz w:val="16"/>
      <w:szCs w:val="16"/>
      <w:lang w:val="en-GB" w:eastAsia="zh-CN"/>
    </w:rPr>
  </w:style>
  <w:style w:type="paragraph" w:styleId="ad">
    <w:name w:val="Body Text Indent"/>
    <w:basedOn w:val="a"/>
    <w:link w:val="Char3"/>
    <w:uiPriority w:val="99"/>
    <w:semiHidden/>
    <w:unhideWhenUsed/>
    <w:rsid w:val="00B344A1"/>
    <w:pPr>
      <w:spacing w:after="120"/>
      <w:ind w:left="283"/>
    </w:pPr>
  </w:style>
  <w:style w:type="character" w:customStyle="1" w:styleId="Char3">
    <w:name w:val="Σώμα κείμενου με εσοχή Char"/>
    <w:link w:val="ad"/>
    <w:uiPriority w:val="99"/>
    <w:semiHidden/>
    <w:rsid w:val="00B344A1"/>
    <w:rPr>
      <w:rFonts w:ascii="Arial" w:hAnsi="Arial"/>
      <w:lang w:val="en-GB" w:eastAsia="zh-CN"/>
    </w:rPr>
  </w:style>
  <w:style w:type="paragraph" w:styleId="ae">
    <w:name w:val="Revision"/>
    <w:hidden/>
    <w:uiPriority w:val="99"/>
    <w:semiHidden/>
    <w:rsid w:val="00443A81"/>
    <w:rPr>
      <w:rFonts w:ascii="Arial" w:hAnsi="Arial"/>
      <w:lang w:val="en-GB" w:eastAsia="zh-CN"/>
    </w:rPr>
  </w:style>
</w:styles>
</file>

<file path=word/webSettings.xml><?xml version="1.0" encoding="utf-8"?>
<w:webSettings xmlns:r="http://schemas.openxmlformats.org/officeDocument/2006/relationships" xmlns:w="http://schemas.openxmlformats.org/wordprocessingml/2006/main">
  <w:divs>
    <w:div w:id="11820102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bank.gr" TargetMode="External"/><Relationship Id="rId13" Type="http://schemas.openxmlformats.org/officeDocument/2006/relationships/hyperlink" Target="http://www.hcmc.gr/el_GR/web/portal/deltiaprotaseon12mino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cmc.gr/el_GR/web/portal/publicproposa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mc.gr" TargetMode="External"/><Relationship Id="rId5" Type="http://schemas.openxmlformats.org/officeDocument/2006/relationships/webSettings" Target="webSettings.xml"/><Relationship Id="rId15" Type="http://schemas.openxmlformats.org/officeDocument/2006/relationships/hyperlink" Target="http://www.helex.gr/el/web/guest/companies-information-memorandum-informative-material" TargetMode="External"/><Relationship Id="rId10" Type="http://schemas.openxmlformats.org/officeDocument/2006/relationships/hyperlink" Target="http://grivalia.com/ependites/enimerotika-delt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urobank.gr/online/home/generic.aspx?id=1355&amp;mid=363&amp;lang=gr" TargetMode="External"/><Relationship Id="rId14" Type="http://schemas.openxmlformats.org/officeDocument/2006/relationships/hyperlink" Target="http://www.helex.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FF73B-1B5E-42A5-837F-91F7D823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1910</Words>
  <Characters>10320</Characters>
  <Application>Microsoft Office Word</Application>
  <DocSecurity>0</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vt:lpstr>
      <vt:lpstr>Title</vt:lpstr>
    </vt:vector>
  </TitlesOfParts>
  <Company>Norton Rose</Company>
  <LinksUpToDate>false</LinksUpToDate>
  <CharactersWithSpaces>12206</CharactersWithSpaces>
  <SharedDoc>false</SharedDoc>
  <HLinks>
    <vt:vector size="48" baseType="variant">
      <vt:variant>
        <vt:i4>7864382</vt:i4>
      </vt:variant>
      <vt:variant>
        <vt:i4>21</vt:i4>
      </vt:variant>
      <vt:variant>
        <vt:i4>0</vt:i4>
      </vt:variant>
      <vt:variant>
        <vt:i4>5</vt:i4>
      </vt:variant>
      <vt:variant>
        <vt:lpwstr>http://www.helex.gr/el/web/guest/companies-information-memorandum-informative-material</vt:lpwstr>
      </vt:variant>
      <vt:variant>
        <vt:lpwstr/>
      </vt:variant>
      <vt:variant>
        <vt:i4>2031628</vt:i4>
      </vt:variant>
      <vt:variant>
        <vt:i4>18</vt:i4>
      </vt:variant>
      <vt:variant>
        <vt:i4>0</vt:i4>
      </vt:variant>
      <vt:variant>
        <vt:i4>5</vt:i4>
      </vt:variant>
      <vt:variant>
        <vt:lpwstr>http://www.helex.gr/</vt:lpwstr>
      </vt:variant>
      <vt:variant>
        <vt:lpwstr/>
      </vt:variant>
      <vt:variant>
        <vt:i4>5111841</vt:i4>
      </vt:variant>
      <vt:variant>
        <vt:i4>15</vt:i4>
      </vt:variant>
      <vt:variant>
        <vt:i4>0</vt:i4>
      </vt:variant>
      <vt:variant>
        <vt:i4>5</vt:i4>
      </vt:variant>
      <vt:variant>
        <vt:lpwstr>http://www.hcmc.gr/el_GR/web/portal/deltiaprotaseon12minou</vt:lpwstr>
      </vt:variant>
      <vt:variant>
        <vt:lpwstr/>
      </vt:variant>
      <vt:variant>
        <vt:i4>262251</vt:i4>
      </vt:variant>
      <vt:variant>
        <vt:i4>12</vt:i4>
      </vt:variant>
      <vt:variant>
        <vt:i4>0</vt:i4>
      </vt:variant>
      <vt:variant>
        <vt:i4>5</vt:i4>
      </vt:variant>
      <vt:variant>
        <vt:lpwstr>http://www.hcmc.gr/el_GR/web/portal/publicproposals</vt:lpwstr>
      </vt:variant>
      <vt:variant>
        <vt:lpwstr/>
      </vt:variant>
      <vt:variant>
        <vt:i4>7471159</vt:i4>
      </vt:variant>
      <vt:variant>
        <vt:i4>9</vt:i4>
      </vt:variant>
      <vt:variant>
        <vt:i4>0</vt:i4>
      </vt:variant>
      <vt:variant>
        <vt:i4>5</vt:i4>
      </vt:variant>
      <vt:variant>
        <vt:lpwstr>http://www.hcmc.gr/</vt:lpwstr>
      </vt:variant>
      <vt:variant>
        <vt:lpwstr/>
      </vt:variant>
      <vt:variant>
        <vt:i4>5046274</vt:i4>
      </vt:variant>
      <vt:variant>
        <vt:i4>6</vt:i4>
      </vt:variant>
      <vt:variant>
        <vt:i4>0</vt:i4>
      </vt:variant>
      <vt:variant>
        <vt:i4>5</vt:i4>
      </vt:variant>
      <vt:variant>
        <vt:lpwstr>http://grivalia.com/ependites/enimerotika-deltia/</vt:lpwstr>
      </vt:variant>
      <vt:variant>
        <vt:lpwstr/>
      </vt:variant>
      <vt:variant>
        <vt:i4>131098</vt:i4>
      </vt:variant>
      <vt:variant>
        <vt:i4>3</vt:i4>
      </vt:variant>
      <vt:variant>
        <vt:i4>0</vt:i4>
      </vt:variant>
      <vt:variant>
        <vt:i4>5</vt:i4>
      </vt:variant>
      <vt:variant>
        <vt:lpwstr>https://www.eurobank.gr/online/home/generic.aspx?id=1355&amp;mid=363&amp;lang=gr</vt:lpwstr>
      </vt:variant>
      <vt:variant>
        <vt:lpwstr/>
      </vt:variant>
      <vt:variant>
        <vt:i4>7077927</vt:i4>
      </vt:variant>
      <vt:variant>
        <vt:i4>0</vt:i4>
      </vt:variant>
      <vt:variant>
        <vt:i4>0</vt:i4>
      </vt:variant>
      <vt:variant>
        <vt:i4>5</vt:i4>
      </vt:variant>
      <vt:variant>
        <vt:lpwstr>http://www.eurobank.gr/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vvva</dc:creator>
  <cp:lastModifiedBy>sTOLIS</cp:lastModifiedBy>
  <cp:revision>2</cp:revision>
  <cp:lastPrinted>2017-08-03T16:28:00Z</cp:lastPrinted>
  <dcterms:created xsi:type="dcterms:W3CDTF">2017-08-04T10:04:00Z</dcterms:created>
  <dcterms:modified xsi:type="dcterms:W3CDTF">2017-08-04T10:04:00Z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Ref">
    <vt:lpwstr>ATH-#3792801-v2</vt:lpwstr>
  </property>
  <property fmtid="{D5CDD505-2E9C-101B-9397-08002B2CF9AE}" pid="3" name="iManageEng">
    <vt:lpwstr>0</vt:lpwstr>
  </property>
  <property fmtid="{D5CDD505-2E9C-101B-9397-08002B2CF9AE}" pid="4" name="wsPV">
    <vt:lpwstr>PotamitisVekris Law Partnership Ref. Num.: 2109682.2</vt:lpwstr>
  </property>
</Properties>
</file>