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14:anchorId="5FF79D06" wp14:editId="394FC785">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69596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noProof/>
          <w:lang w:eastAsia="el-GR"/>
        </w:rPr>
        <mc:AlternateContent>
          <mc:Choice Requires="wps">
            <w:drawing>
              <wp:anchor distT="0" distB="0" distL="114300" distR="114300" simplePos="0" relativeHeight="251645440" behindDoc="0" locked="0" layoutInCell="1" allowOverlap="1" wp14:anchorId="5C7009E3" wp14:editId="513825B3">
                <wp:simplePos x="0" y="0"/>
                <wp:positionH relativeFrom="column">
                  <wp:posOffset>-540385</wp:posOffset>
                </wp:positionH>
                <wp:positionV relativeFrom="paragraph">
                  <wp:posOffset>45720</wp:posOffset>
                </wp:positionV>
                <wp:extent cx="2080895" cy="1530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FE58E" id="Rectangle 3" o:spid="_x0000_s1026" style="position:absolute;margin-left:-42.55pt;margin-top:3.6pt;width:163.8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mc:Fallback>
        </mc:AlternateContent>
      </w:r>
      <w:r>
        <w:rPr>
          <w:rFonts w:ascii="Segoe UI" w:hAnsi="Segoe UI" w:cs="Segoe UI"/>
          <w:noProof/>
          <w:lang w:eastAsia="el-GR"/>
        </w:rPr>
        <mc:AlternateContent>
          <mc:Choice Requires="wps">
            <w:drawing>
              <wp:anchor distT="0" distB="0" distL="114300" distR="114300" simplePos="0" relativeHeight="251648512" behindDoc="0" locked="0" layoutInCell="1" allowOverlap="1" wp14:anchorId="0A7F36AB" wp14:editId="4D60E349">
                <wp:simplePos x="0" y="0"/>
                <wp:positionH relativeFrom="column">
                  <wp:posOffset>-539115</wp:posOffset>
                </wp:positionH>
                <wp:positionV relativeFrom="paragraph">
                  <wp:posOffset>-65879</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AE8C20" id="Rectangle 28" o:spid="_x0000_s1026" style="position:absolute;margin-left:-42.45pt;margin-top:-5.2pt;width:89.2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mc:Fallback>
        </mc:AlternateContent>
      </w:r>
    </w:p>
    <w:p w:rsidR="000765E8" w:rsidRPr="00EE40A0" w:rsidRDefault="00430659"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6464" behindDoc="0" locked="0" layoutInCell="1" allowOverlap="1" wp14:anchorId="0D111D3F" wp14:editId="649BC4D0">
                <wp:simplePos x="0" y="0"/>
                <wp:positionH relativeFrom="column">
                  <wp:posOffset>-226060</wp:posOffset>
                </wp:positionH>
                <wp:positionV relativeFrom="paragraph">
                  <wp:posOffset>184311</wp:posOffset>
                </wp:positionV>
                <wp:extent cx="1593215" cy="1282700"/>
                <wp:effectExtent l="0" t="0" r="698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282700"/>
                        </a:xfrm>
                        <a:prstGeom prst="rect">
                          <a:avLst/>
                        </a:prstGeom>
                        <a:noFill/>
                        <a:ln w="6350">
                          <a:noFill/>
                        </a:ln>
                      </wps:spPr>
                      <wps:txbx>
                        <w:txbxContent>
                          <w:p w:rsidR="00817D20" w:rsidRPr="00F81F11" w:rsidRDefault="00817D20" w:rsidP="000765E8">
                            <w:pPr>
                              <w:spacing w:line="460" w:lineRule="exact"/>
                              <w:jc w:val="right"/>
                              <w:rPr>
                                <w:b/>
                                <w:bCs/>
                                <w:color w:val="FFFFFF" w:themeColor="background1"/>
                                <w:sz w:val="40"/>
                                <w:szCs w:val="40"/>
                              </w:rPr>
                            </w:pPr>
                            <w:r>
                              <w:rPr>
                                <w:b/>
                                <w:bCs/>
                                <w:color w:val="CDEEF1"/>
                                <w:sz w:val="40"/>
                                <w:szCs w:val="40"/>
                              </w:rPr>
                              <w:t>Όμιλος ΕΤΕ</w:t>
                            </w:r>
                          </w:p>
                          <w:p w:rsidR="00817D20" w:rsidRPr="00F81F11" w:rsidRDefault="00817D20" w:rsidP="000765E8">
                            <w:pPr>
                              <w:spacing w:line="460" w:lineRule="exact"/>
                              <w:jc w:val="right"/>
                              <w:rPr>
                                <w:b/>
                                <w:bCs/>
                                <w:color w:val="FFFFFF" w:themeColor="background1"/>
                                <w:sz w:val="44"/>
                                <w:szCs w:val="44"/>
                              </w:rPr>
                            </w:pPr>
                            <w:r>
                              <w:rPr>
                                <w:b/>
                                <w:bCs/>
                                <w:color w:val="FFFFFF" w:themeColor="background1"/>
                                <w:sz w:val="36"/>
                                <w:szCs w:val="36"/>
                              </w:rPr>
                              <w:t>Αποτελέσματα Οικονομικού Έτους 20</w:t>
                            </w:r>
                            <w:r w:rsidRPr="002607A2">
                              <w:rPr>
                                <w:b/>
                                <w:bCs/>
                                <w:color w:val="FFFFFF" w:themeColor="background1"/>
                                <w:sz w:val="36"/>
                                <w:szCs w:val="36"/>
                              </w:rPr>
                              <w:t>20</w:t>
                            </w:r>
                            <w:r>
                              <w:rPr>
                                <w:b/>
                                <w:bCs/>
                                <w:color w:val="FFFFFF" w:themeColor="background1"/>
                                <w:sz w:val="36"/>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1D3F" id="_x0000_t202" coordsize="21600,21600" o:spt="202" path="m,l,21600r21600,l21600,xe">
                <v:stroke joinstyle="miter"/>
                <v:path gradientshapeok="t" o:connecttype="rect"/>
              </v:shapetype>
              <v:shape id="Text Box 1" o:spid="_x0000_s1026" type="#_x0000_t202" style="position:absolute;left:0;text-align:left;margin-left:-17.8pt;margin-top:14.5pt;width:125.45pt;height:1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heNQIAAGMEAAAOAAAAZHJzL2Uyb0RvYy54bWysVMtu2zAQvBfoPxC813okTlLBcuAmcFHA&#10;SALYRc40RVpCKS5L0pbcr++Skh0j7anohV5xh/uY2fXsvm8VOQjrGtAlzSYpJUJzqBq9K+n3zfLT&#10;HSXOM10xBVqU9CgcvZ9//DDrTCFyqEFVwhIMol3RmZLW3psiSRyvRcvcBIzQ6JRgW+bx0+6SyrIO&#10;o7cqydP0JunAVsYCF87h7ePgpPMYX0rB/bOUTniiSoq1+XjaeG7DmcxnrNhZZuqGj2Wwf6iiZY3G&#10;pOdQj8wzsrfNH6HahltwIP2EQ5uAlA0XsQfsJkvfdbOumRGxFyTHmTNN7v+F5U+HF0uaqqTXlGjW&#10;okQb0XvyBXqSBXY64woErQ3CfI/XqHLs1JkV8B8OIckFZnjgEB3Y6KVtwy/2SfAhCnA8kx6y8BBt&#10;+vkqz6aUcPRl+V1+m0ZZkrfnxjr/VUBLglFSi6rGEthh5XwogBUnSMimYdkoFZVVmnQlvbmapvHB&#10;2YMvlB4rH4oNPfh+248tb6E6YscWholxhi8bTL5izr8wiyOCveDY+2c8pAJMAqNFSQ3219/uAx6V&#10;Qy8lHY5cSd3PPbOCEvVNo6ZhPqNxPb3N8cOebreXt3rfPgBOc4aLZXg0A9arkykttK+4FYuQDV1M&#10;c8xZUn8yH/ywALhVXCwWEYTTaJhf6bXhJ4EDpZv+lVkz8u5Rsic4DSUr3tE/YAcBFnsPsonaBGIH&#10;Nke+cZKjZOPWhVW5/I6ot/+G+W8AAAD//wMAUEsDBBQABgAIAAAAIQCKqB7p3QAAAAoBAAAPAAAA&#10;ZHJzL2Rvd25yZXYueG1sTI9NTsMwEEb3SNzBGiR2rZ1ErWgap4qKOAANB3Bjk6TY4xA7P709wwp2&#10;M5qnb95XnFZn2WzG0HuUkGwFMION1z22Ej7qt80LsBAVamU9Ggl3E+BUPj4UKtd+wXczX2LLKARD&#10;riR0MQ4556HpjFNh6weDdPv0o1OR1rHlelQLhTvLUyH23Kke6UOnBnPuTPN1mZyE+fA6IVaZXfp7&#10;LarvulrOt1bK56e1OgKLZo1/MPzqkzqU5HT1E+rArIRNttsTKiE9UCcC0mSXAbvSkCUCeFnw/xXK&#10;HwAAAP//AwBQSwECLQAUAAYACAAAACEAtoM4kv4AAADhAQAAEwAAAAAAAAAAAAAAAAAAAAAAW0Nv&#10;bnRlbnRfVHlwZXNdLnhtbFBLAQItABQABgAIAAAAIQA4/SH/1gAAAJQBAAALAAAAAAAAAAAAAAAA&#10;AC8BAABfcmVscy8ucmVsc1BLAQItABQABgAIAAAAIQAgpvheNQIAAGMEAAAOAAAAAAAAAAAAAAAA&#10;AC4CAABkcnMvZTJvRG9jLnhtbFBLAQItABQABgAIAAAAIQCKqB7p3QAAAAoBAAAPAAAAAAAAAAAA&#10;AAAAAI8EAABkcnMvZG93bnJldi54bWxQSwUGAAAAAAQABADzAAAAmQUAAAAA&#10;" filled="f" stroked="f" strokeweight=".5pt">
                <v:path arrowok="t"/>
                <v:textbox inset="0,,0">
                  <w:txbxContent>
                    <w:p w:rsidR="00817D20" w:rsidRPr="00F81F11" w:rsidRDefault="00817D20" w:rsidP="000765E8">
                      <w:pPr>
                        <w:spacing w:line="460" w:lineRule="exact"/>
                        <w:jc w:val="right"/>
                        <w:rPr>
                          <w:b/>
                          <w:bCs/>
                          <w:color w:val="FFFFFF" w:themeColor="background1"/>
                          <w:sz w:val="40"/>
                          <w:szCs w:val="40"/>
                        </w:rPr>
                      </w:pPr>
                      <w:r>
                        <w:rPr>
                          <w:b/>
                          <w:bCs/>
                          <w:color w:val="CDEEF1"/>
                          <w:sz w:val="40"/>
                          <w:szCs w:val="40"/>
                        </w:rPr>
                        <w:t>Όμιλος ΕΤΕ</w:t>
                      </w:r>
                    </w:p>
                    <w:p w:rsidR="00817D20" w:rsidRPr="00F81F11" w:rsidRDefault="00817D20" w:rsidP="000765E8">
                      <w:pPr>
                        <w:spacing w:line="460" w:lineRule="exact"/>
                        <w:jc w:val="right"/>
                        <w:rPr>
                          <w:b/>
                          <w:bCs/>
                          <w:color w:val="FFFFFF" w:themeColor="background1"/>
                          <w:sz w:val="44"/>
                          <w:szCs w:val="44"/>
                        </w:rPr>
                      </w:pPr>
                      <w:r>
                        <w:rPr>
                          <w:b/>
                          <w:bCs/>
                          <w:color w:val="FFFFFF" w:themeColor="background1"/>
                          <w:sz w:val="36"/>
                          <w:szCs w:val="36"/>
                        </w:rPr>
                        <w:t>Αποτελέσματα Οικονομικού Έτους 20</w:t>
                      </w:r>
                      <w:r w:rsidRPr="002607A2">
                        <w:rPr>
                          <w:b/>
                          <w:bCs/>
                          <w:color w:val="FFFFFF" w:themeColor="background1"/>
                          <w:sz w:val="36"/>
                          <w:szCs w:val="36"/>
                        </w:rPr>
                        <w:t>20</w:t>
                      </w:r>
                      <w:r>
                        <w:rPr>
                          <w:b/>
                          <w:bCs/>
                          <w:color w:val="FFFFFF" w:themeColor="background1"/>
                          <w:sz w:val="36"/>
                          <w:szCs w:val="36"/>
                        </w:rPr>
                        <w:t xml:space="preserve"> </w:t>
                      </w:r>
                    </w:p>
                  </w:txbxContent>
                </v:textbox>
              </v:shape>
            </w:pict>
          </mc:Fallback>
        </mc:AlternateContent>
      </w:r>
      <w:r w:rsidR="009F7797">
        <w:rPr>
          <w:rFonts w:ascii="Segoe UI" w:hAnsi="Segoe UI" w:cs="Segoe UI"/>
          <w:noProof/>
          <w:color w:val="646464"/>
          <w:lang w:eastAsia="el-GR"/>
        </w:rPr>
        <mc:AlternateContent>
          <mc:Choice Requires="wps">
            <w:drawing>
              <wp:anchor distT="0" distB="0" distL="114300" distR="114300" simplePos="0" relativeHeight="251651584" behindDoc="0" locked="0" layoutInCell="1" allowOverlap="1" wp14:anchorId="2E763CBD" wp14:editId="0904DB6E">
                <wp:simplePos x="0" y="0"/>
                <wp:positionH relativeFrom="column">
                  <wp:posOffset>1591310</wp:posOffset>
                </wp:positionH>
                <wp:positionV relativeFrom="page">
                  <wp:posOffset>912656</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rsidR="00817D20" w:rsidRPr="00F81F11" w:rsidRDefault="00817D20" w:rsidP="008E0A91">
                            <w:pPr>
                              <w:rPr>
                                <w:rFonts w:ascii="Calibri" w:hAnsi="Calibri"/>
                                <w:color w:val="00AFC3"/>
                                <w:sz w:val="52"/>
                                <w:szCs w:val="52"/>
                              </w:rPr>
                            </w:pPr>
                            <w:r>
                              <w:rPr>
                                <w:rFonts w:ascii="Calibri" w:hAnsi="Calibri"/>
                                <w:b/>
                                <w:color w:val="00AFC3"/>
                                <w:sz w:val="52"/>
                                <w:szCs w:val="52"/>
                              </w:rPr>
                              <w:t>ΔΕΛΤΙΟ ΤΥΠΟΥ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63CBD" id="Text Box 60" o:spid="_x0000_s1027" type="#_x0000_t202" style="position:absolute;left:0;text-align:left;margin-left:125.3pt;margin-top:71.85pt;width:311.6pt;height:3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VOgIAAHMEAAAOAAAAZHJzL2Uyb0RvYy54bWysVMlu2zAQvRfoPxC81/IeR7AcuAlcFDCS&#10;AHaQM02RllCRw5K0JffrO6TkBWlPRS8UyXmc5b0ZzR8aVZGjsK4EndFBr0+J0BzyUu8z+rZdfZlR&#10;4jzTOatAi4yehKMPi8+f5rVJxRAKqHJhCTrRLq1NRgvvTZokjhdCMdcDIzQaJVjFPB7tPsktq9G7&#10;qpJhvz9NarC5scCFc3j71BrpIvqXUnD/IqUTnlQZxdx8XG1cd2FNFnOW7i0zRcm7NNg/ZKFYqTHo&#10;xdUT84wcbPmHK1VyCw6k73FQCUhZchFrwGoG/Q/VbApmRKwFyXHmQpP7f2758/HVkjJH7caUaKZQ&#10;o61oPPkKDZlGfmrjUoRtDAJ9g/eIjbU6swb+wyGFyQ0mUO9Sh+jARyOtCl+slOBDlOB0oT2E4Xg5&#10;up/cjYZo4mgbz0azuxg3ub421vlvAhQJm4xalDVmwI5r50N8lp4hIZiGVVlVUdpKkzqj09GkHx9c&#10;LPii0l3iba4ha9/smpaM0BjhZgf5Ceu20HaOM3xVYg5r5vwrs9gqmDa2v3/BRVaAsaDbUVKA/fW3&#10;+4BHBdFKSY2tl1H388CsoKT6rlHb+8F4HHo1HsaTu0CNvbXsbi36oB4Bu3uAg2Z43Aa8r85baUG9&#10;45QsQ1Q0Mc0xdkb9efvo24HAKeNiuYwg7E7D/FpvDD/LHRjeNu/Mmk4GjwI+w7lJWfpBjRbb6rE8&#10;eJBllOrKakc/dnZUsJvCMDq354i6/isWvwEAAP//AwBQSwMEFAAGAAgAAAAhACSHiFzgAAAACwEA&#10;AA8AAABkcnMvZG93bnJldi54bWxMj01Lw0AQhu+C/2EZwZvdtNUmjdmUInoRpFgL4m2aHbPR/YjZ&#10;bRv/veNJj8P78M7zVqvRWXGkIXbBK5hOMhDkm6A73yrYvTxcFSBiQq/RBk8KvinCqj4/q7DU4eSf&#10;6bhNreASH0tUYFLqSyljY8hhnISePGfvYXCY+BxaqQc8cbmzcpZlC+mw8/zBYE93hprP7cEpyIs3&#10;bT6Gx3H3+rT+Mpte2nuUSl1ejOtbEInG9AfDrz6rQ81O+3DwOgqrYHaTLRjl4Hqeg2CiyOc8Zs/R&#10;dLkEWVfy/4b6BwAA//8DAFBLAQItABQABgAIAAAAIQC2gziS/gAAAOEBAAATAAAAAAAAAAAAAAAA&#10;AAAAAABbQ29udGVudF9UeXBlc10ueG1sUEsBAi0AFAAGAAgAAAAhADj9If/WAAAAlAEAAAsAAAAA&#10;AAAAAAAAAAAALwEAAF9yZWxzLy5yZWxzUEsBAi0AFAAGAAgAAAAhAGzeMxU6AgAAcwQAAA4AAAAA&#10;AAAAAAAAAAAALgIAAGRycy9lMm9Eb2MueG1sUEsBAi0AFAAGAAgAAAAhACSHiFzgAAAACwEAAA8A&#10;AAAAAAAAAAAAAAAAlAQAAGRycy9kb3ducmV2LnhtbFBLBQYAAAAABAAEAPMAAAChBQAAAAA=&#10;" filled="f" stroked="f" strokeweight=".5pt">
                <v:path arrowok="t"/>
                <v:textbox>
                  <w:txbxContent>
                    <w:p w:rsidR="00817D20" w:rsidRPr="00F81F11" w:rsidRDefault="00817D20"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mc:Fallback>
        </mc:AlternateContent>
      </w:r>
    </w:p>
    <w:p w:rsidR="000765E8" w:rsidRPr="00EE40A0" w:rsidRDefault="000765E8" w:rsidP="000765E8">
      <w:pPr>
        <w:pStyle w:val="body"/>
        <w:rPr>
          <w:rFonts w:ascii="Segoe UI" w:hAnsi="Segoe UI" w:cs="Segoe UI"/>
          <w:lang w:val="en-US"/>
        </w:rPr>
      </w:pPr>
    </w:p>
    <w:p w:rsidR="000765E8" w:rsidRPr="00EE40A0" w:rsidRDefault="00223B8E"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9536" behindDoc="0" locked="0" layoutInCell="1" allowOverlap="1" wp14:anchorId="3FC2EB7E" wp14:editId="33D12481">
                <wp:simplePos x="0" y="0"/>
                <wp:positionH relativeFrom="column">
                  <wp:posOffset>1683703</wp:posOffset>
                </wp:positionH>
                <wp:positionV relativeFrom="paragraph">
                  <wp:posOffset>2540</wp:posOffset>
                </wp:positionV>
                <wp:extent cx="3652837" cy="85725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837" cy="857250"/>
                        </a:xfrm>
                        <a:prstGeom prst="rect">
                          <a:avLst/>
                        </a:prstGeom>
                        <a:noFill/>
                        <a:ln w="6350">
                          <a:noFill/>
                        </a:ln>
                      </wps:spPr>
                      <wps:txbx>
                        <w:txbxContent>
                          <w:p w:rsidR="00817D20" w:rsidRPr="005532E8" w:rsidRDefault="00817D20" w:rsidP="008E0A91">
                            <w:pPr>
                              <w:rPr>
                                <w:color w:val="007180"/>
                                <w:sz w:val="40"/>
                                <w:szCs w:val="34"/>
                              </w:rPr>
                            </w:pPr>
                            <w:r w:rsidRPr="005532E8">
                              <w:rPr>
                                <w:color w:val="007180"/>
                                <w:sz w:val="32"/>
                                <w:szCs w:val="33"/>
                              </w:rPr>
                              <w:t>2020: έ</w:t>
                            </w:r>
                            <w:r>
                              <w:rPr>
                                <w:color w:val="007180"/>
                                <w:sz w:val="32"/>
                                <w:szCs w:val="33"/>
                              </w:rPr>
                              <w:t>τος</w:t>
                            </w:r>
                            <w:r w:rsidRPr="005532E8">
                              <w:rPr>
                                <w:color w:val="007180"/>
                                <w:sz w:val="32"/>
                                <w:szCs w:val="33"/>
                              </w:rPr>
                              <w:t xml:space="preserve"> </w:t>
                            </w:r>
                            <w:r>
                              <w:rPr>
                                <w:color w:val="007180"/>
                                <w:sz w:val="32"/>
                                <w:szCs w:val="33"/>
                              </w:rPr>
                              <w:t xml:space="preserve">μεγάλων </w:t>
                            </w:r>
                            <w:r w:rsidRPr="005532E8">
                              <w:rPr>
                                <w:color w:val="007180"/>
                                <w:sz w:val="32"/>
                                <w:szCs w:val="33"/>
                              </w:rPr>
                              <w:t xml:space="preserve">προκλήσεων και σημαντικών </w:t>
                            </w:r>
                            <w:r>
                              <w:rPr>
                                <w:color w:val="007180"/>
                                <w:sz w:val="32"/>
                                <w:szCs w:val="33"/>
                              </w:rPr>
                              <w:t xml:space="preserve">θετικών </w:t>
                            </w:r>
                            <w:r w:rsidRPr="005532E8">
                              <w:rPr>
                                <w:color w:val="007180"/>
                                <w:sz w:val="32"/>
                                <w:szCs w:val="33"/>
                              </w:rPr>
                              <w:t xml:space="preserve">εξελίξεων για την Εθνική Τράπεζα </w:t>
                            </w: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Pr="00D63B45" w:rsidRDefault="00817D20" w:rsidP="008E0A91">
                            <w:pPr>
                              <w:rPr>
                                <w:color w:val="007180"/>
                                <w:sz w:val="34"/>
                                <w:szCs w:val="3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EB7E" id="Text Box 2" o:spid="_x0000_s1028" type="#_x0000_t202" style="position:absolute;left:0;text-align:left;margin-left:132.6pt;margin-top:.2pt;width:287.6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hWNAIAAGkEAAAOAAAAZHJzL2Uyb0RvYy54bWysVEtv2zAMvg/YfxB0X5zHkgZGnCJrkWFA&#10;0BZIip4VWYqNSaImKbG7Xz9KjtOs22nYRaZIio/vI724bbUiJ+F8Daago8GQEmE4lLU5FPR5t/40&#10;p8QHZkqmwIiCvgpPb5cfPywam4sxVKBK4QgGMT5vbEGrEGyeZZ5XQjM/ACsMGiU4zQJe3SErHWsw&#10;ulbZeDicZQ240jrgwnvU3ndGukzxpRQ8PErpRSCqoFhbSKdL5z6e2XLB8oNjtqr5uQz2D1VoVhtM&#10;egl1zwIjR1f/EUrX3IEHGQYcdAZS1lykHrCb0fBdN9uKWZF6QXC8vcDk/19Y/nB6cqQuCzqhxDCN&#10;FO1EG8gXaMk4otNYn6PT1qJbaFGNLKdOvd0A/+7RJbvy6R549I5otNLp+MU+CT5EAl4voMcsHJWT&#10;2XQ8n9xQwtE2n96Mp4mV7O21dT58FaBJFArqkNRUATttfIj5Wd67xGQG1rVSiVhlSFPQ2QRD/mbB&#10;F8qcC+9qjS2Edt8mKC6N76F8xb4ddHPjLV/XWMOG+fDEHA4KdoTDHx7xkAowF5wlSipwP/+mj/7I&#10;H1opaXDwCup/HJkTlKhvBpmNU5qEz4gFXlyv3V9rzVHfAc70CNfL8iRG36B6UTrQL7gbq5gNTcxw&#10;zFnQ0It3oVsD3C0uVqvkhDNpWdiYreU9zRHZXfvCnD3DH5C4B+hHk+XvWOh8O7RXxwCyThRFfDs0&#10;z7DjPCfmzrsXF+b6nrze/hDLXwAAAP//AwBQSwMEFAAGAAgAAAAhAAZ9HM/bAAAACAEAAA8AAABk&#10;cnMvZG93bnJldi54bWxMj01OwzAQRvdI3MEaJHbUIU2rEuJUUREHoOEAbjwkAXscYuent2dYwW5G&#10;39M3b4rj6qyYcQy9JwWPmwQEUuNNT62C9/r14QAiRE1GW0+o4IoBjuXtTaFz4xd6w/kcW8ElFHKt&#10;oItxyKUMTYdOh40fkDj78KPTkdexlWbUC5c7K9Mk2Uune+ILnR7w1GHzdZ6cgvnpZSKqtnbpr3VS&#10;fdfVcvpslbq/W6tnEBHX+AfDrz6rQ8lOFz+RCcIqSPe7lFEFGQiOD1nCw4W57S4DWRby/wPlDwAA&#10;AP//AwBQSwECLQAUAAYACAAAACEAtoM4kv4AAADhAQAAEwAAAAAAAAAAAAAAAAAAAAAAW0NvbnRl&#10;bnRfVHlwZXNdLnhtbFBLAQItABQABgAIAAAAIQA4/SH/1gAAAJQBAAALAAAAAAAAAAAAAAAAAC8B&#10;AABfcmVscy8ucmVsc1BLAQItABQABgAIAAAAIQBl9AhWNAIAAGkEAAAOAAAAAAAAAAAAAAAAAC4C&#10;AABkcnMvZTJvRG9jLnhtbFBLAQItABQABgAIAAAAIQAGfRzP2wAAAAgBAAAPAAAAAAAAAAAAAAAA&#10;AI4EAABkcnMvZG93bnJldi54bWxQSwUGAAAAAAQABADzAAAAlgUAAAAA&#10;" filled="f" stroked="f" strokeweight=".5pt">
                <v:path arrowok="t"/>
                <v:textbox inset="0,,0">
                  <w:txbxContent>
                    <w:p w:rsidR="00817D20" w:rsidRPr="005532E8" w:rsidRDefault="00817D20" w:rsidP="008E0A91">
                      <w:pPr>
                        <w:rPr>
                          <w:color w:val="007180"/>
                          <w:sz w:val="40"/>
                          <w:szCs w:val="34"/>
                        </w:rPr>
                      </w:pPr>
                      <w:r w:rsidRPr="005532E8">
                        <w:rPr>
                          <w:color w:val="007180"/>
                          <w:sz w:val="32"/>
                          <w:szCs w:val="33"/>
                        </w:rPr>
                        <w:t>2020: έ</w:t>
                      </w:r>
                      <w:r>
                        <w:rPr>
                          <w:color w:val="007180"/>
                          <w:sz w:val="32"/>
                          <w:szCs w:val="33"/>
                        </w:rPr>
                        <w:t>τος</w:t>
                      </w:r>
                      <w:r w:rsidRPr="005532E8">
                        <w:rPr>
                          <w:color w:val="007180"/>
                          <w:sz w:val="32"/>
                          <w:szCs w:val="33"/>
                        </w:rPr>
                        <w:t xml:space="preserve"> </w:t>
                      </w:r>
                      <w:r>
                        <w:rPr>
                          <w:color w:val="007180"/>
                          <w:sz w:val="32"/>
                          <w:szCs w:val="33"/>
                        </w:rPr>
                        <w:t xml:space="preserve">μεγάλων </w:t>
                      </w:r>
                      <w:r w:rsidRPr="005532E8">
                        <w:rPr>
                          <w:color w:val="007180"/>
                          <w:sz w:val="32"/>
                          <w:szCs w:val="33"/>
                        </w:rPr>
                        <w:t xml:space="preserve">προκλήσεων και σημαντικών </w:t>
                      </w:r>
                      <w:r>
                        <w:rPr>
                          <w:color w:val="007180"/>
                          <w:sz w:val="32"/>
                          <w:szCs w:val="33"/>
                        </w:rPr>
                        <w:t xml:space="preserve">θετικών </w:t>
                      </w:r>
                      <w:r w:rsidRPr="005532E8">
                        <w:rPr>
                          <w:color w:val="007180"/>
                          <w:sz w:val="32"/>
                          <w:szCs w:val="33"/>
                        </w:rPr>
                        <w:t xml:space="preserve">εξελίξεων για την Εθνική Τράπεζα </w:t>
                      </w: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Default="00817D20" w:rsidP="008E0A91">
                      <w:pPr>
                        <w:rPr>
                          <w:color w:val="007180"/>
                          <w:sz w:val="34"/>
                          <w:szCs w:val="34"/>
                        </w:rPr>
                      </w:pPr>
                    </w:p>
                    <w:p w:rsidR="00817D20" w:rsidRPr="00D63B45" w:rsidRDefault="00817D20" w:rsidP="008E0A91">
                      <w:pPr>
                        <w:rPr>
                          <w:color w:val="007180"/>
                          <w:sz w:val="34"/>
                          <w:szCs w:val="34"/>
                        </w:rPr>
                      </w:pPr>
                    </w:p>
                  </w:txbxContent>
                </v:textbox>
              </v:shape>
            </w:pict>
          </mc:Fallback>
        </mc:AlternateContent>
      </w:r>
    </w:p>
    <w:p w:rsidR="000765E8" w:rsidRPr="00EE40A0" w:rsidRDefault="000765E8" w:rsidP="000765E8">
      <w:pPr>
        <w:pStyle w:val="body"/>
        <w:rPr>
          <w:rFonts w:ascii="Segoe UI" w:hAnsi="Segoe UI" w:cs="Segoe UI"/>
          <w:lang w:val="en-US"/>
        </w:rPr>
      </w:pPr>
    </w:p>
    <w:p w:rsidR="000765E8" w:rsidRPr="00EE40A0" w:rsidRDefault="009F7797"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4416" behindDoc="0" locked="0" layoutInCell="1" allowOverlap="1">
                <wp:simplePos x="0" y="0"/>
                <wp:positionH relativeFrom="column">
                  <wp:posOffset>128270</wp:posOffset>
                </wp:positionH>
                <wp:positionV relativeFrom="paragraph">
                  <wp:posOffset>30006</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9498" id="Rectangle 1878171023" o:spid="_x0000_s1026" style="position:absolute;margin-left:10.1pt;margin-top:2.35pt;width:110.9pt;height:3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mc:Fallback>
        </mc:AlternateContent>
      </w:r>
    </w:p>
    <w:p w:rsidR="000765E8" w:rsidRPr="00EE40A0" w:rsidRDefault="000765E8" w:rsidP="000765E8">
      <w:pPr>
        <w:pStyle w:val="body"/>
        <w:rPr>
          <w:rFonts w:ascii="Segoe UI" w:hAnsi="Segoe UI" w:cs="Segoe UI"/>
          <w:lang w:val="en-US"/>
        </w:rPr>
      </w:pPr>
    </w:p>
    <w:p w:rsidR="000765E8" w:rsidRPr="00B721F7" w:rsidRDefault="000765E8" w:rsidP="000765E8">
      <w:pPr>
        <w:pStyle w:val="body"/>
        <w:rPr>
          <w:rFonts w:ascii="Segoe UI" w:hAnsi="Segoe UI" w:cs="Segoe UI"/>
          <w:sz w:val="2"/>
          <w:szCs w:val="6"/>
          <w:lang w:val="en-US"/>
        </w:rPr>
      </w:pPr>
    </w:p>
    <w:p w:rsidR="0061399D" w:rsidRDefault="009F7797" w:rsidP="00D11BCD">
      <w:pPr>
        <w:pStyle w:val="body"/>
        <w:rPr>
          <w:rFonts w:ascii="Segoe UI" w:hAnsi="Segoe UI" w:cs="Segoe UI"/>
        </w:rPr>
      </w:pPr>
      <w:r>
        <w:rPr>
          <w:rFonts w:ascii="Segoe UI" w:hAnsi="Segoe UI" w:cs="Segoe UI"/>
          <w:noProof/>
          <w:lang w:eastAsia="el-GR"/>
        </w:rPr>
        <mc:AlternateContent>
          <mc:Choice Requires="wps">
            <w:drawing>
              <wp:inline distT="0" distB="0" distL="0" distR="0">
                <wp:extent cx="6471920" cy="7505480"/>
                <wp:effectExtent l="0" t="0" r="5080" b="6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0548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D20" w:rsidRPr="00B379F8" w:rsidRDefault="00817D20" w:rsidP="00AF0329">
                            <w:pPr>
                              <w:pStyle w:val="a7"/>
                              <w:numPr>
                                <w:ilvl w:val="0"/>
                                <w:numId w:val="6"/>
                              </w:numPr>
                              <w:spacing w:before="120" w:after="0" w:line="276" w:lineRule="auto"/>
                              <w:jc w:val="left"/>
                              <w:rPr>
                                <w:rFonts w:ascii="Segoe UI" w:hAnsi="Segoe UI" w:cs="Segoe UI"/>
                                <w:b/>
                                <w:sz w:val="15"/>
                                <w:szCs w:val="15"/>
                              </w:rPr>
                            </w:pPr>
                            <w:r w:rsidRPr="00B379F8">
                              <w:rPr>
                                <w:rFonts w:ascii="Segoe UI" w:hAnsi="Segoe UI" w:cs="Segoe UI"/>
                                <w:b/>
                                <w:sz w:val="15"/>
                                <w:szCs w:val="15"/>
                              </w:rPr>
                              <w:t>Τα σημαντικότερα επιτεύγματα</w:t>
                            </w:r>
                            <w:r w:rsidRPr="00B379F8">
                              <w:rPr>
                                <w:rFonts w:ascii="Segoe UI" w:hAnsi="Segoe UI" w:cs="Segoe UI"/>
                                <w:b/>
                                <w:sz w:val="15"/>
                                <w:szCs w:val="15"/>
                                <w:lang w:val="en-US"/>
                              </w:rPr>
                              <w:t xml:space="preserve"> </w:t>
                            </w:r>
                            <w:r w:rsidRPr="00B379F8">
                              <w:rPr>
                                <w:rFonts w:ascii="Segoe UI" w:hAnsi="Segoe UI" w:cs="Segoe UI"/>
                                <w:b/>
                                <w:sz w:val="15"/>
                                <w:szCs w:val="15"/>
                              </w:rPr>
                              <w:t>του 2020</w:t>
                            </w:r>
                          </w:p>
                          <w:p w:rsidR="00817D20" w:rsidRPr="00B379F8" w:rsidRDefault="00817D20" w:rsidP="00AF0329">
                            <w:pPr>
                              <w:numPr>
                                <w:ilvl w:val="1"/>
                                <w:numId w:val="6"/>
                              </w:numPr>
                              <w:spacing w:before="80"/>
                              <w:rPr>
                                <w:rFonts w:ascii="Segoe UI" w:hAnsi="Segoe UI" w:cs="Segoe UI"/>
                                <w:sz w:val="15"/>
                                <w:szCs w:val="15"/>
                              </w:rPr>
                            </w:pPr>
                            <w:r w:rsidRPr="00B379F8">
                              <w:rPr>
                                <w:rFonts w:ascii="Segoe UI" w:hAnsi="Segoe UI" w:cs="Segoe UI"/>
                                <w:sz w:val="15"/>
                                <w:szCs w:val="15"/>
                              </w:rPr>
                              <w:t>Η ταξινόμηση του χαρτοφυλακίου Frontier ως περιουσιακό στοιχείο προοριζόμενο προς πώληση μειώνει το δείκτη Μη Εξυπηρετούμενων Ανοιγμάτων (ΜΕΑ) σε 13,6%</w:t>
                            </w:r>
                            <w:r w:rsidRPr="00B379F8">
                              <w:rPr>
                                <w:rFonts w:ascii="Segoe UI" w:hAnsi="Segoe UI" w:cs="Segoe UI"/>
                                <w:sz w:val="15"/>
                                <w:szCs w:val="15"/>
                                <w:vertAlign w:val="superscript"/>
                              </w:rPr>
                              <w:t xml:space="preserve">1 </w:t>
                            </w:r>
                            <w:r w:rsidRPr="00B379F8">
                              <w:rPr>
                                <w:rFonts w:ascii="Segoe UI" w:hAnsi="Segoe UI" w:cs="Segoe UI"/>
                                <w:sz w:val="15"/>
                                <w:szCs w:val="15"/>
                              </w:rPr>
                              <w:t xml:space="preserve"> από 29,3% το Γ’ τρίμηνο 2020, με το δείκτη CET1 να διατηρείται σε 15,7%, παρά την απορρόφηση των απαιτούμενων προβλέψεων για την τιτλοποίηση </w:t>
                            </w:r>
                            <w:r w:rsidRPr="00B379F8">
                              <w:rPr>
                                <w:rFonts w:ascii="Segoe UI" w:hAnsi="Segoe UI" w:cs="Segoe UI"/>
                                <w:sz w:val="15"/>
                                <w:szCs w:val="15"/>
                                <w:lang w:val="en-US"/>
                              </w:rPr>
                              <w:t>Frontier</w:t>
                            </w:r>
                            <w:r w:rsidRPr="00B379F8">
                              <w:rPr>
                                <w:rFonts w:ascii="Segoe UI" w:hAnsi="Segoe UI" w:cs="Segoe UI"/>
                                <w:sz w:val="15"/>
                                <w:szCs w:val="15"/>
                              </w:rPr>
                              <w:t>. Η θετική επίδραση στους δείκτες κεφαλαιακής επάρκειας από τη μείωση των Σταθμισμένων Στοιχείων του Ενεργητικού ως αποτέλεσμα της ολοκλήρωσης της συναλλαγής εκτιμάται σε περίπου 110μ.β.</w:t>
                            </w:r>
                          </w:p>
                          <w:p w:rsidR="00817D20" w:rsidRPr="00B379F8" w:rsidRDefault="00817D20" w:rsidP="006947A1">
                            <w:pPr>
                              <w:numPr>
                                <w:ilvl w:val="1"/>
                                <w:numId w:val="6"/>
                              </w:numPr>
                              <w:spacing w:before="80"/>
                              <w:rPr>
                                <w:rFonts w:ascii="Segoe UI" w:hAnsi="Segoe UI" w:cs="Segoe UI"/>
                                <w:sz w:val="15"/>
                                <w:szCs w:val="15"/>
                              </w:rPr>
                            </w:pPr>
                            <w:r w:rsidRPr="00B379F8">
                              <w:rPr>
                                <w:rFonts w:ascii="Segoe UI" w:hAnsi="Segoe UI" w:cs="Segoe UI"/>
                                <w:sz w:val="15"/>
                                <w:szCs w:val="15"/>
                              </w:rPr>
                              <w:t xml:space="preserve">Η συμφωνία πώλησης του 90% της συμμετοχής μας στην Εθνική Ασφαλιστική αποτυπώνεται στα οικονομικά αποτελέσματα του 2020. Η ολοκλήρωση της συναλλαγής αναμένεται να ενισχύσει περαιτέρω την κεφαλαιακή θέση της Τράπεζας κατά περίπου 60μ.β. </w:t>
                            </w:r>
                          </w:p>
                          <w:p w:rsidR="00817D20" w:rsidRPr="00B379F8" w:rsidRDefault="00817D20" w:rsidP="00BE3EB1">
                            <w:pPr>
                              <w:numPr>
                                <w:ilvl w:val="1"/>
                                <w:numId w:val="6"/>
                              </w:numPr>
                              <w:spacing w:before="80"/>
                              <w:rPr>
                                <w:rFonts w:ascii="Segoe UI" w:hAnsi="Segoe UI" w:cs="Segoe UI"/>
                                <w:sz w:val="15"/>
                                <w:szCs w:val="15"/>
                              </w:rPr>
                            </w:pPr>
                            <w:r w:rsidRPr="00B379F8">
                              <w:rPr>
                                <w:rFonts w:ascii="Segoe UI" w:hAnsi="Segoe UI" w:cs="Segoe UI"/>
                                <w:sz w:val="15"/>
                                <w:szCs w:val="15"/>
                              </w:rPr>
                              <w:t xml:space="preserve">Η διασφάλιση της υγείας και της ασφάλειας των υπαλλήλων και πελατών μας αποτέλεσε ύψιστη προτεραιότητα της Τράπεζας καθ’ όλη τη διάρκεια του 2020, με το ποσοστό του προσωπικού που εργάζεται εξ αποστάσεως, αλλά με ασφάλεια και αποδοτικότητα στον κυβερνοχώρο, να ανέρχεται σε περίπου 50% </w:t>
                            </w:r>
                          </w:p>
                          <w:p w:rsidR="00817D20" w:rsidRPr="00B379F8" w:rsidRDefault="00817D20" w:rsidP="00723DC6">
                            <w:pPr>
                              <w:numPr>
                                <w:ilvl w:val="1"/>
                                <w:numId w:val="6"/>
                              </w:numPr>
                              <w:spacing w:before="80"/>
                              <w:rPr>
                                <w:rFonts w:ascii="Segoe UI" w:hAnsi="Segoe UI" w:cs="Segoe UI"/>
                                <w:sz w:val="15"/>
                                <w:szCs w:val="15"/>
                              </w:rPr>
                            </w:pPr>
                            <w:r w:rsidRPr="00B379F8">
                              <w:rPr>
                                <w:rFonts w:ascii="Segoe UI" w:hAnsi="Segoe UI" w:cs="Segoe UI"/>
                                <w:sz w:val="15"/>
                                <w:szCs w:val="15"/>
                              </w:rPr>
                              <w:t xml:space="preserve">Οι περιορισμοί λόγω της πανδημίας επιτάχυναν τον ψηφιακό μετασχηματισμό της Τράπεζας. Ο αριθμός των συναλλαγών πλησιάζει τα επίπεδα προ κορωνοϊού, με τις συναλλαγές </w:t>
                            </w:r>
                            <w:r w:rsidRPr="00B379F8">
                              <w:rPr>
                                <w:rFonts w:ascii="Segoe UI" w:hAnsi="Segoe UI" w:cs="Segoe UI"/>
                                <w:sz w:val="15"/>
                                <w:szCs w:val="15"/>
                                <w:lang w:val="en-US"/>
                              </w:rPr>
                              <w:t>e</w:t>
                            </w:r>
                            <w:r w:rsidRPr="00B379F8">
                              <w:rPr>
                                <w:rFonts w:ascii="Segoe UI" w:hAnsi="Segoe UI" w:cs="Segoe UI"/>
                                <w:sz w:val="15"/>
                                <w:szCs w:val="15"/>
                              </w:rPr>
                              <w:t>-</w:t>
                            </w:r>
                            <w:r w:rsidRPr="00B379F8">
                              <w:rPr>
                                <w:rFonts w:ascii="Segoe UI" w:hAnsi="Segoe UI" w:cs="Segoe UI"/>
                                <w:sz w:val="15"/>
                                <w:szCs w:val="15"/>
                                <w:lang w:val="en-US"/>
                              </w:rPr>
                              <w:t>banking</w:t>
                            </w:r>
                            <w:r w:rsidRPr="00B379F8">
                              <w:rPr>
                                <w:rFonts w:ascii="Segoe UI" w:hAnsi="Segoe UI" w:cs="Segoe UI"/>
                                <w:sz w:val="15"/>
                                <w:szCs w:val="15"/>
                              </w:rPr>
                              <w:t xml:space="preserve"> να αυξάνονται σχεδόν κατά 50%, αντικαθιστώντας τις συναλλαγές στα καταστήματα, οι οποίες έχουν σταδιακά μειωθεί περίπου κατά τα 2/3</w:t>
                            </w:r>
                            <w:r w:rsidRPr="00B379F8">
                              <w:rPr>
                                <w:rFonts w:ascii="Segoe UI" w:hAnsi="Segoe UI" w:cs="Segoe UI"/>
                                <w:sz w:val="15"/>
                                <w:szCs w:val="15"/>
                                <w:vertAlign w:val="superscript"/>
                              </w:rPr>
                              <w:t>α</w:t>
                            </w:r>
                            <w:r w:rsidRPr="00B379F8">
                              <w:rPr>
                                <w:rFonts w:ascii="Segoe UI" w:hAnsi="Segoe UI" w:cs="Segoe UI"/>
                                <w:sz w:val="15"/>
                                <w:szCs w:val="15"/>
                              </w:rPr>
                              <w:t xml:space="preserve"> σε σύγκριση με τα επίπεδα πριν από την εκδήλωση της πανδημίας</w:t>
                            </w:r>
                          </w:p>
                          <w:p w:rsidR="00817D20" w:rsidRPr="00B379F8" w:rsidRDefault="00817D20" w:rsidP="001A0468">
                            <w:pPr>
                              <w:numPr>
                                <w:ilvl w:val="1"/>
                                <w:numId w:val="6"/>
                              </w:numPr>
                              <w:spacing w:before="80"/>
                              <w:rPr>
                                <w:rFonts w:ascii="Segoe UI" w:hAnsi="Segoe UI" w:cs="Segoe UI"/>
                                <w:sz w:val="15"/>
                                <w:szCs w:val="15"/>
                              </w:rPr>
                            </w:pPr>
                            <w:r w:rsidRPr="00B379F8">
                              <w:rPr>
                                <w:rFonts w:ascii="Segoe UI" w:hAnsi="Segoe UI" w:cs="Segoe UI"/>
                                <w:sz w:val="15"/>
                                <w:szCs w:val="15"/>
                              </w:rPr>
                              <w:t>Ισχυρή λειτουργική κερδοφορία παρά τη δυσχερή συγκυρία λόγω κορωνοϊού, η οποία αντανακλά την ανθεκτικότητα των οργανικών εσόδων και τη σημαντική περιστολή των λειτουργικών δαπανών</w:t>
                            </w:r>
                          </w:p>
                          <w:p w:rsidR="00817D20" w:rsidRPr="00B379F8" w:rsidRDefault="00817D20" w:rsidP="00182C5F">
                            <w:pPr>
                              <w:numPr>
                                <w:ilvl w:val="1"/>
                                <w:numId w:val="6"/>
                              </w:numPr>
                              <w:spacing w:before="80"/>
                              <w:rPr>
                                <w:rFonts w:ascii="Segoe UI" w:hAnsi="Segoe UI" w:cs="Segoe UI"/>
                                <w:sz w:val="15"/>
                                <w:szCs w:val="15"/>
                              </w:rPr>
                            </w:pPr>
                            <w:r w:rsidRPr="00B379F8">
                              <w:rPr>
                                <w:rFonts w:ascii="Segoe UI" w:hAnsi="Segoe UI" w:cs="Segoe UI"/>
                                <w:sz w:val="15"/>
                                <w:szCs w:val="15"/>
                              </w:rPr>
                              <w:t xml:space="preserve">Τα υψηλά κέρδη από χρηματοοικονομικές πράξεις και λοιπά έσοδα ύψους €1,1 δισ. απορρόφησαν πλήρως τις μη επαναλαμβανόμενες προβλέψεις σχετιζόμενες με την πανδημία του κορωνοϊού και την τιτλοποίηση Frontier, καθώς και την πρόσθετη απομείωση ως αποτέλεσμα της συμφωνίας πώλησης της Εθνικής Ασφαλιστικής, </w:t>
                            </w:r>
                            <w:r w:rsidRPr="00182C5F">
                              <w:rPr>
                                <w:rFonts w:ascii="Segoe UI" w:hAnsi="Segoe UI" w:cs="Segoe UI"/>
                                <w:sz w:val="15"/>
                                <w:szCs w:val="15"/>
                              </w:rPr>
                              <w:t>χωρίς να προχωρήσουμε σε απόσχιση του τραπεζικού κλάδου της ΕΤΕ με σύσταση νέας εταιρείας (</w:t>
                            </w:r>
                            <w:proofErr w:type="spellStart"/>
                            <w:r w:rsidRPr="00182C5F">
                              <w:rPr>
                                <w:rFonts w:ascii="Segoe UI" w:hAnsi="Segoe UI" w:cs="Segoe UI"/>
                                <w:sz w:val="15"/>
                                <w:szCs w:val="15"/>
                              </w:rPr>
                              <w:t>hive</w:t>
                            </w:r>
                            <w:proofErr w:type="spellEnd"/>
                            <w:r w:rsidRPr="00182C5F">
                              <w:rPr>
                                <w:rFonts w:ascii="Segoe UI" w:hAnsi="Segoe UI" w:cs="Segoe UI"/>
                                <w:sz w:val="15"/>
                                <w:szCs w:val="15"/>
                              </w:rPr>
                              <w:t xml:space="preserve"> </w:t>
                            </w:r>
                            <w:proofErr w:type="spellStart"/>
                            <w:r w:rsidRPr="00182C5F">
                              <w:rPr>
                                <w:rFonts w:ascii="Segoe UI" w:hAnsi="Segoe UI" w:cs="Segoe UI"/>
                                <w:sz w:val="15"/>
                                <w:szCs w:val="15"/>
                              </w:rPr>
                              <w:t>down</w:t>
                            </w:r>
                            <w:proofErr w:type="spellEnd"/>
                            <w:r w:rsidRPr="00182C5F">
                              <w:rPr>
                                <w:rFonts w:ascii="Segoe UI" w:hAnsi="Segoe UI" w:cs="Segoe UI"/>
                                <w:sz w:val="15"/>
                                <w:szCs w:val="15"/>
                              </w:rPr>
                              <w:t>)</w:t>
                            </w:r>
                          </w:p>
                          <w:p w:rsidR="00817D20" w:rsidRPr="00B379F8" w:rsidRDefault="00817D20" w:rsidP="0083628F">
                            <w:pPr>
                              <w:numPr>
                                <w:ilvl w:val="1"/>
                                <w:numId w:val="6"/>
                              </w:numPr>
                              <w:spacing w:before="80"/>
                              <w:rPr>
                                <w:rFonts w:ascii="Segoe UI" w:hAnsi="Segoe UI" w:cs="Segoe UI"/>
                                <w:sz w:val="15"/>
                                <w:szCs w:val="15"/>
                              </w:rPr>
                            </w:pPr>
                            <w:r w:rsidRPr="00B379F8">
                              <w:rPr>
                                <w:rFonts w:ascii="Segoe UI" w:hAnsi="Segoe UI" w:cs="Segoe UI"/>
                                <w:sz w:val="15"/>
                                <w:szCs w:val="15"/>
                              </w:rPr>
                              <w:t xml:space="preserve">Νέες εκταμιεύσεις δανείων στην Ελλάδα ύψους €4,7 δισ. το 2020 (+40% σε ετήσια βάση), κατόπιν της συνδρομής των κυβερνητικών προγραμμάτων στήριξης για την αντιμετώπιση των επιπτώσεων της πανδημίας </w:t>
                            </w:r>
                          </w:p>
                          <w:p w:rsidR="00817D20" w:rsidRPr="00B379F8" w:rsidRDefault="00817D20" w:rsidP="0083628F">
                            <w:pPr>
                              <w:numPr>
                                <w:ilvl w:val="1"/>
                                <w:numId w:val="6"/>
                              </w:numPr>
                              <w:spacing w:before="80"/>
                              <w:rPr>
                                <w:rFonts w:ascii="Segoe UI" w:hAnsi="Segoe UI" w:cs="Segoe UI"/>
                                <w:sz w:val="15"/>
                                <w:szCs w:val="15"/>
                              </w:rPr>
                            </w:pPr>
                            <w:r w:rsidRPr="00B379F8">
                              <w:rPr>
                                <w:rFonts w:ascii="Segoe UI" w:hAnsi="Segoe UI" w:cs="Segoe UI"/>
                                <w:sz w:val="15"/>
                                <w:szCs w:val="15"/>
                              </w:rPr>
                              <w:t>Στα πλαίσια της στρατηγικής της Τράπεζας σχετικά με το περιβάλλον, την κοινωνία και την εταιρική διακυβέρνηση (</w:t>
                            </w:r>
                            <w:r w:rsidRPr="00B379F8">
                              <w:rPr>
                                <w:rFonts w:ascii="Segoe UI" w:hAnsi="Segoe UI" w:cs="Segoe UI"/>
                                <w:sz w:val="15"/>
                                <w:szCs w:val="15"/>
                                <w:lang w:val="en-US"/>
                              </w:rPr>
                              <w:t>ESG</w:t>
                            </w:r>
                            <w:r w:rsidRPr="00B379F8">
                              <w:rPr>
                                <w:rFonts w:ascii="Segoe UI" w:hAnsi="Segoe UI" w:cs="Segoe UI"/>
                                <w:sz w:val="15"/>
                                <w:szCs w:val="15"/>
                              </w:rPr>
                              <w:t xml:space="preserve">), προχωρήσαμε στην επιτυχή έκδοση του πρώτου πράσινου ομολόγου υψηλής εξασφάλισης στην Ελλάδα ύψους €500 εκατ. με εξαετή διάρκεια και τοκομερίδιο 2,75%  </w:t>
                            </w:r>
                          </w:p>
                          <w:p w:rsidR="00817D20" w:rsidRPr="00B379F8" w:rsidRDefault="00817D20" w:rsidP="00C342A1">
                            <w:pPr>
                              <w:spacing w:before="80"/>
                              <w:ind w:left="644"/>
                              <w:rPr>
                                <w:rFonts w:ascii="Segoe UI" w:hAnsi="Segoe UI" w:cs="Segoe UI"/>
                                <w:sz w:val="15"/>
                                <w:szCs w:val="15"/>
                                <w:highlight w:val="yellow"/>
                              </w:rPr>
                            </w:pPr>
                          </w:p>
                          <w:p w:rsidR="00817D20" w:rsidRPr="00B379F8" w:rsidRDefault="00817D20" w:rsidP="003D0D6B">
                            <w:pPr>
                              <w:numPr>
                                <w:ilvl w:val="0"/>
                                <w:numId w:val="6"/>
                              </w:numPr>
                              <w:spacing w:before="120"/>
                              <w:rPr>
                                <w:rFonts w:ascii="Segoe UI" w:hAnsi="Segoe UI" w:cs="Segoe UI"/>
                                <w:b/>
                                <w:sz w:val="15"/>
                                <w:szCs w:val="15"/>
                              </w:rPr>
                            </w:pPr>
                            <w:r w:rsidRPr="00B379F8">
                              <w:rPr>
                                <w:rFonts w:ascii="Segoe UI" w:hAnsi="Segoe UI" w:cs="Segoe UI"/>
                                <w:b/>
                                <w:sz w:val="15"/>
                                <w:szCs w:val="15"/>
                              </w:rPr>
                              <w:t>Τα ΜΕΑ στην Ελλάδα μειώθηκαν σχεδόν κατά τα 2/3</w:t>
                            </w:r>
                            <w:r w:rsidRPr="00B379F8">
                              <w:rPr>
                                <w:rFonts w:ascii="Segoe UI" w:hAnsi="Segoe UI" w:cs="Segoe UI"/>
                                <w:b/>
                                <w:sz w:val="15"/>
                                <w:szCs w:val="15"/>
                                <w:vertAlign w:val="superscript"/>
                              </w:rPr>
                              <w:t>α</w:t>
                            </w:r>
                            <w:r w:rsidRPr="00B379F8">
                              <w:rPr>
                                <w:rFonts w:ascii="Segoe UI" w:hAnsi="Segoe UI" w:cs="Segoe UI"/>
                                <w:b/>
                                <w:sz w:val="15"/>
                                <w:szCs w:val="15"/>
                              </w:rPr>
                              <w:t xml:space="preserve"> σε €4,3 δισ. το 2020 από €10,8 δισ. το 2019</w:t>
                            </w:r>
                          </w:p>
                          <w:p w:rsidR="00817D20" w:rsidRPr="00B379F8" w:rsidRDefault="00817D20" w:rsidP="003B1599">
                            <w:pPr>
                              <w:pStyle w:val="a7"/>
                              <w:numPr>
                                <w:ilvl w:val="0"/>
                                <w:numId w:val="7"/>
                              </w:numPr>
                              <w:spacing w:before="100" w:after="0" w:line="240" w:lineRule="auto"/>
                              <w:jc w:val="left"/>
                              <w:rPr>
                                <w:rFonts w:ascii="Segoe UI" w:hAnsi="Segoe UI" w:cs="Segoe UI"/>
                                <w:sz w:val="15"/>
                                <w:szCs w:val="15"/>
                              </w:rPr>
                            </w:pPr>
                            <w:r w:rsidRPr="00B379F8">
                              <w:rPr>
                                <w:rFonts w:ascii="Segoe UI" w:hAnsi="Segoe UI" w:cs="Segoe UI"/>
                                <w:sz w:val="15"/>
                                <w:szCs w:val="15"/>
                              </w:rPr>
                              <w:t xml:space="preserve">Η συνολική μείωση ΜΕΑ στην Ελλάδα άγγιξε τα €6,5 δισ. το 2020, αντανακλώντας την ταξινόμηση του χαρτοφυλακίου Frontier ως περιουσιακό στοιχείο προοριζόμενο προς πώληση το Δ’ τρίμηνο </w:t>
                            </w:r>
                            <w:r w:rsidR="00C07776">
                              <w:rPr>
                                <w:rFonts w:ascii="Segoe UI" w:hAnsi="Segoe UI" w:cs="Segoe UI"/>
                                <w:sz w:val="15"/>
                                <w:szCs w:val="15"/>
                              </w:rPr>
                              <w:t xml:space="preserve">2020, καθώς και </w:t>
                            </w:r>
                            <w:r w:rsidRPr="00B379F8">
                              <w:rPr>
                                <w:rFonts w:ascii="Segoe UI" w:hAnsi="Segoe UI" w:cs="Segoe UI"/>
                                <w:sz w:val="15"/>
                                <w:szCs w:val="15"/>
                              </w:rPr>
                              <w:t>την οργανική μείωση ΜΕΑ ύψους €0,7 δισ. για ολόκληρο το έτος</w:t>
                            </w:r>
                          </w:p>
                          <w:p w:rsidR="00817D20" w:rsidRPr="00B379F8" w:rsidRDefault="00817D20" w:rsidP="00C649AB">
                            <w:pPr>
                              <w:pStyle w:val="a7"/>
                              <w:numPr>
                                <w:ilvl w:val="0"/>
                                <w:numId w:val="7"/>
                              </w:numPr>
                              <w:spacing w:before="100" w:after="0" w:line="240" w:lineRule="auto"/>
                              <w:jc w:val="left"/>
                              <w:rPr>
                                <w:rFonts w:ascii="Segoe UI" w:hAnsi="Segoe UI" w:cs="Segoe UI"/>
                                <w:sz w:val="15"/>
                                <w:szCs w:val="15"/>
                              </w:rPr>
                            </w:pPr>
                            <w:r w:rsidRPr="00B379F8">
                              <w:rPr>
                                <w:rFonts w:ascii="Segoe UI" w:hAnsi="Segoe UI" w:cs="Segoe UI"/>
                                <w:sz w:val="15"/>
                                <w:szCs w:val="15"/>
                              </w:rPr>
                              <w:t>Δείκτης ΜΕΑ στην Ελλάδα ύψους 13,8%</w:t>
                            </w:r>
                            <w:r w:rsidRPr="00B379F8">
                              <w:rPr>
                                <w:rFonts w:ascii="Segoe UI" w:hAnsi="Segoe UI" w:cs="Segoe UI"/>
                                <w:sz w:val="15"/>
                                <w:szCs w:val="15"/>
                                <w:vertAlign w:val="superscript"/>
                              </w:rPr>
                              <w:t>1</w:t>
                            </w:r>
                            <w:r w:rsidRPr="00B379F8">
                              <w:rPr>
                                <w:rFonts w:ascii="Segoe UI" w:hAnsi="Segoe UI" w:cs="Segoe UI"/>
                                <w:sz w:val="15"/>
                                <w:szCs w:val="15"/>
                              </w:rPr>
                              <w:t xml:space="preserve"> (μείωση κατά 16,2π.μ. σε τριμηνιαία βάση), με το δείκτη κάλυψης ΜΕΑ από σωρευμένες προβλέψεις να ανέρχεται σε 62,8% (+640μ.β. σε σύγκριση με το προηγούμενο τρίμηνο)</w:t>
                            </w:r>
                          </w:p>
                          <w:p w:rsidR="00817D20" w:rsidRPr="00B379F8" w:rsidRDefault="00817D20" w:rsidP="00111DAF">
                            <w:pPr>
                              <w:rPr>
                                <w:rFonts w:ascii="Segoe UI" w:hAnsi="Segoe UI" w:cs="Segoe UI"/>
                                <w:sz w:val="15"/>
                                <w:szCs w:val="15"/>
                                <w:vertAlign w:val="superscript"/>
                              </w:rPr>
                            </w:pPr>
                          </w:p>
                          <w:p w:rsidR="00817D20" w:rsidRPr="00B379F8" w:rsidRDefault="00817D20" w:rsidP="00817E88">
                            <w:pPr>
                              <w:pStyle w:val="a7"/>
                              <w:numPr>
                                <w:ilvl w:val="0"/>
                                <w:numId w:val="6"/>
                              </w:numPr>
                              <w:spacing w:before="120" w:after="0" w:line="276" w:lineRule="auto"/>
                              <w:jc w:val="left"/>
                              <w:rPr>
                                <w:rFonts w:ascii="Segoe UI" w:hAnsi="Segoe UI" w:cs="Segoe UI"/>
                                <w:b/>
                                <w:sz w:val="15"/>
                                <w:szCs w:val="15"/>
                              </w:rPr>
                            </w:pPr>
                            <w:r w:rsidRPr="00B379F8">
                              <w:rPr>
                                <w:rFonts w:ascii="Segoe UI" w:hAnsi="Segoe UI" w:cs="Segoe UI"/>
                                <w:b/>
                                <w:sz w:val="15"/>
                                <w:szCs w:val="15"/>
                              </w:rPr>
                              <w:t>Ενεργή στήριξη των πελατών που έχουν πληγεί από την κρίση της πανδημίας του κορωνοϊού</w:t>
                            </w:r>
                          </w:p>
                          <w:p w:rsidR="00817D20" w:rsidRPr="00B379F8" w:rsidRDefault="00817D20" w:rsidP="00817E88">
                            <w:pPr>
                              <w:numPr>
                                <w:ilvl w:val="1"/>
                                <w:numId w:val="6"/>
                              </w:numPr>
                              <w:spacing w:before="80"/>
                              <w:rPr>
                                <w:rFonts w:ascii="Segoe UI" w:hAnsi="Segoe UI" w:cs="Segoe UI"/>
                                <w:sz w:val="15"/>
                                <w:szCs w:val="15"/>
                              </w:rPr>
                            </w:pPr>
                            <w:r w:rsidRPr="00B379F8">
                              <w:rPr>
                                <w:rFonts w:ascii="Segoe UI" w:hAnsi="Segoe UI" w:cs="Segoe UI"/>
                                <w:sz w:val="15"/>
                                <w:szCs w:val="15"/>
                              </w:rPr>
                              <w:t>Η συνολική χρηματοδότηση μέσω του προγράμματος Επιχειρηματικής Χρηματοδότησης - ΤΕΠΙΧ ΙΙ (ολοκληρωμένο) και των δανείων με εγγύηση Δημοσίου για κεφάλαιο κίνησης επιχειρήσεων (ενεργό) ανήλθε σε €1,8 δισ., ενώ δάνεια ύψους €2,3 δισ. κυρίως μικρών και μικρομεσαίων επιχειρήσεων εντάχθηκαν στο πρόγραμμα επιδότησης επιτοκίου το 2020</w:t>
                            </w:r>
                          </w:p>
                          <w:p w:rsidR="00817D20" w:rsidRDefault="00817D20" w:rsidP="00B379F8">
                            <w:pPr>
                              <w:numPr>
                                <w:ilvl w:val="1"/>
                                <w:numId w:val="6"/>
                              </w:numPr>
                              <w:spacing w:before="80"/>
                              <w:rPr>
                                <w:rFonts w:ascii="Segoe UI" w:hAnsi="Segoe UI" w:cs="Segoe UI"/>
                                <w:sz w:val="15"/>
                                <w:szCs w:val="15"/>
                              </w:rPr>
                            </w:pPr>
                            <w:r w:rsidRPr="00B379F8">
                              <w:rPr>
                                <w:rFonts w:ascii="Segoe UI" w:hAnsi="Segoe UI" w:cs="Segoe UI"/>
                                <w:sz w:val="15"/>
                                <w:szCs w:val="15"/>
                              </w:rPr>
                              <w:t>Οι δανειολήπτες της Εθνικής Τράπεζας που μπορούν να υπαχθούν στο κρατικό πρόγραμμα «Γέφυρα» επιδότησης δόσεων στεγαστικών δανείων αντιστοιχούν σε υπόλοιπα δανείων ύψους περίπου €1,4 δισ. μέχρι σήμερα, εκ των οποίων σχεδόν το 40% είχε ενταχθεί σε πρόγραμμα διευκόλυνσης καταβολής οφειλών. Η Τράπεζα προσφέρει τα κατάλληλα προϊόντα στους δανειολήπτες που εξακολουθούν να αντιμετωπίζουν οικονομικές δυσκολίες λόγω της κρίσης του κορωνοϊού, με τα δάνεια που έχουν υπαχθεί σε στοχευμένα προγράμματα διευκόλυνσης οφειλών της ΕΤΕ (ήτοι ΕθνοΓέφυρα) να ανέρχονται σε €10</w:t>
                            </w:r>
                            <w:r w:rsidR="005F3799" w:rsidRPr="005F3799">
                              <w:rPr>
                                <w:rFonts w:ascii="Segoe UI" w:hAnsi="Segoe UI" w:cs="Segoe UI"/>
                                <w:sz w:val="15"/>
                                <w:szCs w:val="15"/>
                              </w:rPr>
                              <w:t>7</w:t>
                            </w:r>
                            <w:r w:rsidRPr="00B379F8">
                              <w:rPr>
                                <w:rFonts w:ascii="Segoe UI" w:hAnsi="Segoe UI" w:cs="Segoe UI"/>
                                <w:sz w:val="15"/>
                                <w:szCs w:val="15"/>
                              </w:rPr>
                              <w:t xml:space="preserve"> εκατ. τον Μάρτιο 2021 </w:t>
                            </w:r>
                          </w:p>
                          <w:p w:rsidR="00817D20" w:rsidRDefault="00817D20" w:rsidP="00B379F8">
                            <w:pPr>
                              <w:numPr>
                                <w:ilvl w:val="1"/>
                                <w:numId w:val="6"/>
                              </w:numPr>
                              <w:spacing w:before="80"/>
                              <w:rPr>
                                <w:rFonts w:ascii="Segoe UI" w:hAnsi="Segoe UI" w:cs="Segoe UI"/>
                                <w:sz w:val="15"/>
                                <w:szCs w:val="15"/>
                              </w:rPr>
                            </w:pPr>
                            <w:r w:rsidRPr="00B379F8">
                              <w:rPr>
                                <w:rFonts w:ascii="Segoe UI" w:hAnsi="Segoe UI" w:cs="Segoe UI"/>
                                <w:sz w:val="15"/>
                                <w:szCs w:val="15"/>
                              </w:rPr>
                              <w:t xml:space="preserve">Τα μέτρα διευκόλυνσης καταβολής οφειλών επιχειρήσεων και φυσικών προσώπων ύψους περίπου €3,8 δισ. έληξαν σταδιακά μέχρι την 31.12.2020. Τα πρώτα στοιχεία σχετικά με την κατάσταση πληρωμών είναι ενθαρρυντικά, καθώς λίγοι πελάτες φαίνεται να αντιμετωπίζουν δυσκολίες στην αποπληρωμή των οφειλών τους </w:t>
                            </w:r>
                          </w:p>
                          <w:p w:rsidR="00817D20" w:rsidRDefault="00817D20" w:rsidP="00B379F8">
                            <w:pPr>
                              <w:spacing w:before="80"/>
                              <w:ind w:left="360"/>
                              <w:rPr>
                                <w:rFonts w:ascii="Segoe UI" w:hAnsi="Segoe UI" w:cs="Segoe UI"/>
                                <w:sz w:val="15"/>
                                <w:szCs w:val="15"/>
                              </w:rPr>
                            </w:pPr>
                          </w:p>
                          <w:p w:rsidR="00817D20" w:rsidRPr="00B379F8" w:rsidRDefault="00817D20" w:rsidP="00B379F8">
                            <w:pPr>
                              <w:spacing w:before="80"/>
                              <w:ind w:left="360"/>
                              <w:rPr>
                                <w:rFonts w:ascii="Segoe UI" w:hAnsi="Segoe UI" w:cs="Segoe UI"/>
                                <w:sz w:val="15"/>
                                <w:szCs w:val="15"/>
                              </w:rPr>
                            </w:pPr>
                          </w:p>
                          <w:p w:rsidR="00817D20" w:rsidRPr="00A906D9" w:rsidRDefault="00817D20" w:rsidP="00A906D9">
                            <w:pPr>
                              <w:spacing w:before="80"/>
                              <w:ind w:left="644"/>
                              <w:rPr>
                                <w:rFonts w:ascii="Segoe UI" w:hAnsi="Segoe UI" w:cs="Segoe UI"/>
                                <w:sz w:val="2"/>
                                <w:szCs w:val="16"/>
                                <w:vertAlign w:val="superscript"/>
                              </w:rPr>
                            </w:pPr>
                          </w:p>
                          <w:p w:rsidR="00817D20" w:rsidRPr="00111DAF" w:rsidRDefault="00817D20" w:rsidP="00111DAF">
                            <w:pPr>
                              <w:rPr>
                                <w:rFonts w:ascii="Segoe UI" w:hAnsi="Segoe UI" w:cs="Segoe UI"/>
                                <w:sz w:val="12"/>
                                <w:szCs w:val="16"/>
                              </w:rPr>
                            </w:pPr>
                            <w:r w:rsidRPr="00111DAF">
                              <w:rPr>
                                <w:rFonts w:ascii="Segoe UI" w:hAnsi="Segoe UI" w:cs="Segoe UI"/>
                                <w:sz w:val="12"/>
                                <w:szCs w:val="16"/>
                                <w:vertAlign w:val="superscript"/>
                              </w:rPr>
                              <w:t xml:space="preserve">1 </w:t>
                            </w:r>
                            <w:r w:rsidRPr="00111DAF">
                              <w:rPr>
                                <w:rFonts w:ascii="Segoe UI" w:hAnsi="Segoe UI" w:cs="Segoe UI"/>
                                <w:sz w:val="12"/>
                                <w:szCs w:val="16"/>
                              </w:rPr>
                              <w:t>Περιλαμβάνει τα ομόλογα υψηλής διαβάθμισης ύψους περίπου €3</w:t>
                            </w:r>
                            <w:r w:rsidRPr="002671C2">
                              <w:rPr>
                                <w:rFonts w:ascii="Segoe UI" w:hAnsi="Segoe UI" w:cs="Segoe UI"/>
                                <w:sz w:val="12"/>
                                <w:szCs w:val="16"/>
                              </w:rPr>
                              <w:t xml:space="preserve"> </w:t>
                            </w:r>
                            <w:r w:rsidRPr="00111DAF">
                              <w:rPr>
                                <w:rFonts w:ascii="Segoe UI" w:hAnsi="Segoe UI" w:cs="Segoe UI"/>
                                <w:sz w:val="12"/>
                                <w:szCs w:val="16"/>
                              </w:rPr>
                              <w:t>δισ. της συναλλαγής Frontier</w:t>
                            </w:r>
                          </w:p>
                          <w:p w:rsidR="00817D20" w:rsidRDefault="00817D20" w:rsidP="005A22F8">
                            <w:pPr>
                              <w:spacing w:before="80"/>
                              <w:ind w:left="644"/>
                              <w:rPr>
                                <w:rFonts w:ascii="Segoe UI" w:hAnsi="Segoe UI" w:cs="Segoe UI"/>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9" type="#_x0000_t202" style="width:509.6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1XmwIAADgFAAAOAAAAZHJzL2Uyb0RvYy54bWysVNuO2yAQfa/Uf0C8Z32pk9jWOqu9NFWl&#10;7UXa7QcQjGNUDBRI7G3Vf+8ASZrdvlRVEwkDMxzmzJzh8moaBNozY7mSDc4uUoyYpKrlctvgL4/r&#10;WYmRdUS2RCjJGvzELL5avX51Oeqa5apXomUGAYi09agb3Dun6ySxtGcDsRdKMwnGTpmBOFiabdIa&#10;MgL6IJI8TRfJqEyrjaLMWti9i0a8Cvhdx6j71HWWOSQaDLG5MJowbvyYrC5JvTVE95wewiD/EMVA&#10;uIRLT1B3xBG0M/wPqIFTo6zq3AVVQ6K6jlMWOACbLH3B5qEnmgUukByrT2my/w+Wftx/Noi3Dc4x&#10;kmSAEj2yyaEbNaE3PjujtjU4PWhwcxNsQ5UDU6vvFf1qkVS3PZFbdm2MGntGWogu8yeTs6MRx3qQ&#10;zfhBtXAN2TkVgKbODD51kAwE6FClp1NlfCgUNhfFMqtyMFGwLefpvChD7RJSH49rY907pgbkJw02&#10;UPoAT/b31vlwSH108bdZJXi75kKEhdluboVBewIyWWf+H88K3ZO4W1ZlGhICODa6B8xnOEJ6NKk8&#10;brwy7gANCMLbPKGgix9VlhfpTV7N1otyOSvWxXxWLdNylmbVTbVIi6q4W//0UWRF3fO2ZfKeS3bU&#10;aFb8nQYO3RLVFVSKxgZX83weCD6L/kAr8k3DL9TxRbIG7qBlBR8aXJ6cSO1L/1a2QJvUjnAR58nz&#10;8EPKIAfHb8hKEIrXRlSJmzZTUORJfxvVPoFyjIK6ggbguYFJr8x3jEZo3QbbbztiGEbivQT1VVlR&#10;+F4Pi2K+9Lox55bNuYVIClANdhjF6a2L78NOG77t4aaoBamuQbEdD1ry0o5RARO/gPYMnA5Pie//&#10;83Xw+v3grX4BAAD//wMAUEsDBBQABgAIAAAAIQAa0J3n3QAAAAcBAAAPAAAAZHJzL2Rvd25yZXYu&#10;eG1sTI/BasMwEETvhf6D2EIvoZFsaEkcy6GYllJ6KHH7AYq1sUyklbGUxP77Kr20l2WWWWbeltvJ&#10;WXbGMfSeJGRLAQyp9bqnTsL31+vDCliIirSynlDCjAG21e1NqQrtL7TDcxM7lkIoFEqCiXEoOA+t&#10;QafC0g9IyTv40amY1rHjelSXFO4sz4V44k71lBqMGrA22B6bk5OwW6xr2759LpoPmt67x7l+McdZ&#10;yvu76XkDLOIU/47hip/QoUpMe38iHZiVkB6Jv/PqiWydA9snla1yAbwq+X/+6gcAAP//AwBQSwEC&#10;LQAUAAYACAAAACEAtoM4kv4AAADhAQAAEwAAAAAAAAAAAAAAAAAAAAAAW0NvbnRlbnRfVHlwZXNd&#10;LnhtbFBLAQItABQABgAIAAAAIQA4/SH/1gAAAJQBAAALAAAAAAAAAAAAAAAAAC8BAABfcmVscy8u&#10;cmVsc1BLAQItABQABgAIAAAAIQBdbk1XmwIAADgFAAAOAAAAAAAAAAAAAAAAAC4CAABkcnMvZTJv&#10;RG9jLnhtbFBLAQItABQABgAIAAAAIQAa0J3n3QAAAAcBAAAPAAAAAAAAAAAAAAAAAPUEAABkcnMv&#10;ZG93bnJldi54bWxQSwUGAAAAAAQABADzAAAA/wUAAAAA&#10;" fillcolor="#f1f1f1" stroked="f">
                <v:fill opacity="58853f"/>
                <v:textbox>
                  <w:txbxContent>
                    <w:p w:rsidR="00817D20" w:rsidRPr="00B379F8" w:rsidRDefault="00817D20" w:rsidP="00AF0329">
                      <w:pPr>
                        <w:pStyle w:val="a7"/>
                        <w:numPr>
                          <w:ilvl w:val="0"/>
                          <w:numId w:val="6"/>
                        </w:numPr>
                        <w:spacing w:before="120" w:after="0" w:line="276" w:lineRule="auto"/>
                        <w:jc w:val="left"/>
                        <w:rPr>
                          <w:rFonts w:ascii="Segoe UI" w:hAnsi="Segoe UI" w:cs="Segoe UI"/>
                          <w:b/>
                          <w:sz w:val="15"/>
                          <w:szCs w:val="15"/>
                        </w:rPr>
                      </w:pPr>
                      <w:r w:rsidRPr="00B379F8">
                        <w:rPr>
                          <w:rFonts w:ascii="Segoe UI" w:hAnsi="Segoe UI" w:cs="Segoe UI"/>
                          <w:b/>
                          <w:sz w:val="15"/>
                          <w:szCs w:val="15"/>
                        </w:rPr>
                        <w:t>Τα σημαντικότερα επιτεύγματα</w:t>
                      </w:r>
                      <w:r w:rsidRPr="00B379F8">
                        <w:rPr>
                          <w:rFonts w:ascii="Segoe UI" w:hAnsi="Segoe UI" w:cs="Segoe UI"/>
                          <w:b/>
                          <w:sz w:val="15"/>
                          <w:szCs w:val="15"/>
                          <w:lang w:val="en-US"/>
                        </w:rPr>
                        <w:t xml:space="preserve"> </w:t>
                      </w:r>
                      <w:r w:rsidRPr="00B379F8">
                        <w:rPr>
                          <w:rFonts w:ascii="Segoe UI" w:hAnsi="Segoe UI" w:cs="Segoe UI"/>
                          <w:b/>
                          <w:sz w:val="15"/>
                          <w:szCs w:val="15"/>
                        </w:rPr>
                        <w:t>του 2020</w:t>
                      </w:r>
                    </w:p>
                    <w:p w:rsidR="00817D20" w:rsidRPr="00B379F8" w:rsidRDefault="00817D20" w:rsidP="00AF0329">
                      <w:pPr>
                        <w:numPr>
                          <w:ilvl w:val="1"/>
                          <w:numId w:val="6"/>
                        </w:numPr>
                        <w:spacing w:before="80"/>
                        <w:rPr>
                          <w:rFonts w:ascii="Segoe UI" w:hAnsi="Segoe UI" w:cs="Segoe UI"/>
                          <w:sz w:val="15"/>
                          <w:szCs w:val="15"/>
                        </w:rPr>
                      </w:pPr>
                      <w:r w:rsidRPr="00B379F8">
                        <w:rPr>
                          <w:rFonts w:ascii="Segoe UI" w:hAnsi="Segoe UI" w:cs="Segoe UI"/>
                          <w:sz w:val="15"/>
                          <w:szCs w:val="15"/>
                        </w:rPr>
                        <w:t>Η ταξινόμηση του χαρτοφυλακίου Frontier ως περιουσιακό στοιχείο προοριζόμενο προς πώληση μειώνει το δείκτη Μη Εξυπηρετούμενων Ανοιγμάτων (ΜΕΑ) σε 13,6%</w:t>
                      </w:r>
                      <w:r w:rsidRPr="00B379F8">
                        <w:rPr>
                          <w:rFonts w:ascii="Segoe UI" w:hAnsi="Segoe UI" w:cs="Segoe UI"/>
                          <w:sz w:val="15"/>
                          <w:szCs w:val="15"/>
                          <w:vertAlign w:val="superscript"/>
                        </w:rPr>
                        <w:t xml:space="preserve">1 </w:t>
                      </w:r>
                      <w:r w:rsidRPr="00B379F8">
                        <w:rPr>
                          <w:rFonts w:ascii="Segoe UI" w:hAnsi="Segoe UI" w:cs="Segoe UI"/>
                          <w:sz w:val="15"/>
                          <w:szCs w:val="15"/>
                        </w:rPr>
                        <w:t xml:space="preserve"> από 29,3% το Γ’ τρίμηνο 2020, με το δείκτη CET1 να διατηρείται σε 15,7%, παρά την απορρόφηση των απαιτούμενων προβλέψεων για την τιτλοποίηση </w:t>
                      </w:r>
                      <w:r w:rsidRPr="00B379F8">
                        <w:rPr>
                          <w:rFonts w:ascii="Segoe UI" w:hAnsi="Segoe UI" w:cs="Segoe UI"/>
                          <w:sz w:val="15"/>
                          <w:szCs w:val="15"/>
                          <w:lang w:val="en-US"/>
                        </w:rPr>
                        <w:t>Frontier</w:t>
                      </w:r>
                      <w:r w:rsidRPr="00B379F8">
                        <w:rPr>
                          <w:rFonts w:ascii="Segoe UI" w:hAnsi="Segoe UI" w:cs="Segoe UI"/>
                          <w:sz w:val="15"/>
                          <w:szCs w:val="15"/>
                        </w:rPr>
                        <w:t>. Η θετική επίδραση στους δείκτες κεφαλαιακής επάρκειας από τη μείωση των Σταθμισμένων Στοιχείων του Ενεργητικού ως αποτέλεσμα της ολοκλήρωσης της συναλλαγής εκτιμάται σε περίπου 110μ.β.</w:t>
                      </w:r>
                    </w:p>
                    <w:p w:rsidR="00817D20" w:rsidRPr="00B379F8" w:rsidRDefault="00817D20" w:rsidP="006947A1">
                      <w:pPr>
                        <w:numPr>
                          <w:ilvl w:val="1"/>
                          <w:numId w:val="6"/>
                        </w:numPr>
                        <w:spacing w:before="80"/>
                        <w:rPr>
                          <w:rFonts w:ascii="Segoe UI" w:hAnsi="Segoe UI" w:cs="Segoe UI"/>
                          <w:sz w:val="15"/>
                          <w:szCs w:val="15"/>
                        </w:rPr>
                      </w:pPr>
                      <w:r w:rsidRPr="00B379F8">
                        <w:rPr>
                          <w:rFonts w:ascii="Segoe UI" w:hAnsi="Segoe UI" w:cs="Segoe UI"/>
                          <w:sz w:val="15"/>
                          <w:szCs w:val="15"/>
                        </w:rPr>
                        <w:t xml:space="preserve">Η συμφωνία πώλησης του 90% της συμμετοχής μας στην Εθνική Ασφαλιστική αποτυπώνεται στα οικονομικά αποτελέσματα του 2020. Η ολοκλήρωση της συναλλαγής αναμένεται να ενισχύσει περαιτέρω την κεφαλαιακή θέση της Τράπεζας κατά περίπου 60μ.β. </w:t>
                      </w:r>
                    </w:p>
                    <w:p w:rsidR="00817D20" w:rsidRPr="00B379F8" w:rsidRDefault="00817D20" w:rsidP="00BE3EB1">
                      <w:pPr>
                        <w:numPr>
                          <w:ilvl w:val="1"/>
                          <w:numId w:val="6"/>
                        </w:numPr>
                        <w:spacing w:before="80"/>
                        <w:rPr>
                          <w:rFonts w:ascii="Segoe UI" w:hAnsi="Segoe UI" w:cs="Segoe UI"/>
                          <w:sz w:val="15"/>
                          <w:szCs w:val="15"/>
                        </w:rPr>
                      </w:pPr>
                      <w:r w:rsidRPr="00B379F8">
                        <w:rPr>
                          <w:rFonts w:ascii="Segoe UI" w:hAnsi="Segoe UI" w:cs="Segoe UI"/>
                          <w:sz w:val="15"/>
                          <w:szCs w:val="15"/>
                        </w:rPr>
                        <w:t xml:space="preserve">Η διασφάλιση της υγείας και της ασφάλειας των υπαλλήλων και πελατών μας αποτέλεσε ύψιστη προτεραιότητα της Τράπεζας καθ’ όλη τη διάρκεια του 2020, με το ποσοστό του προσωπικού που εργάζεται εξ αποστάσεως, αλλά με ασφάλεια και αποδοτικότητα στον κυβερνοχώρο, να ανέρχεται σε περίπου 50% </w:t>
                      </w:r>
                    </w:p>
                    <w:p w:rsidR="00817D20" w:rsidRPr="00B379F8" w:rsidRDefault="00817D20" w:rsidP="00723DC6">
                      <w:pPr>
                        <w:numPr>
                          <w:ilvl w:val="1"/>
                          <w:numId w:val="6"/>
                        </w:numPr>
                        <w:spacing w:before="80"/>
                        <w:rPr>
                          <w:rFonts w:ascii="Segoe UI" w:hAnsi="Segoe UI" w:cs="Segoe UI"/>
                          <w:sz w:val="15"/>
                          <w:szCs w:val="15"/>
                        </w:rPr>
                      </w:pPr>
                      <w:r w:rsidRPr="00B379F8">
                        <w:rPr>
                          <w:rFonts w:ascii="Segoe UI" w:hAnsi="Segoe UI" w:cs="Segoe UI"/>
                          <w:sz w:val="15"/>
                          <w:szCs w:val="15"/>
                        </w:rPr>
                        <w:t xml:space="preserve">Οι περιορισμοί λόγω της πανδημίας επιτάχυναν τον ψηφιακό μετασχηματισμό της Τράπεζας. Ο αριθμός των συναλλαγών πλησιάζει τα επίπεδα προ κορωνοϊού, με τις συναλλαγές </w:t>
                      </w:r>
                      <w:r w:rsidRPr="00B379F8">
                        <w:rPr>
                          <w:rFonts w:ascii="Segoe UI" w:hAnsi="Segoe UI" w:cs="Segoe UI"/>
                          <w:sz w:val="15"/>
                          <w:szCs w:val="15"/>
                          <w:lang w:val="en-US"/>
                        </w:rPr>
                        <w:t>e</w:t>
                      </w:r>
                      <w:r w:rsidRPr="00B379F8">
                        <w:rPr>
                          <w:rFonts w:ascii="Segoe UI" w:hAnsi="Segoe UI" w:cs="Segoe UI"/>
                          <w:sz w:val="15"/>
                          <w:szCs w:val="15"/>
                        </w:rPr>
                        <w:t>-</w:t>
                      </w:r>
                      <w:r w:rsidRPr="00B379F8">
                        <w:rPr>
                          <w:rFonts w:ascii="Segoe UI" w:hAnsi="Segoe UI" w:cs="Segoe UI"/>
                          <w:sz w:val="15"/>
                          <w:szCs w:val="15"/>
                          <w:lang w:val="en-US"/>
                        </w:rPr>
                        <w:t>banking</w:t>
                      </w:r>
                      <w:r w:rsidRPr="00B379F8">
                        <w:rPr>
                          <w:rFonts w:ascii="Segoe UI" w:hAnsi="Segoe UI" w:cs="Segoe UI"/>
                          <w:sz w:val="15"/>
                          <w:szCs w:val="15"/>
                        </w:rPr>
                        <w:t xml:space="preserve"> να αυξάνονται σχεδόν κατά 50%, αντικαθιστώντας τις συναλλαγές στα καταστήματα, οι οποίες έχουν σταδιακά μειωθεί περίπου κατά τα 2/3</w:t>
                      </w:r>
                      <w:r w:rsidRPr="00B379F8">
                        <w:rPr>
                          <w:rFonts w:ascii="Segoe UI" w:hAnsi="Segoe UI" w:cs="Segoe UI"/>
                          <w:sz w:val="15"/>
                          <w:szCs w:val="15"/>
                          <w:vertAlign w:val="superscript"/>
                        </w:rPr>
                        <w:t>α</w:t>
                      </w:r>
                      <w:r w:rsidRPr="00B379F8">
                        <w:rPr>
                          <w:rFonts w:ascii="Segoe UI" w:hAnsi="Segoe UI" w:cs="Segoe UI"/>
                          <w:sz w:val="15"/>
                          <w:szCs w:val="15"/>
                        </w:rPr>
                        <w:t xml:space="preserve"> σε σύγκριση με τα επίπεδα πριν από την εκδήλωση της πανδημίας</w:t>
                      </w:r>
                    </w:p>
                    <w:p w:rsidR="00817D20" w:rsidRPr="00B379F8" w:rsidRDefault="00817D20" w:rsidP="001A0468">
                      <w:pPr>
                        <w:numPr>
                          <w:ilvl w:val="1"/>
                          <w:numId w:val="6"/>
                        </w:numPr>
                        <w:spacing w:before="80"/>
                        <w:rPr>
                          <w:rFonts w:ascii="Segoe UI" w:hAnsi="Segoe UI" w:cs="Segoe UI"/>
                          <w:sz w:val="15"/>
                          <w:szCs w:val="15"/>
                        </w:rPr>
                      </w:pPr>
                      <w:r w:rsidRPr="00B379F8">
                        <w:rPr>
                          <w:rFonts w:ascii="Segoe UI" w:hAnsi="Segoe UI" w:cs="Segoe UI"/>
                          <w:sz w:val="15"/>
                          <w:szCs w:val="15"/>
                        </w:rPr>
                        <w:t>Ισχυρή λειτουργική κερδοφορία παρά τη δυσχερή συγκυρία λόγω κορωνοϊού, η οποία αντανακλά την ανθεκτικότητα των οργανικών εσόδων και τη σημαντική περιστολή των λειτουργικών δαπανών</w:t>
                      </w:r>
                    </w:p>
                    <w:p w:rsidR="00817D20" w:rsidRPr="00B379F8" w:rsidRDefault="00817D20" w:rsidP="00182C5F">
                      <w:pPr>
                        <w:numPr>
                          <w:ilvl w:val="1"/>
                          <w:numId w:val="6"/>
                        </w:numPr>
                        <w:spacing w:before="80"/>
                        <w:rPr>
                          <w:rFonts w:ascii="Segoe UI" w:hAnsi="Segoe UI" w:cs="Segoe UI"/>
                          <w:sz w:val="15"/>
                          <w:szCs w:val="15"/>
                        </w:rPr>
                      </w:pPr>
                      <w:r w:rsidRPr="00B379F8">
                        <w:rPr>
                          <w:rFonts w:ascii="Segoe UI" w:hAnsi="Segoe UI" w:cs="Segoe UI"/>
                          <w:sz w:val="15"/>
                          <w:szCs w:val="15"/>
                        </w:rPr>
                        <w:t xml:space="preserve">Τα υψηλά κέρδη από χρηματοοικονομικές πράξεις και λοιπά έσοδα ύψους €1,1 δισ. απορρόφησαν πλήρως τις μη επαναλαμβανόμενες προβλέψεις σχετιζόμενες με την πανδημία του κορωνοϊού και την τιτλοποίηση Frontier, καθώς και την πρόσθετη απομείωση ως αποτέλεσμα της συμφωνίας πώλησης της Εθνικής Ασφαλιστικής, </w:t>
                      </w:r>
                      <w:r w:rsidRPr="00182C5F">
                        <w:rPr>
                          <w:rFonts w:ascii="Segoe UI" w:hAnsi="Segoe UI" w:cs="Segoe UI"/>
                          <w:sz w:val="15"/>
                          <w:szCs w:val="15"/>
                        </w:rPr>
                        <w:t>χωρίς να προχωρήσουμε σε απόσχιση του τραπεζικού κλάδου της ΕΤΕ με σύσταση νέας εταιρείας (</w:t>
                      </w:r>
                      <w:proofErr w:type="spellStart"/>
                      <w:r w:rsidRPr="00182C5F">
                        <w:rPr>
                          <w:rFonts w:ascii="Segoe UI" w:hAnsi="Segoe UI" w:cs="Segoe UI"/>
                          <w:sz w:val="15"/>
                          <w:szCs w:val="15"/>
                        </w:rPr>
                        <w:t>hive</w:t>
                      </w:r>
                      <w:proofErr w:type="spellEnd"/>
                      <w:r w:rsidRPr="00182C5F">
                        <w:rPr>
                          <w:rFonts w:ascii="Segoe UI" w:hAnsi="Segoe UI" w:cs="Segoe UI"/>
                          <w:sz w:val="15"/>
                          <w:szCs w:val="15"/>
                        </w:rPr>
                        <w:t xml:space="preserve"> </w:t>
                      </w:r>
                      <w:proofErr w:type="spellStart"/>
                      <w:r w:rsidRPr="00182C5F">
                        <w:rPr>
                          <w:rFonts w:ascii="Segoe UI" w:hAnsi="Segoe UI" w:cs="Segoe UI"/>
                          <w:sz w:val="15"/>
                          <w:szCs w:val="15"/>
                        </w:rPr>
                        <w:t>down</w:t>
                      </w:r>
                      <w:proofErr w:type="spellEnd"/>
                      <w:r w:rsidRPr="00182C5F">
                        <w:rPr>
                          <w:rFonts w:ascii="Segoe UI" w:hAnsi="Segoe UI" w:cs="Segoe UI"/>
                          <w:sz w:val="15"/>
                          <w:szCs w:val="15"/>
                        </w:rPr>
                        <w:t>)</w:t>
                      </w:r>
                    </w:p>
                    <w:p w:rsidR="00817D20" w:rsidRPr="00B379F8" w:rsidRDefault="00817D20" w:rsidP="0083628F">
                      <w:pPr>
                        <w:numPr>
                          <w:ilvl w:val="1"/>
                          <w:numId w:val="6"/>
                        </w:numPr>
                        <w:spacing w:before="80"/>
                        <w:rPr>
                          <w:rFonts w:ascii="Segoe UI" w:hAnsi="Segoe UI" w:cs="Segoe UI"/>
                          <w:sz w:val="15"/>
                          <w:szCs w:val="15"/>
                        </w:rPr>
                      </w:pPr>
                      <w:r w:rsidRPr="00B379F8">
                        <w:rPr>
                          <w:rFonts w:ascii="Segoe UI" w:hAnsi="Segoe UI" w:cs="Segoe UI"/>
                          <w:sz w:val="15"/>
                          <w:szCs w:val="15"/>
                        </w:rPr>
                        <w:t xml:space="preserve">Νέες εκταμιεύσεις δανείων στην Ελλάδα ύψους €4,7 δισ. το 2020 (+40% σε ετήσια βάση), κατόπιν της συνδρομής των κυβερνητικών προγραμμάτων στήριξης για την αντιμετώπιση των επιπτώσεων της πανδημίας </w:t>
                      </w:r>
                    </w:p>
                    <w:p w:rsidR="00817D20" w:rsidRPr="00B379F8" w:rsidRDefault="00817D20" w:rsidP="0083628F">
                      <w:pPr>
                        <w:numPr>
                          <w:ilvl w:val="1"/>
                          <w:numId w:val="6"/>
                        </w:numPr>
                        <w:spacing w:before="80"/>
                        <w:rPr>
                          <w:rFonts w:ascii="Segoe UI" w:hAnsi="Segoe UI" w:cs="Segoe UI"/>
                          <w:sz w:val="15"/>
                          <w:szCs w:val="15"/>
                        </w:rPr>
                      </w:pPr>
                      <w:r w:rsidRPr="00B379F8">
                        <w:rPr>
                          <w:rFonts w:ascii="Segoe UI" w:hAnsi="Segoe UI" w:cs="Segoe UI"/>
                          <w:sz w:val="15"/>
                          <w:szCs w:val="15"/>
                        </w:rPr>
                        <w:t>Στα πλαίσια της στρατηγικής της Τράπεζας σχετικά με το περιβάλλον, την κοινωνία και την εταιρική διακυβέρνηση (</w:t>
                      </w:r>
                      <w:r w:rsidRPr="00B379F8">
                        <w:rPr>
                          <w:rFonts w:ascii="Segoe UI" w:hAnsi="Segoe UI" w:cs="Segoe UI"/>
                          <w:sz w:val="15"/>
                          <w:szCs w:val="15"/>
                          <w:lang w:val="en-US"/>
                        </w:rPr>
                        <w:t>ESG</w:t>
                      </w:r>
                      <w:r w:rsidRPr="00B379F8">
                        <w:rPr>
                          <w:rFonts w:ascii="Segoe UI" w:hAnsi="Segoe UI" w:cs="Segoe UI"/>
                          <w:sz w:val="15"/>
                          <w:szCs w:val="15"/>
                        </w:rPr>
                        <w:t xml:space="preserve">), προχωρήσαμε στην επιτυχή έκδοση του πρώτου πράσινου ομολόγου υψηλής εξασφάλισης στην Ελλάδα ύψους €500 εκατ. με εξαετή διάρκεια και τοκομερίδιο 2,75%  </w:t>
                      </w:r>
                    </w:p>
                    <w:p w:rsidR="00817D20" w:rsidRPr="00B379F8" w:rsidRDefault="00817D20" w:rsidP="00C342A1">
                      <w:pPr>
                        <w:spacing w:before="80"/>
                        <w:ind w:left="644"/>
                        <w:rPr>
                          <w:rFonts w:ascii="Segoe UI" w:hAnsi="Segoe UI" w:cs="Segoe UI"/>
                          <w:sz w:val="15"/>
                          <w:szCs w:val="15"/>
                          <w:highlight w:val="yellow"/>
                        </w:rPr>
                      </w:pPr>
                    </w:p>
                    <w:p w:rsidR="00817D20" w:rsidRPr="00B379F8" w:rsidRDefault="00817D20" w:rsidP="003D0D6B">
                      <w:pPr>
                        <w:numPr>
                          <w:ilvl w:val="0"/>
                          <w:numId w:val="6"/>
                        </w:numPr>
                        <w:spacing w:before="120"/>
                        <w:rPr>
                          <w:rFonts w:ascii="Segoe UI" w:hAnsi="Segoe UI" w:cs="Segoe UI"/>
                          <w:b/>
                          <w:sz w:val="15"/>
                          <w:szCs w:val="15"/>
                        </w:rPr>
                      </w:pPr>
                      <w:r w:rsidRPr="00B379F8">
                        <w:rPr>
                          <w:rFonts w:ascii="Segoe UI" w:hAnsi="Segoe UI" w:cs="Segoe UI"/>
                          <w:b/>
                          <w:sz w:val="15"/>
                          <w:szCs w:val="15"/>
                        </w:rPr>
                        <w:t>Τα ΜΕΑ στην Ελλάδα μειώθηκαν σχεδόν κατά τα 2/3</w:t>
                      </w:r>
                      <w:r w:rsidRPr="00B379F8">
                        <w:rPr>
                          <w:rFonts w:ascii="Segoe UI" w:hAnsi="Segoe UI" w:cs="Segoe UI"/>
                          <w:b/>
                          <w:sz w:val="15"/>
                          <w:szCs w:val="15"/>
                          <w:vertAlign w:val="superscript"/>
                        </w:rPr>
                        <w:t>α</w:t>
                      </w:r>
                      <w:r w:rsidRPr="00B379F8">
                        <w:rPr>
                          <w:rFonts w:ascii="Segoe UI" w:hAnsi="Segoe UI" w:cs="Segoe UI"/>
                          <w:b/>
                          <w:sz w:val="15"/>
                          <w:szCs w:val="15"/>
                        </w:rPr>
                        <w:t xml:space="preserve"> σε €4,3 δισ. το 2020 από €10,8 δισ. το 2019</w:t>
                      </w:r>
                    </w:p>
                    <w:p w:rsidR="00817D20" w:rsidRPr="00B379F8" w:rsidRDefault="00817D20" w:rsidP="003B1599">
                      <w:pPr>
                        <w:pStyle w:val="a7"/>
                        <w:numPr>
                          <w:ilvl w:val="0"/>
                          <w:numId w:val="7"/>
                        </w:numPr>
                        <w:spacing w:before="100" w:after="0" w:line="240" w:lineRule="auto"/>
                        <w:jc w:val="left"/>
                        <w:rPr>
                          <w:rFonts w:ascii="Segoe UI" w:hAnsi="Segoe UI" w:cs="Segoe UI"/>
                          <w:sz w:val="15"/>
                          <w:szCs w:val="15"/>
                        </w:rPr>
                      </w:pPr>
                      <w:r w:rsidRPr="00B379F8">
                        <w:rPr>
                          <w:rFonts w:ascii="Segoe UI" w:hAnsi="Segoe UI" w:cs="Segoe UI"/>
                          <w:sz w:val="15"/>
                          <w:szCs w:val="15"/>
                        </w:rPr>
                        <w:t xml:space="preserve">Η συνολική μείωση ΜΕΑ στην Ελλάδα άγγιξε τα €6,5 δισ. </w:t>
                      </w:r>
                      <w:r w:rsidRPr="00B379F8">
                        <w:rPr>
                          <w:rFonts w:ascii="Segoe UI" w:hAnsi="Segoe UI" w:cs="Segoe UI"/>
                          <w:sz w:val="15"/>
                          <w:szCs w:val="15"/>
                        </w:rPr>
                        <w:t xml:space="preserve">το 2020, αντανακλώντας την ταξινόμηση του χαρτοφυλακίου Frontier ως περιουσιακό στοιχείο προοριζόμενο προς πώληση το Δ’ τρίμηνο </w:t>
                      </w:r>
                      <w:r w:rsidR="00C07776">
                        <w:rPr>
                          <w:rFonts w:ascii="Segoe UI" w:hAnsi="Segoe UI" w:cs="Segoe UI"/>
                          <w:sz w:val="15"/>
                          <w:szCs w:val="15"/>
                        </w:rPr>
                        <w:t xml:space="preserve">2020, καθώς και </w:t>
                      </w:r>
                      <w:r w:rsidRPr="00B379F8">
                        <w:rPr>
                          <w:rFonts w:ascii="Segoe UI" w:hAnsi="Segoe UI" w:cs="Segoe UI"/>
                          <w:sz w:val="15"/>
                          <w:szCs w:val="15"/>
                        </w:rPr>
                        <w:t>την οργανική μείωση ΜΕΑ ύψους €0,7 δισ. για ολόκληρο το έτος</w:t>
                      </w:r>
                    </w:p>
                    <w:p w:rsidR="00817D20" w:rsidRPr="00B379F8" w:rsidRDefault="00817D20" w:rsidP="00C649AB">
                      <w:pPr>
                        <w:pStyle w:val="a7"/>
                        <w:numPr>
                          <w:ilvl w:val="0"/>
                          <w:numId w:val="7"/>
                        </w:numPr>
                        <w:spacing w:before="100" w:after="0" w:line="240" w:lineRule="auto"/>
                        <w:jc w:val="left"/>
                        <w:rPr>
                          <w:rFonts w:ascii="Segoe UI" w:hAnsi="Segoe UI" w:cs="Segoe UI"/>
                          <w:sz w:val="15"/>
                          <w:szCs w:val="15"/>
                        </w:rPr>
                      </w:pPr>
                      <w:r w:rsidRPr="00B379F8">
                        <w:rPr>
                          <w:rFonts w:ascii="Segoe UI" w:hAnsi="Segoe UI" w:cs="Segoe UI"/>
                          <w:sz w:val="15"/>
                          <w:szCs w:val="15"/>
                        </w:rPr>
                        <w:t>Δείκτης ΜΕΑ στην Ελλάδα ύψους 13,8%</w:t>
                      </w:r>
                      <w:r w:rsidRPr="00B379F8">
                        <w:rPr>
                          <w:rFonts w:ascii="Segoe UI" w:hAnsi="Segoe UI" w:cs="Segoe UI"/>
                          <w:sz w:val="15"/>
                          <w:szCs w:val="15"/>
                          <w:vertAlign w:val="superscript"/>
                        </w:rPr>
                        <w:t>1</w:t>
                      </w:r>
                      <w:r w:rsidRPr="00B379F8">
                        <w:rPr>
                          <w:rFonts w:ascii="Segoe UI" w:hAnsi="Segoe UI" w:cs="Segoe UI"/>
                          <w:sz w:val="15"/>
                          <w:szCs w:val="15"/>
                        </w:rPr>
                        <w:t xml:space="preserve"> (μείωση κατά 16,2π.μ. σε τριμηνιαία βάση), με το δείκτη κάλυψης ΜΕΑ από σωρευμένες προβλέψεις να ανέρχεται σε 62,8% (+640μ.β. σε σύγκριση με το προηγούμενο τρίμηνο)</w:t>
                      </w:r>
                    </w:p>
                    <w:p w:rsidR="00817D20" w:rsidRPr="00B379F8" w:rsidRDefault="00817D20" w:rsidP="00111DAF">
                      <w:pPr>
                        <w:rPr>
                          <w:rFonts w:ascii="Segoe UI" w:hAnsi="Segoe UI" w:cs="Segoe UI"/>
                          <w:sz w:val="15"/>
                          <w:szCs w:val="15"/>
                          <w:vertAlign w:val="superscript"/>
                        </w:rPr>
                      </w:pPr>
                    </w:p>
                    <w:p w:rsidR="00817D20" w:rsidRPr="00B379F8" w:rsidRDefault="00817D20" w:rsidP="00817E88">
                      <w:pPr>
                        <w:pStyle w:val="a7"/>
                        <w:numPr>
                          <w:ilvl w:val="0"/>
                          <w:numId w:val="6"/>
                        </w:numPr>
                        <w:spacing w:before="120" w:after="0" w:line="276" w:lineRule="auto"/>
                        <w:jc w:val="left"/>
                        <w:rPr>
                          <w:rFonts w:ascii="Segoe UI" w:hAnsi="Segoe UI" w:cs="Segoe UI"/>
                          <w:b/>
                          <w:sz w:val="15"/>
                          <w:szCs w:val="15"/>
                        </w:rPr>
                      </w:pPr>
                      <w:r w:rsidRPr="00B379F8">
                        <w:rPr>
                          <w:rFonts w:ascii="Segoe UI" w:hAnsi="Segoe UI" w:cs="Segoe UI"/>
                          <w:b/>
                          <w:sz w:val="15"/>
                          <w:szCs w:val="15"/>
                        </w:rPr>
                        <w:t>Ενεργή στήριξη των πελατών που έχουν πληγεί από την κρίση της πανδημίας του κορωνοϊού</w:t>
                      </w:r>
                    </w:p>
                    <w:p w:rsidR="00817D20" w:rsidRPr="00B379F8" w:rsidRDefault="00817D20" w:rsidP="00817E88">
                      <w:pPr>
                        <w:numPr>
                          <w:ilvl w:val="1"/>
                          <w:numId w:val="6"/>
                        </w:numPr>
                        <w:spacing w:before="80"/>
                        <w:rPr>
                          <w:rFonts w:ascii="Segoe UI" w:hAnsi="Segoe UI" w:cs="Segoe UI"/>
                          <w:sz w:val="15"/>
                          <w:szCs w:val="15"/>
                        </w:rPr>
                      </w:pPr>
                      <w:r w:rsidRPr="00B379F8">
                        <w:rPr>
                          <w:rFonts w:ascii="Segoe UI" w:hAnsi="Segoe UI" w:cs="Segoe UI"/>
                          <w:sz w:val="15"/>
                          <w:szCs w:val="15"/>
                        </w:rPr>
                        <w:t>Η συνολική χρηματοδότηση μέσω του προγράμματος Επιχειρηματικής Χρηματοδότησης - ΤΕΠΙΧ ΙΙ (ολοκληρωμένο) και των δανείων με εγγύηση Δημοσίου για κεφάλαιο κίνησης επιχειρήσεων (ενεργό) ανήλθε σε €1,8 δισ., ενώ δάνεια ύψους €2,3 δισ. κυρίως μικρών και μικρομεσαίων επιχειρήσεων εντάχθηκαν στο πρόγραμμα επιδότησης επιτοκίου το 2020</w:t>
                      </w:r>
                    </w:p>
                    <w:p w:rsidR="00817D20" w:rsidRDefault="00817D20" w:rsidP="00B379F8">
                      <w:pPr>
                        <w:numPr>
                          <w:ilvl w:val="1"/>
                          <w:numId w:val="6"/>
                        </w:numPr>
                        <w:spacing w:before="80"/>
                        <w:rPr>
                          <w:rFonts w:ascii="Segoe UI" w:hAnsi="Segoe UI" w:cs="Segoe UI"/>
                          <w:sz w:val="15"/>
                          <w:szCs w:val="15"/>
                        </w:rPr>
                      </w:pPr>
                      <w:r w:rsidRPr="00B379F8">
                        <w:rPr>
                          <w:rFonts w:ascii="Segoe UI" w:hAnsi="Segoe UI" w:cs="Segoe UI"/>
                          <w:sz w:val="15"/>
                          <w:szCs w:val="15"/>
                        </w:rPr>
                        <w:t>Οι δανειολήπτες της Εθνικής Τράπεζας που μπορούν να υπαχθούν στο κρατικό πρόγραμμα «Γέφυρα» επιδότησης δόσεων στεγαστικών δανείων αντιστοιχούν σε υπόλοιπα δανείων ύψους περίπου €1,4 δισ. μέχρι σήμερα, εκ των οποίων σχεδόν το 40% είχε ενταχθεί σε πρόγραμμα διευκόλυνσης καταβολής οφειλών. Η Τράπεζα προσφέρει τα κατάλληλα προϊόντα στους δανειολήπτες που εξακολουθούν να αντιμετωπίζουν οικονομικές δυσκολίες λόγω της κρίσης του κορωνοϊού, με τα δάνεια που έχουν υπαχθεί σε στοχευμένα προγράμματα διευκόλυνσης οφειλών της ΕΤΕ (ήτοι ΕθνοΓέφυρα) να ανέρχονται σε €10</w:t>
                      </w:r>
                      <w:r w:rsidR="005F3799" w:rsidRPr="005F3799">
                        <w:rPr>
                          <w:rFonts w:ascii="Segoe UI" w:hAnsi="Segoe UI" w:cs="Segoe UI"/>
                          <w:sz w:val="15"/>
                          <w:szCs w:val="15"/>
                        </w:rPr>
                        <w:t>7</w:t>
                      </w:r>
                      <w:r w:rsidRPr="00B379F8">
                        <w:rPr>
                          <w:rFonts w:ascii="Segoe UI" w:hAnsi="Segoe UI" w:cs="Segoe UI"/>
                          <w:sz w:val="15"/>
                          <w:szCs w:val="15"/>
                        </w:rPr>
                        <w:t xml:space="preserve"> εκατ. τον Μάρτιο 2021 </w:t>
                      </w:r>
                    </w:p>
                    <w:p w:rsidR="00817D20" w:rsidRDefault="00817D20" w:rsidP="00B379F8">
                      <w:pPr>
                        <w:numPr>
                          <w:ilvl w:val="1"/>
                          <w:numId w:val="6"/>
                        </w:numPr>
                        <w:spacing w:before="80"/>
                        <w:rPr>
                          <w:rFonts w:ascii="Segoe UI" w:hAnsi="Segoe UI" w:cs="Segoe UI"/>
                          <w:sz w:val="15"/>
                          <w:szCs w:val="15"/>
                        </w:rPr>
                      </w:pPr>
                      <w:r w:rsidRPr="00B379F8">
                        <w:rPr>
                          <w:rFonts w:ascii="Segoe UI" w:hAnsi="Segoe UI" w:cs="Segoe UI"/>
                          <w:sz w:val="15"/>
                          <w:szCs w:val="15"/>
                        </w:rPr>
                        <w:t xml:space="preserve">Τα μέτρα διευκόλυνσης καταβολής οφειλών επιχειρήσεων και φυσικών προσώπων ύψους περίπου €3,8 δισ. έληξαν σταδιακά μέχρι την 31.12.2020. Τα πρώτα στοιχεία σχετικά με την κατάσταση πληρωμών είναι ενθαρρυντικά, καθώς λίγοι πελάτες φαίνεται να αντιμετωπίζουν δυσκολίες στην αποπληρωμή των οφειλών τους </w:t>
                      </w:r>
                    </w:p>
                    <w:p w:rsidR="00817D20" w:rsidRDefault="00817D20" w:rsidP="00B379F8">
                      <w:pPr>
                        <w:spacing w:before="80"/>
                        <w:ind w:left="360"/>
                        <w:rPr>
                          <w:rFonts w:ascii="Segoe UI" w:hAnsi="Segoe UI" w:cs="Segoe UI"/>
                          <w:sz w:val="15"/>
                          <w:szCs w:val="15"/>
                        </w:rPr>
                      </w:pPr>
                    </w:p>
                    <w:p w:rsidR="00817D20" w:rsidRPr="00B379F8" w:rsidRDefault="00817D20" w:rsidP="00B379F8">
                      <w:pPr>
                        <w:spacing w:before="80"/>
                        <w:ind w:left="360"/>
                        <w:rPr>
                          <w:rFonts w:ascii="Segoe UI" w:hAnsi="Segoe UI" w:cs="Segoe UI"/>
                          <w:sz w:val="15"/>
                          <w:szCs w:val="15"/>
                        </w:rPr>
                      </w:pPr>
                    </w:p>
                    <w:p w:rsidR="00817D20" w:rsidRPr="00A906D9" w:rsidRDefault="00817D20" w:rsidP="00A906D9">
                      <w:pPr>
                        <w:spacing w:before="80"/>
                        <w:ind w:left="644"/>
                        <w:rPr>
                          <w:rFonts w:ascii="Segoe UI" w:hAnsi="Segoe UI" w:cs="Segoe UI"/>
                          <w:sz w:val="2"/>
                          <w:szCs w:val="16"/>
                          <w:vertAlign w:val="superscript"/>
                        </w:rPr>
                      </w:pPr>
                    </w:p>
                    <w:p w:rsidR="00817D20" w:rsidRPr="00111DAF" w:rsidRDefault="00817D20" w:rsidP="00111DAF">
                      <w:pPr>
                        <w:rPr>
                          <w:rFonts w:ascii="Segoe UI" w:hAnsi="Segoe UI" w:cs="Segoe UI"/>
                          <w:sz w:val="12"/>
                          <w:szCs w:val="16"/>
                        </w:rPr>
                      </w:pPr>
                      <w:r w:rsidRPr="00111DAF">
                        <w:rPr>
                          <w:rFonts w:ascii="Segoe UI" w:hAnsi="Segoe UI" w:cs="Segoe UI"/>
                          <w:sz w:val="12"/>
                          <w:szCs w:val="16"/>
                          <w:vertAlign w:val="superscript"/>
                        </w:rPr>
                        <w:t xml:space="preserve">1 </w:t>
                      </w:r>
                      <w:r w:rsidRPr="00111DAF">
                        <w:rPr>
                          <w:rFonts w:ascii="Segoe UI" w:hAnsi="Segoe UI" w:cs="Segoe UI"/>
                          <w:sz w:val="12"/>
                          <w:szCs w:val="16"/>
                        </w:rPr>
                        <w:t>Περιλαμβάνει τα ομόλογα υψηλής διαβάθμισης ύψους περίπου €3</w:t>
                      </w:r>
                      <w:r w:rsidRPr="002671C2">
                        <w:rPr>
                          <w:rFonts w:ascii="Segoe UI" w:hAnsi="Segoe UI" w:cs="Segoe UI"/>
                          <w:sz w:val="12"/>
                          <w:szCs w:val="16"/>
                        </w:rPr>
                        <w:t xml:space="preserve"> </w:t>
                      </w:r>
                      <w:r w:rsidRPr="00111DAF">
                        <w:rPr>
                          <w:rFonts w:ascii="Segoe UI" w:hAnsi="Segoe UI" w:cs="Segoe UI"/>
                          <w:sz w:val="12"/>
                          <w:szCs w:val="16"/>
                        </w:rPr>
                        <w:t>δισ. της συναλλαγής Frontier</w:t>
                      </w:r>
                    </w:p>
                    <w:p w:rsidR="00817D20" w:rsidRDefault="00817D20" w:rsidP="005A22F8">
                      <w:pPr>
                        <w:spacing w:before="80"/>
                        <w:ind w:left="644"/>
                        <w:rPr>
                          <w:rFonts w:ascii="Segoe UI" w:hAnsi="Segoe UI" w:cs="Segoe UI"/>
                          <w:sz w:val="16"/>
                          <w:szCs w:val="16"/>
                        </w:rPr>
                      </w:pPr>
                    </w:p>
                  </w:txbxContent>
                </v:textbox>
                <w10:anchorlock/>
              </v:shape>
            </w:pict>
          </mc:Fallback>
        </mc:AlternateContent>
      </w:r>
    </w:p>
    <w:p w:rsidR="0061399D" w:rsidRDefault="009F7797" w:rsidP="00D11BCD">
      <w:pPr>
        <w:pStyle w:val="body"/>
        <w:rPr>
          <w:rFonts w:ascii="Segoe UI" w:hAnsi="Segoe UI" w:cs="Segoe UI"/>
        </w:rPr>
      </w:pPr>
      <w:r>
        <w:rPr>
          <w:rFonts w:ascii="Segoe UI" w:hAnsi="Segoe UI" w:cs="Segoe UI"/>
          <w:noProof/>
          <w:color w:val="auto"/>
          <w:sz w:val="24"/>
          <w:szCs w:val="24"/>
          <w:lang w:eastAsia="el-GR"/>
        </w:rPr>
        <w:lastRenderedPageBreak/>
        <mc:AlternateContent>
          <mc:Choice Requires="wps">
            <w:drawing>
              <wp:inline distT="0" distB="0" distL="0" distR="0">
                <wp:extent cx="6471920" cy="9232900"/>
                <wp:effectExtent l="6985" t="5715" r="7620" b="635"/>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23290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D20" w:rsidRPr="005D5503" w:rsidRDefault="00817D20" w:rsidP="002816EE">
                            <w:pPr>
                              <w:pStyle w:val="a7"/>
                              <w:numPr>
                                <w:ilvl w:val="0"/>
                                <w:numId w:val="6"/>
                              </w:numPr>
                              <w:spacing w:before="120" w:after="0" w:line="276" w:lineRule="auto"/>
                              <w:jc w:val="left"/>
                              <w:rPr>
                                <w:rFonts w:ascii="Segoe UI" w:hAnsi="Segoe UI" w:cs="Segoe UI"/>
                                <w:b/>
                                <w:sz w:val="15"/>
                                <w:szCs w:val="15"/>
                              </w:rPr>
                            </w:pPr>
                            <w:r w:rsidRPr="005D5503">
                              <w:rPr>
                                <w:rFonts w:ascii="Segoe UI" w:hAnsi="Segoe UI" w:cs="Segoe UI"/>
                                <w:b/>
                                <w:sz w:val="15"/>
                                <w:szCs w:val="15"/>
                              </w:rPr>
                              <w:t>Τα κέρδη μετά από φόρους από συνεχιζόμενες δραστηριότητες σε επίπεδο Ομίλου ανήλθαν σε €591 εκατ. το 2020, σημειώνοντας αύξηση κατά 26% σε ετήσια βάση</w:t>
                            </w:r>
                          </w:p>
                          <w:p w:rsidR="00817D20" w:rsidRPr="005D5503" w:rsidRDefault="00817D20" w:rsidP="00473ED1">
                            <w:pPr>
                              <w:numPr>
                                <w:ilvl w:val="1"/>
                                <w:numId w:val="6"/>
                              </w:numPr>
                              <w:spacing w:before="80"/>
                              <w:rPr>
                                <w:rFonts w:ascii="Segoe UI" w:hAnsi="Segoe UI" w:cs="Segoe UI"/>
                                <w:sz w:val="15"/>
                                <w:szCs w:val="15"/>
                              </w:rPr>
                            </w:pPr>
                            <w:r w:rsidRPr="005D5503">
                              <w:rPr>
                                <w:rFonts w:ascii="Segoe UI" w:hAnsi="Segoe UI" w:cs="Segoe UI"/>
                                <w:sz w:val="15"/>
                                <w:szCs w:val="15"/>
                              </w:rPr>
                              <w:t>Η ανάκαμψη στα καθαρά έσοδα από τόκους διατηρήθηκε κατά το Β’ εξάμηνο 2020 (+12,4% σε σύγκριση με το προηγούμενο εξάμηνο), με αποτέλεσμα τα καθαρά έσοδα από τόκους να κινηθούν σε οριακά χαμηλότερα επίπεδα σε ετήσια βάση, παρά τη σημαντική αποκλιμάκωση ΜΕΑ</w:t>
                            </w:r>
                          </w:p>
                          <w:p w:rsidR="00817D20" w:rsidRPr="005D5503" w:rsidRDefault="00817D20" w:rsidP="00912609">
                            <w:pPr>
                              <w:numPr>
                                <w:ilvl w:val="1"/>
                                <w:numId w:val="6"/>
                              </w:numPr>
                              <w:spacing w:before="80"/>
                              <w:rPr>
                                <w:rFonts w:ascii="Segoe UI" w:hAnsi="Segoe UI" w:cs="Segoe UI"/>
                                <w:sz w:val="15"/>
                                <w:szCs w:val="15"/>
                              </w:rPr>
                            </w:pPr>
                            <w:r w:rsidRPr="005D5503">
                              <w:rPr>
                                <w:rFonts w:ascii="Segoe UI" w:hAnsi="Segoe UI" w:cs="Segoe UI"/>
                                <w:sz w:val="15"/>
                                <w:szCs w:val="15"/>
                              </w:rPr>
                              <w:t xml:space="preserve">Παρά τη δυσχερή συγκυρία λόγω της πανδημίας του κορωνοϊού, τα καθαρά έσοδα από προμήθειες αυξήθηκαν κατά 5,3% σε τριμηνιαία βάση και παρέμειναν αμετάβλητα σε σύγκριση με το προηγούμενο έτος στα €256 εκατ. το 2020, αντανακλώντας τη σημαντική αύξηση των προμηθειών από συναλλαγές μέσω καρτών και υπηρεσίες διαμεσολάβησης </w:t>
                            </w:r>
                          </w:p>
                          <w:p w:rsidR="00817D20" w:rsidRPr="005D5503" w:rsidRDefault="00817D20" w:rsidP="00D300ED">
                            <w:pPr>
                              <w:numPr>
                                <w:ilvl w:val="1"/>
                                <w:numId w:val="6"/>
                              </w:numPr>
                              <w:spacing w:before="80"/>
                              <w:rPr>
                                <w:rFonts w:ascii="Segoe UI" w:hAnsi="Segoe UI" w:cs="Segoe UI"/>
                                <w:sz w:val="15"/>
                                <w:szCs w:val="15"/>
                              </w:rPr>
                            </w:pPr>
                            <w:r w:rsidRPr="005D5503">
                              <w:rPr>
                                <w:rFonts w:ascii="Segoe UI" w:hAnsi="Segoe UI" w:cs="Segoe UI"/>
                                <w:sz w:val="15"/>
                                <w:szCs w:val="15"/>
                              </w:rPr>
                              <w:t xml:space="preserve">Σημαντική αποκλιμάκωση των δαπανών προσωπικού (-8,2% σε ετήσια βάση) και των γενικών διοικητικών και λοιπών λειτουργικών εξόδων (-11,8% σε ετήσια βάση) στην Ελλάδα, ως αποτέλεσμα της μείωσης του αριθμού των υπαλλήλων της Τράπεζας, του εξορθολογισμού του δικτύου καταστημάτων επικουρουμένου από τη μετάβαση των πελατών μας σε ψηφιακά κανάλια, καθώς και της αυστηρής διαχείρισης των γενικών διοικητικών και λοιπών λειτουργικών εξόδων </w:t>
                            </w:r>
                          </w:p>
                          <w:p w:rsidR="00817D20" w:rsidRPr="005D5503" w:rsidRDefault="00817D20" w:rsidP="00023268">
                            <w:pPr>
                              <w:numPr>
                                <w:ilvl w:val="1"/>
                                <w:numId w:val="6"/>
                              </w:numPr>
                              <w:spacing w:before="80"/>
                              <w:rPr>
                                <w:rFonts w:ascii="Segoe UI" w:hAnsi="Segoe UI" w:cs="Segoe UI"/>
                                <w:sz w:val="15"/>
                                <w:szCs w:val="15"/>
                              </w:rPr>
                            </w:pPr>
                            <w:r w:rsidRPr="005D5503">
                              <w:rPr>
                                <w:rFonts w:ascii="Segoe UI" w:hAnsi="Segoe UI" w:cs="Segoe UI"/>
                                <w:sz w:val="15"/>
                                <w:szCs w:val="15"/>
                              </w:rPr>
                              <w:t>Οι προβλέψεις απομειώσεις ύψους €1,1 δισ., ήτοι περίπου 400μ.β. επί του μέσου όρου δανείων μετά από προβλέψεις, ενσωματώνουν τις επισφαλείς απαιτήσεις για τον κορωνοϊό και την τιτλοποίηση Frontier. Εξαιρουμένων των εν λόγω προβλέψεων, το κόστος πιστωτικού κινδύνου διαμορφώθηκε σε 106μ.β. το 2020, σε επίπεδα σύμφωνα µε το στόχο που είχε θέσει η Τράπεζα</w:t>
                            </w:r>
                          </w:p>
                          <w:p w:rsidR="00817D20" w:rsidRPr="005D5503" w:rsidRDefault="00817D20" w:rsidP="000668AD">
                            <w:pPr>
                              <w:numPr>
                                <w:ilvl w:val="1"/>
                                <w:numId w:val="6"/>
                              </w:numPr>
                              <w:spacing w:before="80"/>
                              <w:rPr>
                                <w:rFonts w:ascii="Segoe UI" w:hAnsi="Segoe UI" w:cs="Segoe UI"/>
                                <w:sz w:val="15"/>
                                <w:szCs w:val="15"/>
                              </w:rPr>
                            </w:pPr>
                            <w:r w:rsidRPr="005D5503">
                              <w:rPr>
                                <w:rFonts w:ascii="Segoe UI" w:hAnsi="Segoe UI" w:cs="Segoe UI"/>
                                <w:sz w:val="15"/>
                                <w:szCs w:val="15"/>
                              </w:rPr>
                              <w:t>Εξαιρουμένων των μη επαναλαμβανόμενων προβλέψεων και των κερδών από χρηματοοικονομικές πράξεις, τα οργανικά κέρδη ανήλθαν σε €328 εκατ. το 2020, σημειώνοντας αύξηση 41,1% σε ετήσια βάση. Τα λειτουργικά κέρδη ενισχύθηκαν κατά 37,9% σε ετήσια βάση, σε €637 εκατ., καθώς τα κέρδη από χρηματοοικονομικές πράξεις αντιστάθμισαν πλήρως τις πρόσθετες προβλέψεις για τον κορωνοϊό και τη συναλλαγή Frontier</w:t>
                            </w:r>
                          </w:p>
                          <w:p w:rsidR="00817D20" w:rsidRPr="005D5503" w:rsidRDefault="00817D20" w:rsidP="004B74D4">
                            <w:pPr>
                              <w:spacing w:before="120"/>
                              <w:rPr>
                                <w:rFonts w:ascii="Segoe UI" w:hAnsi="Segoe UI" w:cs="Segoe UI"/>
                                <w:b/>
                                <w:sz w:val="15"/>
                                <w:szCs w:val="15"/>
                              </w:rPr>
                            </w:pPr>
                          </w:p>
                          <w:p w:rsidR="00817D20" w:rsidRPr="005D5503" w:rsidRDefault="00817D20" w:rsidP="00074812">
                            <w:pPr>
                              <w:numPr>
                                <w:ilvl w:val="0"/>
                                <w:numId w:val="6"/>
                              </w:numPr>
                              <w:spacing w:before="120"/>
                              <w:rPr>
                                <w:rFonts w:ascii="Segoe UI" w:hAnsi="Segoe UI" w:cs="Segoe UI"/>
                                <w:b/>
                                <w:sz w:val="15"/>
                                <w:szCs w:val="15"/>
                              </w:rPr>
                            </w:pPr>
                            <w:r w:rsidRPr="005D5503">
                              <w:rPr>
                                <w:rFonts w:ascii="Segoe UI" w:hAnsi="Segoe UI" w:cs="Segoe UI"/>
                                <w:b/>
                                <w:sz w:val="15"/>
                                <w:szCs w:val="15"/>
                              </w:rPr>
                              <w:t xml:space="preserve">Δείκτης </w:t>
                            </w:r>
                            <w:r w:rsidRPr="005D5503">
                              <w:rPr>
                                <w:rFonts w:ascii="Segoe UI" w:hAnsi="Segoe UI" w:cs="Segoe UI"/>
                                <w:b/>
                                <w:sz w:val="15"/>
                                <w:szCs w:val="15"/>
                                <w:lang w:val="en-US"/>
                              </w:rPr>
                              <w:t>CET</w:t>
                            </w:r>
                            <w:r w:rsidRPr="005D5503">
                              <w:rPr>
                                <w:rFonts w:ascii="Segoe UI" w:hAnsi="Segoe UI" w:cs="Segoe UI"/>
                                <w:b/>
                                <w:sz w:val="15"/>
                                <w:szCs w:val="15"/>
                              </w:rPr>
                              <w:t xml:space="preserve">1 στο 15,7%, με το Συνολικό Δείκτη Κεφαλαιακή Επάρκειας να ανέρχεται σε 16,7% </w:t>
                            </w:r>
                          </w:p>
                          <w:p w:rsidR="00817D20" w:rsidRPr="005D5503" w:rsidRDefault="00817D20" w:rsidP="00807C0E">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 xml:space="preserve">Ο δείκτης CET1 ύψους 15,7% το Δ τρίμηνο 2020 ενσωματώνει την αρνητική επίδραση των προβλέψεων απομείωσης για τη συναλλαγή Frontier και τον κορωνοϊό </w:t>
                            </w:r>
                          </w:p>
                          <w:p w:rsidR="00817D20" w:rsidRPr="005D5503" w:rsidRDefault="00817D20" w:rsidP="0032025C">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Ο Συνολικός Δείκτης Κεφαλαιακής Επάρκειας ανήλθε σε 16,7% και υπερβαίνει τις κεφαλαιακές απαιτήσεις</w:t>
                            </w:r>
                            <w:r w:rsidRPr="005D5503">
                              <w:rPr>
                                <w:rFonts w:ascii="Segoe UI" w:hAnsi="Segoe UI" w:cs="Segoe UI"/>
                                <w:sz w:val="15"/>
                                <w:szCs w:val="15"/>
                                <w:vertAlign w:val="superscript"/>
                              </w:rPr>
                              <w:t>2</w:t>
                            </w:r>
                            <w:r w:rsidRPr="005D5503">
                              <w:rPr>
                                <w:rFonts w:ascii="Segoe UI" w:hAnsi="Segoe UI" w:cs="Segoe UI"/>
                                <w:sz w:val="15"/>
                                <w:szCs w:val="15"/>
                              </w:rPr>
                              <w:t xml:space="preserve"> για το 2021 κατά τουλάχιστον 550μ.β. </w:t>
                            </w:r>
                          </w:p>
                          <w:p w:rsidR="00817D20" w:rsidRPr="005D5503" w:rsidRDefault="00817D20" w:rsidP="00873BD9">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Η ολοκλήρωση της συναλλαγής Frontier και της πώλησης της Εθνικής Ασφαλιστικής θα ενισχύσει την κεφαλαιακή θέση της Τράπεζας κατά περίπου 170μ.β. σε σύγκριση με τα αντίστοιχα επίπεδα στο τέλος του 2020</w:t>
                            </w:r>
                          </w:p>
                          <w:p w:rsidR="00817D20" w:rsidRDefault="00817D20" w:rsidP="00882181">
                            <w:pPr>
                              <w:spacing w:before="100"/>
                              <w:ind w:left="284"/>
                              <w:jc w:val="right"/>
                              <w:rPr>
                                <w:rFonts w:ascii="Segoe UI" w:hAnsi="Segoe UI" w:cs="Segoe UI"/>
                                <w:sz w:val="16"/>
                                <w:szCs w:val="16"/>
                              </w:rPr>
                            </w:pPr>
                          </w:p>
                          <w:p w:rsidR="00817D20" w:rsidRPr="00882181" w:rsidRDefault="00817D20" w:rsidP="00882181">
                            <w:pPr>
                              <w:spacing w:before="100"/>
                              <w:ind w:left="284"/>
                              <w:jc w:val="right"/>
                              <w:rPr>
                                <w:rFonts w:ascii="Segoe UI" w:hAnsi="Segoe UI" w:cs="Segoe UI"/>
                                <w:sz w:val="14"/>
                                <w:szCs w:val="16"/>
                              </w:rPr>
                            </w:pPr>
                            <w:r w:rsidRPr="00882181">
                              <w:rPr>
                                <w:rFonts w:ascii="Segoe UI" w:hAnsi="Segoe UI" w:cs="Segoe UI"/>
                                <w:sz w:val="14"/>
                                <w:szCs w:val="16"/>
                              </w:rPr>
                              <w:t>Αθήνα, 2</w:t>
                            </w:r>
                            <w:r>
                              <w:rPr>
                                <w:rFonts w:ascii="Segoe UI" w:hAnsi="Segoe UI" w:cs="Segoe UI"/>
                                <w:sz w:val="14"/>
                                <w:szCs w:val="16"/>
                              </w:rPr>
                              <w:t>6</w:t>
                            </w:r>
                            <w:r w:rsidRPr="00882181">
                              <w:rPr>
                                <w:rFonts w:ascii="Segoe UI" w:hAnsi="Segoe UI" w:cs="Segoe UI"/>
                                <w:sz w:val="14"/>
                                <w:szCs w:val="16"/>
                              </w:rPr>
                              <w:t xml:space="preserve"> Μαρτίου 2021</w:t>
                            </w:r>
                          </w:p>
                          <w:p w:rsidR="00817D20" w:rsidRDefault="00817D20" w:rsidP="00CB4A2F">
                            <w:pPr>
                              <w:pStyle w:val="a7"/>
                              <w:spacing w:before="120" w:after="0" w:line="240" w:lineRule="auto"/>
                              <w:ind w:left="644"/>
                              <w:jc w:val="left"/>
                              <w:rPr>
                                <w:rFonts w:ascii="Segoe UI" w:hAnsi="Segoe UI" w:cs="Segoe UI"/>
                                <w:sz w:val="10"/>
                                <w:szCs w:val="16"/>
                              </w:rPr>
                            </w:pPr>
                          </w:p>
                          <w:p w:rsidR="00817D20" w:rsidRDefault="00817D20" w:rsidP="00CB4A2F">
                            <w:pPr>
                              <w:pStyle w:val="a7"/>
                              <w:spacing w:before="120" w:after="0" w:line="240" w:lineRule="auto"/>
                              <w:ind w:left="644"/>
                              <w:jc w:val="left"/>
                              <w:rPr>
                                <w:rFonts w:ascii="Segoe UI" w:hAnsi="Segoe UI" w:cs="Segoe UI"/>
                                <w:sz w:val="10"/>
                                <w:szCs w:val="16"/>
                              </w:rPr>
                            </w:pPr>
                          </w:p>
                          <w:p w:rsidR="00817D20" w:rsidRPr="004E6CF7" w:rsidRDefault="00817D20" w:rsidP="00DE31D8">
                            <w:pPr>
                              <w:jc w:val="both"/>
                              <w:rPr>
                                <w:rFonts w:ascii="Segoe UI" w:hAnsi="Segoe UI" w:cs="Segoe UI"/>
                                <w:sz w:val="12"/>
                                <w:szCs w:val="10"/>
                              </w:rPr>
                            </w:pPr>
                            <w:r w:rsidRPr="006A0F43">
                              <w:rPr>
                                <w:rFonts w:ascii="Segoe UI" w:hAnsi="Segoe UI" w:cs="Segoe UI"/>
                                <w:sz w:val="12"/>
                                <w:szCs w:val="16"/>
                                <w:vertAlign w:val="superscript"/>
                              </w:rPr>
                              <w:t>2</w:t>
                            </w:r>
                            <w:r>
                              <w:rPr>
                                <w:rFonts w:ascii="Segoe UI" w:hAnsi="Segoe UI" w:cs="Segoe UI"/>
                                <w:sz w:val="12"/>
                                <w:szCs w:val="16"/>
                              </w:rPr>
                              <w:t xml:space="preserve"> </w:t>
                            </w:r>
                            <w:r w:rsidRPr="00DE31D8">
                              <w:rPr>
                                <w:rFonts w:ascii="Segoe UI" w:hAnsi="Segoe UI" w:cs="Segoe UI"/>
                                <w:sz w:val="12"/>
                                <w:szCs w:val="16"/>
                              </w:rPr>
                              <w:t>Οι Συνολικές Κεφαλαιακές Απαιτήσεις (OCR) ύψους 11,00% εξαιρούν το απόθεμα Ασφαλείας των Λοιπών Συστημικά Σημαντικών Πιστωτικών Ιδρυμάτων (O-SII) ύψους 0,5</w:t>
                            </w:r>
                            <w:r>
                              <w:rPr>
                                <w:rFonts w:ascii="Segoe UI" w:hAnsi="Segoe UI" w:cs="Segoe UI"/>
                                <w:sz w:val="12"/>
                                <w:szCs w:val="16"/>
                              </w:rPr>
                              <w:t>0</w:t>
                            </w:r>
                            <w:r w:rsidRPr="00DE31D8">
                              <w:rPr>
                                <w:rFonts w:ascii="Segoe UI" w:hAnsi="Segoe UI" w:cs="Segoe UI"/>
                                <w:sz w:val="12"/>
                                <w:szCs w:val="16"/>
                              </w:rPr>
                              <w:t>%, υπό την αίρεση της έγκρισης της ΤτΕ</w:t>
                            </w:r>
                          </w:p>
                        </w:txbxContent>
                      </wps:txbx>
                      <wps:bodyPr rot="0" vert="horz" wrap="square" lIns="91440" tIns="45720" rIns="91440" bIns="45720" anchor="t" anchorCtr="0" upright="1">
                        <a:noAutofit/>
                      </wps:bodyPr>
                    </wps:wsp>
                  </a:graphicData>
                </a:graphic>
              </wp:inline>
            </w:drawing>
          </mc:Choice>
          <mc:Fallback>
            <w:pict>
              <v:shape id="Text Box 42" o:spid="_x0000_s1030" type="#_x0000_t202" style="width:509.6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8mwIAADkFAAAOAAAAZHJzL2Uyb0RvYy54bWysVNuO2yAQfa/Uf0C8J74sudhaZ7WXpqq0&#10;vUi7/QBi4xgVAwUSO6367x0gSbPtS1V1V3KAGQ7nzBy4vhl7gfbMWK5khbNpihGTtWq43Fb48/N6&#10;ssTIOiobKpRkFT4wi29Wr19dD7pkueqUaJhBACJtOegKd87pMkls3bGe2qnSTEKwVaanDqZmmzSG&#10;DoDeiyRP03kyKNNoo2pmLaw+xCBeBfy2ZbX72LaWOSQqDNxc+Jrw3fhvsrqm5dZQ3fH6SIP+A4ue&#10;cgmHnqEeqKNoZ/gfUD2vjbKqddNa9YlqW16zoAHUZOlvap46qlnQAsWx+lwm+/9g6w/7TwbxBnqH&#10;kaQ9tOiZjQ7dqRGR3Jdn0LaErCcNeW6EdZ/qpVr9qOovFkl131G5ZbfGqKFjtAF6md+ZXGyNONaD&#10;bIb3qoFz6M6pADS2pveAUA0E6NCmw7k1nksNi3OyyIocQjXEivwqL9LQvISWp+3aWPeWqR75QYUN&#10;9D7A0/2jdZ4OLU8pgb4SvFlzIcLEbDf3wqA9BZ+sM/8f9wrd0bi6LJbpVZAF0mN6wLSXOEJ6NKk8&#10;bjwyroAMIOFjXlAwxvciy0l6lxeT9Xy5mJA1mU2KRbqcpFlxV8xTUpCH9Q/PIiNlx5uGyUcu2cmk&#10;Gfk7ExyvS7RXsCkaoIKzfBYEvmB/lBX1puHvJPhSZM8d3FnB+wovz0m09K1/IxuQTUtHuYjj5CX9&#10;UDKowek3VCUYxXsjusSNmzFYkpz8t1HNAZxjFPQVPADvDQw6Zb5hNMDdrbD9uqOGYSTeSXBfkRHi&#10;L3uYkNnC+8ZcRjaXESprgKqwwygO7118IHba8G0HJ0UvSHULjm158JK3dmQFSvwE7mfQdHxL/ANw&#10;OQ9Zv1681U8AAAD//wMAUEsDBBQABgAIAAAAIQBcNOaA3gAAAAcBAAAPAAAAZHJzL2Rvd25yZXYu&#10;eG1sTI/BasMwEETvhfyD2EAvoZESktK4lkMwKaX0UOL2AxRra5lIK2Mpif33VXppL8sss8y8zbeD&#10;s+yCfWg9SVjMBTCk2uuWGglfny8PT8BCVKSV9YQSRgywLSZ3ucq0v9IBL1VsWAqhkCkJJsYu4zzU&#10;Bp0Kc98hJe/b907FtPYN1726pnBn+VKIR+5US6nBqA5Lg/WpOjsJh9mmtPXrx6x6p+GtWY/l3pxG&#10;Ke+nw+4ZWMQh/h3DDT+hQ5GYjv5MOjArIT0Sf+fNE4vNEtgxqdV6JYAXOf/PX/wAAAD//wMAUEsB&#10;Ai0AFAAGAAgAAAAhALaDOJL+AAAA4QEAABMAAAAAAAAAAAAAAAAAAAAAAFtDb250ZW50X1R5cGVz&#10;XS54bWxQSwECLQAUAAYACAAAACEAOP0h/9YAAACUAQAACwAAAAAAAAAAAAAAAAAvAQAAX3JlbHMv&#10;LnJlbHNQSwECLQAUAAYACAAAACEAfs+R/JsCAAA5BQAADgAAAAAAAAAAAAAAAAAuAgAAZHJzL2Uy&#10;b0RvYy54bWxQSwECLQAUAAYACAAAACEAXDTmgN4AAAAHAQAADwAAAAAAAAAAAAAAAAD1BAAAZHJz&#10;L2Rvd25yZXYueG1sUEsFBgAAAAAEAAQA8wAAAAAGAAAAAA==&#10;" fillcolor="#f1f1f1" stroked="f">
                <v:fill opacity="58853f"/>
                <v:textbox>
                  <w:txbxContent>
                    <w:p w:rsidR="00817D20" w:rsidRPr="005D5503" w:rsidRDefault="00817D20" w:rsidP="002816EE">
                      <w:pPr>
                        <w:pStyle w:val="a7"/>
                        <w:numPr>
                          <w:ilvl w:val="0"/>
                          <w:numId w:val="6"/>
                        </w:numPr>
                        <w:spacing w:before="120" w:after="0" w:line="276" w:lineRule="auto"/>
                        <w:jc w:val="left"/>
                        <w:rPr>
                          <w:rFonts w:ascii="Segoe UI" w:hAnsi="Segoe UI" w:cs="Segoe UI"/>
                          <w:b/>
                          <w:sz w:val="15"/>
                          <w:szCs w:val="15"/>
                        </w:rPr>
                      </w:pPr>
                      <w:r w:rsidRPr="005D5503">
                        <w:rPr>
                          <w:rFonts w:ascii="Segoe UI" w:hAnsi="Segoe UI" w:cs="Segoe UI"/>
                          <w:b/>
                          <w:sz w:val="15"/>
                          <w:szCs w:val="15"/>
                        </w:rPr>
                        <w:t>Τα κέρδη μετά από φόρους από συνεχιζόμενες δραστηριότητες σε επίπεδο Ομίλου ανήλθαν σε €591 εκατ. το 2020, σημειώνοντας αύξηση κατά 26% σε ετήσια βάση</w:t>
                      </w:r>
                    </w:p>
                    <w:p w:rsidR="00817D20" w:rsidRPr="005D5503" w:rsidRDefault="00817D20" w:rsidP="00473ED1">
                      <w:pPr>
                        <w:numPr>
                          <w:ilvl w:val="1"/>
                          <w:numId w:val="6"/>
                        </w:numPr>
                        <w:spacing w:before="80"/>
                        <w:rPr>
                          <w:rFonts w:ascii="Segoe UI" w:hAnsi="Segoe UI" w:cs="Segoe UI"/>
                          <w:sz w:val="15"/>
                          <w:szCs w:val="15"/>
                        </w:rPr>
                      </w:pPr>
                      <w:r w:rsidRPr="005D5503">
                        <w:rPr>
                          <w:rFonts w:ascii="Segoe UI" w:hAnsi="Segoe UI" w:cs="Segoe UI"/>
                          <w:sz w:val="15"/>
                          <w:szCs w:val="15"/>
                        </w:rPr>
                        <w:t>Η ανάκαμψη στα καθαρά έσοδα από τόκους διατηρήθηκε κατά το Β’ εξάμηνο 2020 (+12,4% σε σύγκριση με το προηγούμενο εξάμηνο), με αποτέλεσμα τα καθαρά έσοδα από τόκους να κινηθούν σε οριακά χαμηλότερα επίπεδα σε ετήσια βάση, παρά τη σημαντική αποκλιμάκωση ΜΕΑ</w:t>
                      </w:r>
                    </w:p>
                    <w:p w:rsidR="00817D20" w:rsidRPr="005D5503" w:rsidRDefault="00817D20" w:rsidP="00912609">
                      <w:pPr>
                        <w:numPr>
                          <w:ilvl w:val="1"/>
                          <w:numId w:val="6"/>
                        </w:numPr>
                        <w:spacing w:before="80"/>
                        <w:rPr>
                          <w:rFonts w:ascii="Segoe UI" w:hAnsi="Segoe UI" w:cs="Segoe UI"/>
                          <w:sz w:val="15"/>
                          <w:szCs w:val="15"/>
                        </w:rPr>
                      </w:pPr>
                      <w:r w:rsidRPr="005D5503">
                        <w:rPr>
                          <w:rFonts w:ascii="Segoe UI" w:hAnsi="Segoe UI" w:cs="Segoe UI"/>
                          <w:sz w:val="15"/>
                          <w:szCs w:val="15"/>
                        </w:rPr>
                        <w:t xml:space="preserve">Παρά τη δυσχερή συγκυρία λόγω της πανδημίας του κορωνοϊού, τα καθαρά έσοδα από προμήθειες αυξήθηκαν κατά 5,3% σε τριμηνιαία βάση και παρέμειναν αμετάβλητα σε σύγκριση με το προηγούμενο έτος στα €256 εκατ. το 2020, αντανακλώντας τη σημαντική αύξηση των προμηθειών από συναλλαγές μέσω καρτών και υπηρεσίες διαμεσολάβησης </w:t>
                      </w:r>
                    </w:p>
                    <w:p w:rsidR="00817D20" w:rsidRPr="005D5503" w:rsidRDefault="00817D20" w:rsidP="00D300ED">
                      <w:pPr>
                        <w:numPr>
                          <w:ilvl w:val="1"/>
                          <w:numId w:val="6"/>
                        </w:numPr>
                        <w:spacing w:before="80"/>
                        <w:rPr>
                          <w:rFonts w:ascii="Segoe UI" w:hAnsi="Segoe UI" w:cs="Segoe UI"/>
                          <w:sz w:val="15"/>
                          <w:szCs w:val="15"/>
                        </w:rPr>
                      </w:pPr>
                      <w:r w:rsidRPr="005D5503">
                        <w:rPr>
                          <w:rFonts w:ascii="Segoe UI" w:hAnsi="Segoe UI" w:cs="Segoe UI"/>
                          <w:sz w:val="15"/>
                          <w:szCs w:val="15"/>
                        </w:rPr>
                        <w:t xml:space="preserve">Σημαντική αποκλιμάκωση των δαπανών προσωπικού (-8,2% σε ετήσια βάση) και των γενικών διοικητικών και λοιπών λειτουργικών εξόδων (-11,8% σε ετήσια βάση) στην Ελλάδα, ως αποτέλεσμα της μείωσης του αριθμού των υπαλλήλων της Τράπεζας, του εξορθολογισμού του δικτύου καταστημάτων επικουρουμένου από τη μετάβαση των πελατών μας σε ψηφιακά κανάλια, καθώς και της αυστηρής διαχείρισης των γενικών διοικητικών και λοιπών λειτουργικών εξόδων </w:t>
                      </w:r>
                    </w:p>
                    <w:p w:rsidR="00817D20" w:rsidRPr="005D5503" w:rsidRDefault="00817D20" w:rsidP="00023268">
                      <w:pPr>
                        <w:numPr>
                          <w:ilvl w:val="1"/>
                          <w:numId w:val="6"/>
                        </w:numPr>
                        <w:spacing w:before="80"/>
                        <w:rPr>
                          <w:rFonts w:ascii="Segoe UI" w:hAnsi="Segoe UI" w:cs="Segoe UI"/>
                          <w:sz w:val="15"/>
                          <w:szCs w:val="15"/>
                        </w:rPr>
                      </w:pPr>
                      <w:r w:rsidRPr="005D5503">
                        <w:rPr>
                          <w:rFonts w:ascii="Segoe UI" w:hAnsi="Segoe UI" w:cs="Segoe UI"/>
                          <w:sz w:val="15"/>
                          <w:szCs w:val="15"/>
                        </w:rPr>
                        <w:t>Οι προβλέψεις απομειώσεις ύψους €1,1 δισ., ήτοι περίπου 400μ.β. επί του μέσου όρου δανείων μετά από προβλέψεις, ενσωματώνουν τις επισφαλείς απαιτήσεις για τον κορωνοϊό και την τιτλοποίηση Frontier. Εξαιρουμένων των εν λόγω προβλέψεων, το κόστος πιστωτικού κινδύνου διαμορφώθηκε σε 106μ.β. το 2020, σε επίπεδα σύμφωνα µε το στόχο που είχε θέσει η Τράπεζα</w:t>
                      </w:r>
                    </w:p>
                    <w:p w:rsidR="00817D20" w:rsidRPr="005D5503" w:rsidRDefault="00817D20" w:rsidP="000668AD">
                      <w:pPr>
                        <w:numPr>
                          <w:ilvl w:val="1"/>
                          <w:numId w:val="6"/>
                        </w:numPr>
                        <w:spacing w:before="80"/>
                        <w:rPr>
                          <w:rFonts w:ascii="Segoe UI" w:hAnsi="Segoe UI" w:cs="Segoe UI"/>
                          <w:sz w:val="15"/>
                          <w:szCs w:val="15"/>
                        </w:rPr>
                      </w:pPr>
                      <w:r w:rsidRPr="005D5503">
                        <w:rPr>
                          <w:rFonts w:ascii="Segoe UI" w:hAnsi="Segoe UI" w:cs="Segoe UI"/>
                          <w:sz w:val="15"/>
                          <w:szCs w:val="15"/>
                        </w:rPr>
                        <w:t>Εξαιρουμένων των μη επαναλαμβανόμενων προβλέψεων και των κερδών από χρηματοοικονομικές πράξεις, τα οργανικά κέρδη ανήλθαν σε €328 εκατ. το 2020, σημειώνοντας αύξηση 41,1% σε ετήσια βάση. Τα λειτουργικά κέρδη ενισχύθηκαν κατά 37,9% σε ετήσια βάση, σε €637 εκατ., καθώς τα κέρδη από χρηματοοικονομικές πράξεις αντιστάθμισαν πλήρως τις πρόσθετες προβλέψεις για τον κορωνοϊό και τη συναλλαγή Frontier</w:t>
                      </w:r>
                    </w:p>
                    <w:p w:rsidR="00817D20" w:rsidRPr="005D5503" w:rsidRDefault="00817D20" w:rsidP="004B74D4">
                      <w:pPr>
                        <w:spacing w:before="120"/>
                        <w:rPr>
                          <w:rFonts w:ascii="Segoe UI" w:hAnsi="Segoe UI" w:cs="Segoe UI"/>
                          <w:b/>
                          <w:sz w:val="15"/>
                          <w:szCs w:val="15"/>
                        </w:rPr>
                      </w:pPr>
                    </w:p>
                    <w:p w:rsidR="00817D20" w:rsidRPr="005D5503" w:rsidRDefault="00817D20" w:rsidP="00074812">
                      <w:pPr>
                        <w:numPr>
                          <w:ilvl w:val="0"/>
                          <w:numId w:val="6"/>
                        </w:numPr>
                        <w:spacing w:before="120"/>
                        <w:rPr>
                          <w:rFonts w:ascii="Segoe UI" w:hAnsi="Segoe UI" w:cs="Segoe UI"/>
                          <w:b/>
                          <w:sz w:val="15"/>
                          <w:szCs w:val="15"/>
                        </w:rPr>
                      </w:pPr>
                      <w:r w:rsidRPr="005D5503">
                        <w:rPr>
                          <w:rFonts w:ascii="Segoe UI" w:hAnsi="Segoe UI" w:cs="Segoe UI"/>
                          <w:b/>
                          <w:sz w:val="15"/>
                          <w:szCs w:val="15"/>
                        </w:rPr>
                        <w:t xml:space="preserve">Δείκτης </w:t>
                      </w:r>
                      <w:r w:rsidRPr="005D5503">
                        <w:rPr>
                          <w:rFonts w:ascii="Segoe UI" w:hAnsi="Segoe UI" w:cs="Segoe UI"/>
                          <w:b/>
                          <w:sz w:val="15"/>
                          <w:szCs w:val="15"/>
                          <w:lang w:val="en-US"/>
                        </w:rPr>
                        <w:t>CET</w:t>
                      </w:r>
                      <w:r w:rsidRPr="005D5503">
                        <w:rPr>
                          <w:rFonts w:ascii="Segoe UI" w:hAnsi="Segoe UI" w:cs="Segoe UI"/>
                          <w:b/>
                          <w:sz w:val="15"/>
                          <w:szCs w:val="15"/>
                        </w:rPr>
                        <w:t xml:space="preserve">1 στο 15,7%, με το Συνολικό Δείκτη Κεφαλαιακή Επάρκειας να ανέρχεται σε 16,7% </w:t>
                      </w:r>
                    </w:p>
                    <w:p w:rsidR="00817D20" w:rsidRPr="005D5503" w:rsidRDefault="00817D20" w:rsidP="00807C0E">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 xml:space="preserve">Ο δείκτης CET1 ύψους 15,7% το Δ τρίμηνο 2020 ενσωματώνει την αρνητική επίδραση των προβλέψεων απομείωσης για τη συναλλαγή Frontier και τον κορωνοϊό </w:t>
                      </w:r>
                    </w:p>
                    <w:p w:rsidR="00817D20" w:rsidRPr="005D5503" w:rsidRDefault="00817D20" w:rsidP="0032025C">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Ο Συνολικός Δείκτης Κεφαλαιακής Επάρκειας ανήλθε σε 16,7% και υπερβαίνει τις κεφαλαιακές απαιτήσεις</w:t>
                      </w:r>
                      <w:r w:rsidRPr="005D5503">
                        <w:rPr>
                          <w:rFonts w:ascii="Segoe UI" w:hAnsi="Segoe UI" w:cs="Segoe UI"/>
                          <w:sz w:val="15"/>
                          <w:szCs w:val="15"/>
                          <w:vertAlign w:val="superscript"/>
                        </w:rPr>
                        <w:t>2</w:t>
                      </w:r>
                      <w:r w:rsidRPr="005D5503">
                        <w:rPr>
                          <w:rFonts w:ascii="Segoe UI" w:hAnsi="Segoe UI" w:cs="Segoe UI"/>
                          <w:sz w:val="15"/>
                          <w:szCs w:val="15"/>
                        </w:rPr>
                        <w:t xml:space="preserve"> για το 2021 κατά τουλάχιστον 550μ.β. </w:t>
                      </w:r>
                    </w:p>
                    <w:p w:rsidR="00817D20" w:rsidRPr="005D5503" w:rsidRDefault="00817D20" w:rsidP="00873BD9">
                      <w:pPr>
                        <w:pStyle w:val="a7"/>
                        <w:numPr>
                          <w:ilvl w:val="0"/>
                          <w:numId w:val="8"/>
                        </w:numPr>
                        <w:spacing w:before="100" w:after="0" w:line="240" w:lineRule="auto"/>
                        <w:jc w:val="left"/>
                        <w:rPr>
                          <w:rFonts w:ascii="Segoe UI" w:hAnsi="Segoe UI" w:cs="Segoe UI"/>
                          <w:sz w:val="15"/>
                          <w:szCs w:val="15"/>
                        </w:rPr>
                      </w:pPr>
                      <w:r w:rsidRPr="005D5503">
                        <w:rPr>
                          <w:rFonts w:ascii="Segoe UI" w:hAnsi="Segoe UI" w:cs="Segoe UI"/>
                          <w:sz w:val="15"/>
                          <w:szCs w:val="15"/>
                        </w:rPr>
                        <w:t>Η ολοκλήρωση της συναλλαγής Frontier και της πώλησης της Εθνικής Ασφαλιστικής θα ενισχύσει την κεφαλαιακή θέση της Τράπεζας κατά περίπου 170μ.β. σε σύγκριση με τα αντίστοιχα επίπεδα στο τέλος του 2020</w:t>
                      </w:r>
                    </w:p>
                    <w:p w:rsidR="00817D20" w:rsidRDefault="00817D20" w:rsidP="00882181">
                      <w:pPr>
                        <w:spacing w:before="100"/>
                        <w:ind w:left="284"/>
                        <w:jc w:val="right"/>
                        <w:rPr>
                          <w:rFonts w:ascii="Segoe UI" w:hAnsi="Segoe UI" w:cs="Segoe UI"/>
                          <w:sz w:val="16"/>
                          <w:szCs w:val="16"/>
                        </w:rPr>
                      </w:pPr>
                    </w:p>
                    <w:p w:rsidR="00817D20" w:rsidRPr="00882181" w:rsidRDefault="00817D20" w:rsidP="00882181">
                      <w:pPr>
                        <w:spacing w:before="100"/>
                        <w:ind w:left="284"/>
                        <w:jc w:val="right"/>
                        <w:rPr>
                          <w:rFonts w:ascii="Segoe UI" w:hAnsi="Segoe UI" w:cs="Segoe UI"/>
                          <w:sz w:val="14"/>
                          <w:szCs w:val="16"/>
                        </w:rPr>
                      </w:pPr>
                      <w:r w:rsidRPr="00882181">
                        <w:rPr>
                          <w:rFonts w:ascii="Segoe UI" w:hAnsi="Segoe UI" w:cs="Segoe UI"/>
                          <w:sz w:val="14"/>
                          <w:szCs w:val="16"/>
                        </w:rPr>
                        <w:t>Αθήνα, 2</w:t>
                      </w:r>
                      <w:r>
                        <w:rPr>
                          <w:rFonts w:ascii="Segoe UI" w:hAnsi="Segoe UI" w:cs="Segoe UI"/>
                          <w:sz w:val="14"/>
                          <w:szCs w:val="16"/>
                        </w:rPr>
                        <w:t>6</w:t>
                      </w:r>
                      <w:r w:rsidRPr="00882181">
                        <w:rPr>
                          <w:rFonts w:ascii="Segoe UI" w:hAnsi="Segoe UI" w:cs="Segoe UI"/>
                          <w:sz w:val="14"/>
                          <w:szCs w:val="16"/>
                        </w:rPr>
                        <w:t xml:space="preserve"> Μαρτίου 2021</w:t>
                      </w:r>
                    </w:p>
                    <w:p w:rsidR="00817D20" w:rsidRDefault="00817D20" w:rsidP="00CB4A2F">
                      <w:pPr>
                        <w:pStyle w:val="a7"/>
                        <w:spacing w:before="120" w:after="0" w:line="240" w:lineRule="auto"/>
                        <w:ind w:left="644"/>
                        <w:jc w:val="left"/>
                        <w:rPr>
                          <w:rFonts w:ascii="Segoe UI" w:hAnsi="Segoe UI" w:cs="Segoe UI"/>
                          <w:sz w:val="10"/>
                          <w:szCs w:val="16"/>
                        </w:rPr>
                      </w:pPr>
                    </w:p>
                    <w:p w:rsidR="00817D20" w:rsidRDefault="00817D20" w:rsidP="00CB4A2F">
                      <w:pPr>
                        <w:pStyle w:val="a7"/>
                        <w:spacing w:before="120" w:after="0" w:line="240" w:lineRule="auto"/>
                        <w:ind w:left="644"/>
                        <w:jc w:val="left"/>
                        <w:rPr>
                          <w:rFonts w:ascii="Segoe UI" w:hAnsi="Segoe UI" w:cs="Segoe UI"/>
                          <w:sz w:val="10"/>
                          <w:szCs w:val="16"/>
                        </w:rPr>
                      </w:pPr>
                    </w:p>
                    <w:p w:rsidR="00817D20" w:rsidRPr="004E6CF7" w:rsidRDefault="00817D20" w:rsidP="00DE31D8">
                      <w:pPr>
                        <w:jc w:val="both"/>
                        <w:rPr>
                          <w:rFonts w:ascii="Segoe UI" w:hAnsi="Segoe UI" w:cs="Segoe UI"/>
                          <w:sz w:val="12"/>
                          <w:szCs w:val="10"/>
                        </w:rPr>
                      </w:pPr>
                      <w:r w:rsidRPr="006A0F43">
                        <w:rPr>
                          <w:rFonts w:ascii="Segoe UI" w:hAnsi="Segoe UI" w:cs="Segoe UI"/>
                          <w:sz w:val="12"/>
                          <w:szCs w:val="16"/>
                          <w:vertAlign w:val="superscript"/>
                        </w:rPr>
                        <w:t>2</w:t>
                      </w:r>
                      <w:r>
                        <w:rPr>
                          <w:rFonts w:ascii="Segoe UI" w:hAnsi="Segoe UI" w:cs="Segoe UI"/>
                          <w:sz w:val="12"/>
                          <w:szCs w:val="16"/>
                        </w:rPr>
                        <w:t xml:space="preserve"> </w:t>
                      </w:r>
                      <w:r w:rsidRPr="00DE31D8">
                        <w:rPr>
                          <w:rFonts w:ascii="Segoe UI" w:hAnsi="Segoe UI" w:cs="Segoe UI"/>
                          <w:sz w:val="12"/>
                          <w:szCs w:val="16"/>
                        </w:rPr>
                        <w:t>Οι Συνολικές Κεφαλαιακές Απαιτήσεις (OCR) ύψους 11,00% εξαιρούν το απόθεμα Ασφαλείας των Λοιπών Συστημικά Σημαντικών Πιστωτικών Ιδρυμάτων (O-SII) ύψους 0,5</w:t>
                      </w:r>
                      <w:r>
                        <w:rPr>
                          <w:rFonts w:ascii="Segoe UI" w:hAnsi="Segoe UI" w:cs="Segoe UI"/>
                          <w:sz w:val="12"/>
                          <w:szCs w:val="16"/>
                        </w:rPr>
                        <w:t>0</w:t>
                      </w:r>
                      <w:r w:rsidRPr="00DE31D8">
                        <w:rPr>
                          <w:rFonts w:ascii="Segoe UI" w:hAnsi="Segoe UI" w:cs="Segoe UI"/>
                          <w:sz w:val="12"/>
                          <w:szCs w:val="16"/>
                        </w:rPr>
                        <w:t>%, υπό την αίρεση της έγκρισης της ΤτΕ</w:t>
                      </w:r>
                    </w:p>
                  </w:txbxContent>
                </v:textbox>
                <w10:anchorlock/>
              </v:shape>
            </w:pict>
          </mc:Fallback>
        </mc:AlternateContent>
      </w:r>
    </w:p>
    <w:p w:rsidR="000A0DA1" w:rsidRDefault="000A0DA1" w:rsidP="000A0DA1">
      <w:pPr>
        <w:pStyle w:val="body"/>
        <w:rPr>
          <w:rFonts w:ascii="Segoe UI" w:hAnsi="Segoe UI" w:cs="Segoe UI"/>
          <w:i/>
          <w:szCs w:val="20"/>
        </w:rPr>
      </w:pPr>
    </w:p>
    <w:p w:rsidR="009C3C03" w:rsidRPr="009C3C03" w:rsidRDefault="009C3C03" w:rsidP="009C3C03">
      <w:pPr>
        <w:jc w:val="both"/>
        <w:rPr>
          <w:rFonts w:ascii="Segoe UI" w:hAnsi="Segoe UI" w:cs="Segoe UI"/>
          <w:i/>
          <w:color w:val="0D0D0D" w:themeColor="text1" w:themeTint="F2"/>
          <w:sz w:val="18"/>
          <w:szCs w:val="20"/>
        </w:rPr>
      </w:pPr>
      <w:r w:rsidRPr="009C3C03">
        <w:rPr>
          <w:rFonts w:ascii="Segoe UI" w:hAnsi="Segoe UI" w:cs="Segoe UI"/>
          <w:i/>
          <w:color w:val="0D0D0D" w:themeColor="text1" w:themeTint="F2"/>
          <w:sz w:val="18"/>
          <w:szCs w:val="20"/>
        </w:rPr>
        <w:t xml:space="preserve">Το 2020 ήταν έτος </w:t>
      </w:r>
      <w:r w:rsidR="00260CD1">
        <w:rPr>
          <w:rFonts w:ascii="Segoe UI" w:hAnsi="Segoe UI" w:cs="Segoe UI"/>
          <w:i/>
          <w:color w:val="0D0D0D" w:themeColor="text1" w:themeTint="F2"/>
          <w:sz w:val="18"/>
          <w:szCs w:val="20"/>
        </w:rPr>
        <w:t xml:space="preserve">μεγάλων </w:t>
      </w:r>
      <w:r w:rsidRPr="009C3C03">
        <w:rPr>
          <w:rFonts w:ascii="Segoe UI" w:hAnsi="Segoe UI" w:cs="Segoe UI"/>
          <w:i/>
          <w:color w:val="0D0D0D" w:themeColor="text1" w:themeTint="F2"/>
          <w:sz w:val="18"/>
          <w:szCs w:val="20"/>
        </w:rPr>
        <w:t xml:space="preserve">προκλήσεων, αλλά και </w:t>
      </w:r>
      <w:r w:rsidR="00171051">
        <w:rPr>
          <w:rFonts w:ascii="Segoe UI" w:hAnsi="Segoe UI" w:cs="Segoe UI"/>
          <w:i/>
          <w:color w:val="0D0D0D" w:themeColor="text1" w:themeTint="F2"/>
          <w:sz w:val="18"/>
          <w:szCs w:val="20"/>
        </w:rPr>
        <w:t xml:space="preserve">σημαντικών </w:t>
      </w:r>
      <w:r w:rsidR="0091730A">
        <w:rPr>
          <w:rFonts w:ascii="Segoe UI" w:hAnsi="Segoe UI" w:cs="Segoe UI"/>
          <w:i/>
          <w:color w:val="0D0D0D" w:themeColor="text1" w:themeTint="F2"/>
          <w:sz w:val="18"/>
          <w:szCs w:val="20"/>
        </w:rPr>
        <w:t xml:space="preserve">θετικών </w:t>
      </w:r>
      <w:r w:rsidRPr="009C3C03">
        <w:rPr>
          <w:rFonts w:ascii="Segoe UI" w:hAnsi="Segoe UI" w:cs="Segoe UI"/>
          <w:i/>
          <w:color w:val="0D0D0D" w:themeColor="text1" w:themeTint="F2"/>
          <w:sz w:val="18"/>
          <w:szCs w:val="20"/>
        </w:rPr>
        <w:t xml:space="preserve">εξελίξεων </w:t>
      </w:r>
      <w:r>
        <w:rPr>
          <w:rFonts w:ascii="Segoe UI" w:hAnsi="Segoe UI" w:cs="Segoe UI"/>
          <w:i/>
          <w:color w:val="0D0D0D" w:themeColor="text1" w:themeTint="F2"/>
          <w:sz w:val="18"/>
          <w:szCs w:val="20"/>
        </w:rPr>
        <w:t>για την Εθνική Τράπεζα</w:t>
      </w:r>
      <w:r w:rsidRPr="009C3C03">
        <w:rPr>
          <w:rFonts w:ascii="Segoe UI" w:hAnsi="Segoe UI" w:cs="Segoe UI"/>
          <w:i/>
          <w:color w:val="0D0D0D" w:themeColor="text1" w:themeTint="F2"/>
          <w:sz w:val="18"/>
          <w:szCs w:val="20"/>
        </w:rPr>
        <w:t>. Οι κλυδωνισμοί της οικονομίας λόγω της πανδημίας του κορωνοϊού ξεπέρασαν κάθε προβλεπόμενο σενάριο προσομοίωσης ακραίων καταστάσεων</w:t>
      </w:r>
      <w:r w:rsidR="00EF4759">
        <w:rPr>
          <w:rFonts w:ascii="Segoe UI" w:hAnsi="Segoe UI" w:cs="Segoe UI"/>
          <w:i/>
          <w:color w:val="0D0D0D" w:themeColor="text1" w:themeTint="F2"/>
          <w:sz w:val="18"/>
          <w:szCs w:val="20"/>
        </w:rPr>
        <w:t>,</w:t>
      </w:r>
      <w:r w:rsidRPr="009C3C03">
        <w:rPr>
          <w:rFonts w:ascii="Segoe UI" w:hAnsi="Segoe UI" w:cs="Segoe UI"/>
          <w:i/>
          <w:color w:val="0D0D0D" w:themeColor="text1" w:themeTint="F2"/>
          <w:sz w:val="18"/>
          <w:szCs w:val="20"/>
        </w:rPr>
        <w:t xml:space="preserve"> παρ</w:t>
      </w:r>
      <w:r w:rsidR="00EF4759">
        <w:rPr>
          <w:rFonts w:ascii="Segoe UI" w:hAnsi="Segoe UI" w:cs="Segoe UI"/>
          <w:i/>
          <w:color w:val="0D0D0D" w:themeColor="text1" w:themeTint="F2"/>
          <w:sz w:val="18"/>
          <w:szCs w:val="20"/>
        </w:rPr>
        <w:t xml:space="preserve">ά </w:t>
      </w:r>
      <w:r w:rsidRPr="009C3C03">
        <w:rPr>
          <w:rFonts w:ascii="Segoe UI" w:hAnsi="Segoe UI" w:cs="Segoe UI"/>
          <w:i/>
          <w:color w:val="0D0D0D" w:themeColor="text1" w:themeTint="F2"/>
          <w:sz w:val="18"/>
          <w:szCs w:val="20"/>
        </w:rPr>
        <w:t>την πρωτοφανή</w:t>
      </w:r>
      <w:r w:rsidR="00EF4759">
        <w:rPr>
          <w:rFonts w:ascii="Segoe UI" w:hAnsi="Segoe UI" w:cs="Segoe UI"/>
          <w:i/>
          <w:color w:val="0D0D0D" w:themeColor="text1" w:themeTint="F2"/>
          <w:sz w:val="18"/>
          <w:szCs w:val="20"/>
        </w:rPr>
        <w:t xml:space="preserve">, </w:t>
      </w:r>
      <w:r w:rsidRPr="009C3C03">
        <w:rPr>
          <w:rFonts w:ascii="Segoe UI" w:hAnsi="Segoe UI" w:cs="Segoe UI"/>
          <w:i/>
          <w:color w:val="0D0D0D" w:themeColor="text1" w:themeTint="F2"/>
          <w:sz w:val="18"/>
          <w:szCs w:val="20"/>
        </w:rPr>
        <w:t>από πλευράς μεγέθους και συντονισμού</w:t>
      </w:r>
      <w:r w:rsidR="00EF4759">
        <w:rPr>
          <w:rFonts w:ascii="Segoe UI" w:hAnsi="Segoe UI" w:cs="Segoe UI"/>
          <w:i/>
          <w:color w:val="0D0D0D" w:themeColor="text1" w:themeTint="F2"/>
          <w:sz w:val="18"/>
          <w:szCs w:val="20"/>
        </w:rPr>
        <w:t xml:space="preserve">, </w:t>
      </w:r>
      <w:r w:rsidR="00C77C78">
        <w:rPr>
          <w:rFonts w:ascii="Segoe UI" w:hAnsi="Segoe UI" w:cs="Segoe UI"/>
          <w:i/>
          <w:color w:val="0D0D0D" w:themeColor="text1" w:themeTint="F2"/>
          <w:sz w:val="18"/>
          <w:szCs w:val="20"/>
        </w:rPr>
        <w:t xml:space="preserve">αντίδραση </w:t>
      </w:r>
      <w:r w:rsidR="00232F82">
        <w:rPr>
          <w:rFonts w:ascii="Segoe UI" w:hAnsi="Segoe UI" w:cs="Segoe UI"/>
          <w:i/>
          <w:color w:val="0D0D0D" w:themeColor="text1" w:themeTint="F2"/>
          <w:sz w:val="18"/>
          <w:szCs w:val="20"/>
        </w:rPr>
        <w:t xml:space="preserve">από </w:t>
      </w:r>
      <w:r w:rsidR="00E27CBD">
        <w:rPr>
          <w:rFonts w:ascii="Segoe UI" w:hAnsi="Segoe UI" w:cs="Segoe UI"/>
          <w:i/>
          <w:color w:val="0D0D0D" w:themeColor="text1" w:themeTint="F2"/>
          <w:sz w:val="18"/>
          <w:szCs w:val="20"/>
        </w:rPr>
        <w:t xml:space="preserve">τις </w:t>
      </w:r>
      <w:r w:rsidR="00EF4759" w:rsidRPr="009C3C03">
        <w:rPr>
          <w:rFonts w:ascii="Segoe UI" w:hAnsi="Segoe UI" w:cs="Segoe UI"/>
          <w:i/>
          <w:color w:val="0D0D0D" w:themeColor="text1" w:themeTint="F2"/>
          <w:sz w:val="18"/>
          <w:szCs w:val="20"/>
        </w:rPr>
        <w:t>Ε</w:t>
      </w:r>
      <w:r w:rsidR="00EF4759">
        <w:rPr>
          <w:rFonts w:ascii="Segoe UI" w:hAnsi="Segoe UI" w:cs="Segoe UI"/>
          <w:i/>
          <w:color w:val="0D0D0D" w:themeColor="text1" w:themeTint="F2"/>
          <w:sz w:val="18"/>
          <w:szCs w:val="20"/>
        </w:rPr>
        <w:t>υρωπαϊκ</w:t>
      </w:r>
      <w:r w:rsidR="00E27CBD">
        <w:rPr>
          <w:rFonts w:ascii="Segoe UI" w:hAnsi="Segoe UI" w:cs="Segoe UI"/>
          <w:i/>
          <w:color w:val="0D0D0D" w:themeColor="text1" w:themeTint="F2"/>
          <w:sz w:val="18"/>
          <w:szCs w:val="20"/>
        </w:rPr>
        <w:t xml:space="preserve">ές αρχές </w:t>
      </w:r>
      <w:r w:rsidR="00D0222A">
        <w:rPr>
          <w:rFonts w:ascii="Segoe UI" w:hAnsi="Segoe UI" w:cs="Segoe UI"/>
          <w:i/>
          <w:color w:val="0D0D0D" w:themeColor="text1" w:themeTint="F2"/>
          <w:sz w:val="18"/>
          <w:szCs w:val="20"/>
        </w:rPr>
        <w:t>και τη</w:t>
      </w:r>
      <w:r w:rsidR="00232F82">
        <w:rPr>
          <w:rFonts w:ascii="Segoe UI" w:hAnsi="Segoe UI" w:cs="Segoe UI"/>
          <w:i/>
          <w:color w:val="0D0D0D" w:themeColor="text1" w:themeTint="F2"/>
          <w:sz w:val="18"/>
          <w:szCs w:val="20"/>
        </w:rPr>
        <w:t>ν</w:t>
      </w:r>
      <w:r w:rsidR="00D0222A">
        <w:rPr>
          <w:rFonts w:ascii="Segoe UI" w:hAnsi="Segoe UI" w:cs="Segoe UI"/>
          <w:i/>
          <w:color w:val="0D0D0D" w:themeColor="text1" w:themeTint="F2"/>
          <w:sz w:val="18"/>
          <w:szCs w:val="20"/>
        </w:rPr>
        <w:t xml:space="preserve"> Ε</w:t>
      </w:r>
      <w:r w:rsidRPr="009C3C03">
        <w:rPr>
          <w:rFonts w:ascii="Segoe UI" w:hAnsi="Segoe UI" w:cs="Segoe UI"/>
          <w:i/>
          <w:color w:val="0D0D0D" w:themeColor="text1" w:themeTint="F2"/>
          <w:sz w:val="18"/>
          <w:szCs w:val="20"/>
        </w:rPr>
        <w:t xml:space="preserve">λληνική </w:t>
      </w:r>
      <w:r w:rsidR="00C77C78">
        <w:rPr>
          <w:rFonts w:ascii="Segoe UI" w:hAnsi="Segoe UI" w:cs="Segoe UI"/>
          <w:i/>
          <w:color w:val="0D0D0D" w:themeColor="text1" w:themeTint="F2"/>
          <w:sz w:val="18"/>
          <w:szCs w:val="20"/>
        </w:rPr>
        <w:t>Κ</w:t>
      </w:r>
      <w:r w:rsidRPr="009C3C03">
        <w:rPr>
          <w:rFonts w:ascii="Segoe UI" w:hAnsi="Segoe UI" w:cs="Segoe UI"/>
          <w:i/>
          <w:color w:val="0D0D0D" w:themeColor="text1" w:themeTint="F2"/>
          <w:sz w:val="18"/>
          <w:szCs w:val="20"/>
        </w:rPr>
        <w:t xml:space="preserve">υβέρνηση. Η ΕΤΕ παρέμεινε πιστή στον ιστορικό της ρόλο και βρέθηκε στην πρώτη γραμμή στήριξης </w:t>
      </w:r>
      <w:r w:rsidR="00204FBB">
        <w:rPr>
          <w:rFonts w:ascii="Segoe UI" w:hAnsi="Segoe UI" w:cs="Segoe UI"/>
          <w:i/>
          <w:color w:val="0D0D0D" w:themeColor="text1" w:themeTint="F2"/>
          <w:sz w:val="18"/>
          <w:szCs w:val="20"/>
        </w:rPr>
        <w:t xml:space="preserve">των </w:t>
      </w:r>
      <w:r w:rsidRPr="009C3C03">
        <w:rPr>
          <w:rFonts w:ascii="Segoe UI" w:hAnsi="Segoe UI" w:cs="Segoe UI"/>
          <w:i/>
          <w:color w:val="0D0D0D" w:themeColor="text1" w:themeTint="F2"/>
          <w:sz w:val="18"/>
          <w:szCs w:val="20"/>
        </w:rPr>
        <w:t>επιχειρήσε</w:t>
      </w:r>
      <w:r w:rsidR="007D6B12">
        <w:rPr>
          <w:rFonts w:ascii="Segoe UI" w:hAnsi="Segoe UI" w:cs="Segoe UI"/>
          <w:i/>
          <w:color w:val="0D0D0D" w:themeColor="text1" w:themeTint="F2"/>
          <w:sz w:val="18"/>
          <w:szCs w:val="20"/>
        </w:rPr>
        <w:t xml:space="preserve">ων </w:t>
      </w:r>
      <w:r w:rsidRPr="009C3C03">
        <w:rPr>
          <w:rFonts w:ascii="Segoe UI" w:hAnsi="Segoe UI" w:cs="Segoe UI"/>
          <w:i/>
          <w:color w:val="0D0D0D" w:themeColor="text1" w:themeTint="F2"/>
          <w:sz w:val="18"/>
          <w:szCs w:val="20"/>
        </w:rPr>
        <w:t>και νοικοκυρι</w:t>
      </w:r>
      <w:r w:rsidR="007D6B12">
        <w:rPr>
          <w:rFonts w:ascii="Segoe UI" w:hAnsi="Segoe UI" w:cs="Segoe UI"/>
          <w:i/>
          <w:color w:val="0D0D0D" w:themeColor="text1" w:themeTint="F2"/>
          <w:sz w:val="18"/>
          <w:szCs w:val="20"/>
        </w:rPr>
        <w:t>ών</w:t>
      </w:r>
      <w:r w:rsidRPr="009C3C03">
        <w:rPr>
          <w:rFonts w:ascii="Segoe UI" w:hAnsi="Segoe UI" w:cs="Segoe UI"/>
          <w:i/>
          <w:color w:val="0D0D0D" w:themeColor="text1" w:themeTint="F2"/>
          <w:sz w:val="18"/>
          <w:szCs w:val="20"/>
        </w:rPr>
        <w:t>,</w:t>
      </w:r>
      <w:r w:rsidR="007D6B12">
        <w:rPr>
          <w:rFonts w:ascii="Segoe UI" w:hAnsi="Segoe UI" w:cs="Segoe UI"/>
          <w:i/>
          <w:color w:val="0D0D0D" w:themeColor="text1" w:themeTint="F2"/>
          <w:sz w:val="18"/>
          <w:szCs w:val="20"/>
        </w:rPr>
        <w:t xml:space="preserve"> παρέχοντας</w:t>
      </w:r>
      <w:r w:rsidRPr="009C3C03">
        <w:rPr>
          <w:rFonts w:ascii="Segoe UI" w:hAnsi="Segoe UI" w:cs="Segoe UI"/>
          <w:i/>
          <w:color w:val="0D0D0D" w:themeColor="text1" w:themeTint="F2"/>
          <w:sz w:val="18"/>
          <w:szCs w:val="20"/>
        </w:rPr>
        <w:t xml:space="preserve"> στοχευμένα μέτρα </w:t>
      </w:r>
      <w:r w:rsidR="00B143FA" w:rsidRPr="00B143FA">
        <w:rPr>
          <w:rFonts w:ascii="Segoe UI" w:hAnsi="Segoe UI" w:cs="Segoe UI"/>
          <w:i/>
          <w:color w:val="0D0D0D" w:themeColor="text1" w:themeTint="F2"/>
          <w:sz w:val="18"/>
          <w:szCs w:val="20"/>
        </w:rPr>
        <w:t xml:space="preserve">διευκόλυνσης καταβολής οφειλών </w:t>
      </w:r>
      <w:r w:rsidRPr="009C3C03">
        <w:rPr>
          <w:rFonts w:ascii="Segoe UI" w:hAnsi="Segoe UI" w:cs="Segoe UI"/>
          <w:i/>
          <w:color w:val="0D0D0D" w:themeColor="text1" w:themeTint="F2"/>
          <w:sz w:val="18"/>
          <w:szCs w:val="20"/>
        </w:rPr>
        <w:t>ύψους €</w:t>
      </w:r>
      <w:r w:rsidR="00B143FA">
        <w:rPr>
          <w:rFonts w:ascii="Segoe UI" w:hAnsi="Segoe UI" w:cs="Segoe UI"/>
          <w:i/>
          <w:color w:val="0D0D0D" w:themeColor="text1" w:themeTint="F2"/>
          <w:sz w:val="18"/>
          <w:szCs w:val="20"/>
        </w:rPr>
        <w:t>3,8</w:t>
      </w:r>
      <w:r w:rsidRPr="009C3C03">
        <w:rPr>
          <w:rFonts w:ascii="Segoe UI" w:hAnsi="Segoe UI" w:cs="Segoe UI"/>
          <w:i/>
          <w:color w:val="0D0D0D" w:themeColor="text1" w:themeTint="F2"/>
          <w:sz w:val="18"/>
          <w:szCs w:val="20"/>
        </w:rPr>
        <w:t xml:space="preserve"> δισ. και δάνεια με επιδότηση επιτοκίου ύψους €2,3 δισ. κυρίως προς μικρές </w:t>
      </w:r>
      <w:r w:rsidR="00122EE2">
        <w:rPr>
          <w:rFonts w:ascii="Segoe UI" w:hAnsi="Segoe UI" w:cs="Segoe UI"/>
          <w:i/>
          <w:color w:val="0D0D0D" w:themeColor="text1" w:themeTint="F2"/>
          <w:sz w:val="18"/>
          <w:szCs w:val="20"/>
        </w:rPr>
        <w:t xml:space="preserve">και </w:t>
      </w:r>
      <w:r w:rsidR="00122EE2" w:rsidRPr="00122EE2">
        <w:rPr>
          <w:rFonts w:ascii="Segoe UI" w:hAnsi="Segoe UI" w:cs="Segoe UI"/>
          <w:i/>
          <w:color w:val="0D0D0D" w:themeColor="text1" w:themeTint="F2"/>
          <w:sz w:val="18"/>
          <w:szCs w:val="20"/>
        </w:rPr>
        <w:t>μικρομεσαί</w:t>
      </w:r>
      <w:r w:rsidR="00122EE2">
        <w:rPr>
          <w:rFonts w:ascii="Segoe UI" w:hAnsi="Segoe UI" w:cs="Segoe UI"/>
          <w:i/>
          <w:color w:val="0D0D0D" w:themeColor="text1" w:themeTint="F2"/>
          <w:sz w:val="18"/>
          <w:szCs w:val="20"/>
        </w:rPr>
        <w:t>ες</w:t>
      </w:r>
      <w:r w:rsidR="00122EE2" w:rsidRPr="00122EE2">
        <w:rPr>
          <w:rFonts w:ascii="Segoe UI" w:hAnsi="Segoe UI" w:cs="Segoe UI"/>
          <w:i/>
          <w:color w:val="0D0D0D" w:themeColor="text1" w:themeTint="F2"/>
          <w:sz w:val="18"/>
          <w:szCs w:val="20"/>
        </w:rPr>
        <w:t xml:space="preserve"> </w:t>
      </w:r>
      <w:r w:rsidRPr="009C3C03">
        <w:rPr>
          <w:rFonts w:ascii="Segoe UI" w:hAnsi="Segoe UI" w:cs="Segoe UI"/>
          <w:i/>
          <w:color w:val="0D0D0D" w:themeColor="text1" w:themeTint="F2"/>
          <w:sz w:val="18"/>
          <w:szCs w:val="20"/>
        </w:rPr>
        <w:t xml:space="preserve">επιχειρήσεις. Επιπλέον, οι νέες </w:t>
      </w:r>
      <w:r w:rsidR="00122EE2">
        <w:rPr>
          <w:rFonts w:ascii="Segoe UI" w:hAnsi="Segoe UI" w:cs="Segoe UI"/>
          <w:i/>
          <w:color w:val="0D0D0D" w:themeColor="text1" w:themeTint="F2"/>
          <w:sz w:val="18"/>
          <w:szCs w:val="20"/>
        </w:rPr>
        <w:t xml:space="preserve">εκταμιεύσεις δανείων </w:t>
      </w:r>
      <w:r w:rsidRPr="009C3C03">
        <w:rPr>
          <w:rFonts w:ascii="Segoe UI" w:hAnsi="Segoe UI" w:cs="Segoe UI"/>
          <w:i/>
          <w:color w:val="0D0D0D" w:themeColor="text1" w:themeTint="F2"/>
          <w:sz w:val="18"/>
          <w:szCs w:val="20"/>
        </w:rPr>
        <w:t xml:space="preserve">προς επιχειρήσεις και νοικοκυριά άγγιξαν τα €4,7 δισ., </w:t>
      </w:r>
      <w:r w:rsidR="00122EE2" w:rsidRPr="00122EE2">
        <w:rPr>
          <w:rFonts w:ascii="Segoe UI" w:hAnsi="Segoe UI" w:cs="Segoe UI"/>
          <w:i/>
          <w:color w:val="0D0D0D" w:themeColor="text1" w:themeTint="F2"/>
          <w:sz w:val="18"/>
          <w:szCs w:val="20"/>
        </w:rPr>
        <w:t>με τη συνδρομή των κυβερνητικών προγραμμάτων στήριξης</w:t>
      </w:r>
      <w:r w:rsidRPr="009C3C03">
        <w:rPr>
          <w:rFonts w:ascii="Segoe UI" w:hAnsi="Segoe UI" w:cs="Segoe UI"/>
          <w:i/>
          <w:color w:val="0D0D0D" w:themeColor="text1" w:themeTint="F2"/>
          <w:sz w:val="18"/>
          <w:szCs w:val="20"/>
        </w:rPr>
        <w:t>, υπερβ</w:t>
      </w:r>
      <w:r w:rsidR="00A41919">
        <w:rPr>
          <w:rFonts w:ascii="Segoe UI" w:hAnsi="Segoe UI" w:cs="Segoe UI"/>
          <w:i/>
          <w:color w:val="0D0D0D" w:themeColor="text1" w:themeTint="F2"/>
          <w:sz w:val="18"/>
          <w:szCs w:val="20"/>
        </w:rPr>
        <w:t xml:space="preserve">αίνοντας </w:t>
      </w:r>
      <w:r w:rsidRPr="009C3C03">
        <w:rPr>
          <w:rFonts w:ascii="Segoe UI" w:hAnsi="Segoe UI" w:cs="Segoe UI"/>
          <w:i/>
          <w:color w:val="0D0D0D" w:themeColor="text1" w:themeTint="F2"/>
          <w:sz w:val="18"/>
          <w:szCs w:val="20"/>
        </w:rPr>
        <w:t xml:space="preserve">κατά πολύ </w:t>
      </w:r>
      <w:r w:rsidR="00122EE2">
        <w:rPr>
          <w:rFonts w:ascii="Segoe UI" w:hAnsi="Segoe UI" w:cs="Segoe UI"/>
          <w:i/>
          <w:color w:val="0D0D0D" w:themeColor="text1" w:themeTint="F2"/>
          <w:sz w:val="18"/>
          <w:szCs w:val="20"/>
        </w:rPr>
        <w:t>τ</w:t>
      </w:r>
      <w:r w:rsidR="00FC06E8">
        <w:rPr>
          <w:rFonts w:ascii="Segoe UI" w:hAnsi="Segoe UI" w:cs="Segoe UI"/>
          <w:i/>
          <w:color w:val="0D0D0D" w:themeColor="text1" w:themeTint="F2"/>
          <w:sz w:val="18"/>
          <w:szCs w:val="20"/>
        </w:rPr>
        <w:t xml:space="preserve">α επίπεδα </w:t>
      </w:r>
      <w:r w:rsidR="00122EE2">
        <w:rPr>
          <w:rFonts w:ascii="Segoe UI" w:hAnsi="Segoe UI" w:cs="Segoe UI"/>
          <w:i/>
          <w:color w:val="0D0D0D" w:themeColor="text1" w:themeTint="F2"/>
          <w:sz w:val="18"/>
          <w:szCs w:val="20"/>
        </w:rPr>
        <w:t>πιστοδοτήσε</w:t>
      </w:r>
      <w:r w:rsidR="00FC06E8">
        <w:rPr>
          <w:rFonts w:ascii="Segoe UI" w:hAnsi="Segoe UI" w:cs="Segoe UI"/>
          <w:i/>
          <w:color w:val="0D0D0D" w:themeColor="text1" w:themeTint="F2"/>
          <w:sz w:val="18"/>
          <w:szCs w:val="20"/>
        </w:rPr>
        <w:t xml:space="preserve">ων </w:t>
      </w:r>
      <w:r w:rsidR="00122EE2">
        <w:rPr>
          <w:rFonts w:ascii="Segoe UI" w:hAnsi="Segoe UI" w:cs="Segoe UI"/>
          <w:i/>
          <w:color w:val="0D0D0D" w:themeColor="text1" w:themeTint="F2"/>
          <w:sz w:val="18"/>
          <w:szCs w:val="20"/>
        </w:rPr>
        <w:t>των τελευταίων ετών</w:t>
      </w:r>
      <w:r w:rsidRPr="009C3C03">
        <w:rPr>
          <w:rFonts w:ascii="Segoe UI" w:hAnsi="Segoe UI" w:cs="Segoe UI"/>
          <w:i/>
          <w:color w:val="0D0D0D" w:themeColor="text1" w:themeTint="F2"/>
          <w:sz w:val="18"/>
          <w:szCs w:val="20"/>
        </w:rPr>
        <w:t xml:space="preserve">. </w:t>
      </w:r>
    </w:p>
    <w:p w:rsidR="009C3C03" w:rsidRPr="009C3C03" w:rsidRDefault="009C3C03" w:rsidP="009C3C03">
      <w:pPr>
        <w:jc w:val="both"/>
        <w:rPr>
          <w:rFonts w:ascii="Segoe UI" w:hAnsi="Segoe UI" w:cs="Segoe UI"/>
          <w:i/>
          <w:color w:val="0D0D0D" w:themeColor="text1" w:themeTint="F2"/>
          <w:sz w:val="18"/>
          <w:szCs w:val="20"/>
        </w:rPr>
      </w:pPr>
    </w:p>
    <w:p w:rsidR="009C3C03" w:rsidRPr="009C3C03" w:rsidRDefault="00A75A32" w:rsidP="009C3C03">
      <w:pPr>
        <w:jc w:val="both"/>
        <w:rPr>
          <w:rFonts w:ascii="Segoe UI" w:hAnsi="Segoe UI" w:cs="Segoe UI"/>
          <w:i/>
          <w:color w:val="0D0D0D" w:themeColor="text1" w:themeTint="F2"/>
          <w:sz w:val="18"/>
          <w:szCs w:val="20"/>
        </w:rPr>
      </w:pPr>
      <w:r>
        <w:rPr>
          <w:rFonts w:ascii="Segoe UI" w:hAnsi="Segoe UI" w:cs="Segoe UI"/>
          <w:i/>
          <w:color w:val="0D0D0D" w:themeColor="text1" w:themeTint="F2"/>
          <w:sz w:val="18"/>
          <w:szCs w:val="20"/>
        </w:rPr>
        <w:t>Ύψιστη</w:t>
      </w:r>
      <w:r w:rsidR="009C3C03" w:rsidRPr="009C3C03">
        <w:rPr>
          <w:rFonts w:ascii="Segoe UI" w:hAnsi="Segoe UI" w:cs="Segoe UI"/>
          <w:i/>
          <w:color w:val="0D0D0D" w:themeColor="text1" w:themeTint="F2"/>
          <w:sz w:val="18"/>
          <w:szCs w:val="20"/>
        </w:rPr>
        <w:t xml:space="preserve"> προτεραιότητα της </w:t>
      </w:r>
      <w:r w:rsidR="00880DCD">
        <w:rPr>
          <w:rFonts w:ascii="Segoe UI" w:hAnsi="Segoe UI" w:cs="Segoe UI"/>
          <w:i/>
          <w:color w:val="0D0D0D" w:themeColor="text1" w:themeTint="F2"/>
          <w:sz w:val="18"/>
          <w:szCs w:val="20"/>
        </w:rPr>
        <w:t>ΕΤΕ</w:t>
      </w:r>
      <w:r w:rsidR="009C3C03" w:rsidRPr="009C3C03">
        <w:rPr>
          <w:rFonts w:ascii="Segoe UI" w:hAnsi="Segoe UI" w:cs="Segoe UI"/>
          <w:i/>
          <w:color w:val="0D0D0D" w:themeColor="text1" w:themeTint="F2"/>
          <w:sz w:val="18"/>
          <w:szCs w:val="20"/>
        </w:rPr>
        <w:t xml:space="preserve"> εξακολουθεί να είναι η </w:t>
      </w:r>
      <w:r w:rsidRPr="00A75A32">
        <w:rPr>
          <w:rFonts w:ascii="Segoe UI" w:hAnsi="Segoe UI" w:cs="Segoe UI"/>
          <w:i/>
          <w:color w:val="0D0D0D" w:themeColor="text1" w:themeTint="F2"/>
          <w:sz w:val="18"/>
          <w:szCs w:val="20"/>
        </w:rPr>
        <w:t>διασφάλιση της υγείας και της ασφάλειας των υπαλλήλων και πελατών μας</w:t>
      </w:r>
      <w:r w:rsidR="009C3C03" w:rsidRPr="009C3C03">
        <w:rPr>
          <w:rFonts w:ascii="Segoe UI" w:hAnsi="Segoe UI" w:cs="Segoe UI"/>
          <w:i/>
          <w:color w:val="0D0D0D" w:themeColor="text1" w:themeTint="F2"/>
          <w:sz w:val="18"/>
          <w:szCs w:val="20"/>
        </w:rPr>
        <w:t>, ενώ περίπου το 50% του προσωπικού μας εργάζεται εξ αποστάσεως, αλλά εξίσου αποτελεσματικά και με ασφάλεια στον κυβερνοχώρο.</w:t>
      </w:r>
      <w:r>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Αξιοποιώντας τον νέο τρόπο λειτουργίας που επέβαλαν τα περιοριστικά μέτρα</w:t>
      </w:r>
      <w:r w:rsidR="00712E62">
        <w:rPr>
          <w:rFonts w:ascii="Segoe UI" w:hAnsi="Segoe UI" w:cs="Segoe UI"/>
          <w:i/>
          <w:color w:val="0D0D0D" w:themeColor="text1" w:themeTint="F2"/>
          <w:sz w:val="18"/>
          <w:szCs w:val="20"/>
        </w:rPr>
        <w:t xml:space="preserve"> λόγω της πανδημίας του κορωνοϊού</w:t>
      </w:r>
      <w:r w:rsidR="009C3C03" w:rsidRPr="009C3C03">
        <w:rPr>
          <w:rFonts w:ascii="Segoe UI" w:hAnsi="Segoe UI" w:cs="Segoe UI"/>
          <w:i/>
          <w:color w:val="0D0D0D" w:themeColor="text1" w:themeTint="F2"/>
          <w:sz w:val="18"/>
          <w:szCs w:val="20"/>
        </w:rPr>
        <w:t>, επιταχύναμε και ενισχύσαμε την εφαρμογή πρόσθετων ψηφιακών λειτουργιών</w:t>
      </w:r>
      <w:r w:rsidR="00880DCD">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xml:space="preserve"> προσαρμόζοντας τις διαδικασίες </w:t>
      </w:r>
      <w:r w:rsidR="00880DCD">
        <w:rPr>
          <w:rFonts w:ascii="Segoe UI" w:hAnsi="Segoe UI" w:cs="Segoe UI"/>
          <w:i/>
          <w:color w:val="0D0D0D" w:themeColor="text1" w:themeTint="F2"/>
          <w:sz w:val="18"/>
          <w:szCs w:val="20"/>
        </w:rPr>
        <w:t xml:space="preserve">της Τράπεζας </w:t>
      </w:r>
      <w:r w:rsidR="009C3C03" w:rsidRPr="009C3C03">
        <w:rPr>
          <w:rFonts w:ascii="Segoe UI" w:hAnsi="Segoe UI" w:cs="Segoe UI"/>
          <w:i/>
          <w:color w:val="0D0D0D" w:themeColor="text1" w:themeTint="F2"/>
          <w:sz w:val="18"/>
          <w:szCs w:val="20"/>
        </w:rPr>
        <w:t xml:space="preserve">για την καλύτερη εξυπηρέτηση των πελατών μας εξ αποστάσεως. Έτσι, ενόσω οι συναλλαγές </w:t>
      </w:r>
      <w:r w:rsidR="00641F1C">
        <w:rPr>
          <w:rFonts w:ascii="Segoe UI" w:hAnsi="Segoe UI" w:cs="Segoe UI"/>
          <w:i/>
          <w:color w:val="0D0D0D" w:themeColor="text1" w:themeTint="F2"/>
          <w:sz w:val="18"/>
          <w:szCs w:val="20"/>
        </w:rPr>
        <w:t>πλησιάζουν</w:t>
      </w:r>
      <w:r w:rsidR="009C3C03" w:rsidRPr="009C3C03">
        <w:rPr>
          <w:rFonts w:ascii="Segoe UI" w:hAnsi="Segoe UI" w:cs="Segoe UI"/>
          <w:i/>
          <w:color w:val="0D0D0D" w:themeColor="text1" w:themeTint="F2"/>
          <w:sz w:val="18"/>
          <w:szCs w:val="20"/>
        </w:rPr>
        <w:t xml:space="preserve"> σταδιακά </w:t>
      </w:r>
      <w:r w:rsidR="00641F1C">
        <w:rPr>
          <w:rFonts w:ascii="Segoe UI" w:hAnsi="Segoe UI" w:cs="Segoe UI"/>
          <w:i/>
          <w:color w:val="0D0D0D" w:themeColor="text1" w:themeTint="F2"/>
          <w:sz w:val="18"/>
          <w:szCs w:val="20"/>
        </w:rPr>
        <w:t>τα</w:t>
      </w:r>
      <w:r w:rsidR="009C3C03" w:rsidRPr="009C3C03">
        <w:rPr>
          <w:rFonts w:ascii="Segoe UI" w:hAnsi="Segoe UI" w:cs="Segoe UI"/>
          <w:i/>
          <w:color w:val="0D0D0D" w:themeColor="text1" w:themeTint="F2"/>
          <w:sz w:val="18"/>
          <w:szCs w:val="20"/>
        </w:rPr>
        <w:t xml:space="preserve"> επίπεδα προ πανδημίας, η ψηφιακή τραπεζική κερδίζει ολοένα και περισσότερο έδαφος ως κυρίαρχο κανάλι για την πραγματοποίηση των συναλλαγών. </w:t>
      </w:r>
    </w:p>
    <w:p w:rsidR="009C3C03" w:rsidRPr="009C3C03" w:rsidRDefault="009C3C03" w:rsidP="009C3C03">
      <w:pPr>
        <w:jc w:val="both"/>
        <w:rPr>
          <w:rFonts w:ascii="Segoe UI" w:hAnsi="Segoe UI" w:cs="Segoe UI"/>
          <w:i/>
          <w:color w:val="0D0D0D" w:themeColor="text1" w:themeTint="F2"/>
          <w:sz w:val="18"/>
          <w:szCs w:val="20"/>
        </w:rPr>
      </w:pPr>
    </w:p>
    <w:p w:rsidR="009C3C03" w:rsidRPr="009C3C03" w:rsidRDefault="00C273F9" w:rsidP="00913DE6">
      <w:pPr>
        <w:jc w:val="both"/>
        <w:rPr>
          <w:rFonts w:ascii="Segoe UI" w:hAnsi="Segoe UI" w:cs="Segoe UI"/>
          <w:i/>
          <w:color w:val="0D0D0D" w:themeColor="text1" w:themeTint="F2"/>
          <w:sz w:val="18"/>
          <w:szCs w:val="20"/>
        </w:rPr>
      </w:pPr>
      <w:r>
        <w:rPr>
          <w:rFonts w:ascii="Segoe UI" w:hAnsi="Segoe UI" w:cs="Segoe UI"/>
          <w:i/>
          <w:color w:val="0D0D0D" w:themeColor="text1" w:themeTint="F2"/>
          <w:sz w:val="18"/>
          <w:szCs w:val="20"/>
        </w:rPr>
        <w:t>Κ</w:t>
      </w:r>
      <w:r w:rsidR="009C3C03" w:rsidRPr="009C3C03">
        <w:rPr>
          <w:rFonts w:ascii="Segoe UI" w:hAnsi="Segoe UI" w:cs="Segoe UI"/>
          <w:i/>
          <w:color w:val="0D0D0D" w:themeColor="text1" w:themeTint="F2"/>
          <w:sz w:val="18"/>
          <w:szCs w:val="20"/>
        </w:rPr>
        <w:t xml:space="preserve">αταγράψαμε </w:t>
      </w:r>
      <w:r w:rsidR="00B431A6">
        <w:rPr>
          <w:rFonts w:ascii="Segoe UI" w:hAnsi="Segoe UI" w:cs="Segoe UI"/>
          <w:i/>
          <w:color w:val="0D0D0D" w:themeColor="text1" w:themeTint="F2"/>
          <w:sz w:val="18"/>
          <w:szCs w:val="20"/>
        </w:rPr>
        <w:t>σημαντική</w:t>
      </w:r>
      <w:r w:rsidR="009C3C03" w:rsidRPr="009C3C03">
        <w:rPr>
          <w:rFonts w:ascii="Segoe UI" w:hAnsi="Segoe UI" w:cs="Segoe UI"/>
          <w:i/>
          <w:color w:val="0D0D0D" w:themeColor="text1" w:themeTint="F2"/>
          <w:sz w:val="18"/>
          <w:szCs w:val="20"/>
        </w:rPr>
        <w:t xml:space="preserve"> πρόοδο ως προς την υλοποίηση δύο συναλλαγών</w:t>
      </w:r>
      <w:r w:rsidR="00B431A6">
        <w:rPr>
          <w:rFonts w:ascii="Segoe UI" w:hAnsi="Segoe UI" w:cs="Segoe UI"/>
          <w:i/>
          <w:color w:val="0D0D0D" w:themeColor="text1" w:themeTint="F2"/>
          <w:sz w:val="18"/>
          <w:szCs w:val="20"/>
        </w:rPr>
        <w:t xml:space="preserve"> </w:t>
      </w:r>
      <w:r w:rsidR="006A7500" w:rsidRPr="009C3C03">
        <w:rPr>
          <w:rFonts w:ascii="Segoe UI" w:hAnsi="Segoe UI" w:cs="Segoe UI"/>
          <w:i/>
          <w:color w:val="0D0D0D" w:themeColor="text1" w:themeTint="F2"/>
          <w:sz w:val="18"/>
          <w:szCs w:val="20"/>
        </w:rPr>
        <w:t>στρατηγικ</w:t>
      </w:r>
      <w:r w:rsidR="006A7500">
        <w:rPr>
          <w:rFonts w:ascii="Segoe UI" w:hAnsi="Segoe UI" w:cs="Segoe UI"/>
          <w:i/>
          <w:color w:val="0D0D0D" w:themeColor="text1" w:themeTint="F2"/>
          <w:sz w:val="18"/>
          <w:szCs w:val="20"/>
        </w:rPr>
        <w:t xml:space="preserve">ής σημασίας για την </w:t>
      </w:r>
      <w:r w:rsidR="00B431A6">
        <w:rPr>
          <w:rFonts w:ascii="Segoe UI" w:hAnsi="Segoe UI" w:cs="Segoe UI"/>
          <w:i/>
          <w:color w:val="0D0D0D" w:themeColor="text1" w:themeTint="F2"/>
          <w:sz w:val="18"/>
          <w:szCs w:val="20"/>
        </w:rPr>
        <w:t>Τρ</w:t>
      </w:r>
      <w:r w:rsidR="006A7500">
        <w:rPr>
          <w:rFonts w:ascii="Segoe UI" w:hAnsi="Segoe UI" w:cs="Segoe UI"/>
          <w:i/>
          <w:color w:val="0D0D0D" w:themeColor="text1" w:themeTint="F2"/>
          <w:sz w:val="18"/>
          <w:szCs w:val="20"/>
        </w:rPr>
        <w:t>άπεζα</w:t>
      </w:r>
      <w:r w:rsidR="00D90EB7">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 xml:space="preserve">την πώληση της </w:t>
      </w:r>
      <w:r w:rsidR="00D90EB7">
        <w:rPr>
          <w:rFonts w:ascii="Segoe UI" w:hAnsi="Segoe UI" w:cs="Segoe UI"/>
          <w:i/>
          <w:color w:val="0D0D0D" w:themeColor="text1" w:themeTint="F2"/>
          <w:sz w:val="18"/>
          <w:szCs w:val="20"/>
        </w:rPr>
        <w:t>Εθνικής Ασφαλιστικής</w:t>
      </w:r>
      <w:r w:rsidR="009C3C03" w:rsidRPr="009C3C03">
        <w:rPr>
          <w:rFonts w:ascii="Segoe UI" w:hAnsi="Segoe UI" w:cs="Segoe UI"/>
          <w:i/>
          <w:color w:val="0D0D0D" w:themeColor="text1" w:themeTint="F2"/>
          <w:sz w:val="18"/>
          <w:szCs w:val="20"/>
        </w:rPr>
        <w:t xml:space="preserve"> και την τιτλοποίηση </w:t>
      </w:r>
      <w:r w:rsidR="00913DE6" w:rsidRPr="00913DE6">
        <w:rPr>
          <w:rFonts w:ascii="Segoe UI" w:hAnsi="Segoe UI" w:cs="Segoe UI"/>
          <w:i/>
          <w:color w:val="0D0D0D" w:themeColor="text1" w:themeTint="F2"/>
          <w:sz w:val="18"/>
          <w:szCs w:val="20"/>
        </w:rPr>
        <w:t xml:space="preserve">Μη Εξυπηρετούμενων Ανοιγμάτων </w:t>
      </w:r>
      <w:r w:rsidR="00913DE6">
        <w:rPr>
          <w:rFonts w:ascii="Segoe UI" w:hAnsi="Segoe UI" w:cs="Segoe UI"/>
          <w:i/>
          <w:color w:val="0D0D0D" w:themeColor="text1" w:themeTint="F2"/>
          <w:sz w:val="18"/>
          <w:szCs w:val="20"/>
        </w:rPr>
        <w:t>(</w:t>
      </w:r>
      <w:r w:rsidR="00503487" w:rsidRPr="00503487">
        <w:rPr>
          <w:rFonts w:ascii="Segoe UI" w:hAnsi="Segoe UI" w:cs="Segoe UI"/>
          <w:i/>
          <w:color w:val="0D0D0D" w:themeColor="text1" w:themeTint="F2"/>
          <w:sz w:val="18"/>
          <w:szCs w:val="20"/>
        </w:rPr>
        <w:t>“</w:t>
      </w:r>
      <w:r w:rsidR="00913DE6">
        <w:rPr>
          <w:rFonts w:ascii="Segoe UI" w:hAnsi="Segoe UI" w:cs="Segoe UI"/>
          <w:i/>
          <w:color w:val="0D0D0D" w:themeColor="text1" w:themeTint="F2"/>
          <w:sz w:val="18"/>
          <w:szCs w:val="20"/>
          <w:lang w:val="en-US"/>
        </w:rPr>
        <w:t>Project</w:t>
      </w:r>
      <w:r w:rsidR="00913DE6" w:rsidRPr="00913DE6">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Frontier</w:t>
      </w:r>
      <w:r w:rsidR="00503487" w:rsidRPr="00503487">
        <w:rPr>
          <w:rFonts w:ascii="Segoe UI" w:hAnsi="Segoe UI" w:cs="Segoe UI"/>
          <w:i/>
          <w:color w:val="0D0D0D" w:themeColor="text1" w:themeTint="F2"/>
          <w:sz w:val="18"/>
          <w:szCs w:val="20"/>
        </w:rPr>
        <w:t>”</w:t>
      </w:r>
      <w:r w:rsidR="00913DE6" w:rsidRPr="00913DE6">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xml:space="preserve">. Όσον αφορά την πρώτη, </w:t>
      </w:r>
      <w:r w:rsidR="00395D54">
        <w:rPr>
          <w:rFonts w:ascii="Segoe UI" w:hAnsi="Segoe UI" w:cs="Segoe UI"/>
          <w:i/>
          <w:color w:val="0D0D0D" w:themeColor="text1" w:themeTint="F2"/>
          <w:sz w:val="18"/>
          <w:szCs w:val="20"/>
        </w:rPr>
        <w:t>προχωρήσαμε σε</w:t>
      </w:r>
      <w:r w:rsidR="009C3C03" w:rsidRPr="009C3C03">
        <w:rPr>
          <w:rFonts w:ascii="Segoe UI" w:hAnsi="Segoe UI" w:cs="Segoe UI"/>
          <w:i/>
          <w:color w:val="0D0D0D" w:themeColor="text1" w:themeTint="F2"/>
          <w:sz w:val="18"/>
          <w:szCs w:val="20"/>
        </w:rPr>
        <w:t xml:space="preserve"> συμφωνία για την πώληση </w:t>
      </w:r>
      <w:r w:rsidR="00856F0E">
        <w:rPr>
          <w:rFonts w:ascii="Segoe UI" w:hAnsi="Segoe UI" w:cs="Segoe UI"/>
          <w:i/>
          <w:color w:val="0D0D0D" w:themeColor="text1" w:themeTint="F2"/>
          <w:sz w:val="18"/>
          <w:szCs w:val="20"/>
        </w:rPr>
        <w:t xml:space="preserve">του </w:t>
      </w:r>
      <w:r w:rsidR="009C3C03" w:rsidRPr="009C3C03">
        <w:rPr>
          <w:rFonts w:ascii="Segoe UI" w:hAnsi="Segoe UI" w:cs="Segoe UI"/>
          <w:i/>
          <w:color w:val="0D0D0D" w:themeColor="text1" w:themeTint="F2"/>
          <w:sz w:val="18"/>
          <w:szCs w:val="20"/>
        </w:rPr>
        <w:t xml:space="preserve">90% της συμμετοχής </w:t>
      </w:r>
      <w:r w:rsidR="00856F0E">
        <w:rPr>
          <w:rFonts w:ascii="Segoe UI" w:hAnsi="Segoe UI" w:cs="Segoe UI"/>
          <w:i/>
          <w:color w:val="0D0D0D" w:themeColor="text1" w:themeTint="F2"/>
          <w:sz w:val="18"/>
          <w:szCs w:val="20"/>
        </w:rPr>
        <w:t>μας</w:t>
      </w:r>
      <w:r w:rsidR="009C3C03" w:rsidRPr="009C3C03">
        <w:rPr>
          <w:rFonts w:ascii="Segoe UI" w:hAnsi="Segoe UI" w:cs="Segoe UI"/>
          <w:i/>
          <w:color w:val="0D0D0D" w:themeColor="text1" w:themeTint="F2"/>
          <w:sz w:val="18"/>
          <w:szCs w:val="20"/>
        </w:rPr>
        <w:t xml:space="preserve">, </w:t>
      </w:r>
      <w:r w:rsidR="00BF38A6">
        <w:rPr>
          <w:rFonts w:ascii="Segoe UI" w:hAnsi="Segoe UI" w:cs="Segoe UI"/>
          <w:i/>
          <w:color w:val="0D0D0D" w:themeColor="text1" w:themeTint="F2"/>
          <w:sz w:val="18"/>
          <w:szCs w:val="20"/>
        </w:rPr>
        <w:t xml:space="preserve">η ολοκλήρωση της οποίας </w:t>
      </w:r>
      <w:r w:rsidR="009C3C03" w:rsidRPr="009C3C03">
        <w:rPr>
          <w:rFonts w:ascii="Segoe UI" w:hAnsi="Segoe UI" w:cs="Segoe UI"/>
          <w:i/>
          <w:color w:val="0D0D0D" w:themeColor="text1" w:themeTint="F2"/>
          <w:sz w:val="18"/>
          <w:szCs w:val="20"/>
        </w:rPr>
        <w:t xml:space="preserve">αναμένεται να </w:t>
      </w:r>
      <w:r w:rsidR="00BF38A6" w:rsidRPr="00BF38A6">
        <w:rPr>
          <w:rFonts w:ascii="Segoe UI" w:hAnsi="Segoe UI" w:cs="Segoe UI"/>
          <w:i/>
          <w:color w:val="0D0D0D" w:themeColor="text1" w:themeTint="F2"/>
          <w:sz w:val="18"/>
          <w:szCs w:val="20"/>
        </w:rPr>
        <w:t xml:space="preserve">έχει θετικό αντίκτυπο </w:t>
      </w:r>
      <w:r w:rsidR="00BF38A6">
        <w:rPr>
          <w:rFonts w:ascii="Segoe UI" w:hAnsi="Segoe UI" w:cs="Segoe UI"/>
          <w:i/>
          <w:color w:val="0D0D0D" w:themeColor="text1" w:themeTint="F2"/>
          <w:sz w:val="18"/>
          <w:szCs w:val="20"/>
        </w:rPr>
        <w:t>στην</w:t>
      </w:r>
      <w:r w:rsidR="00BF38A6" w:rsidRPr="00BF38A6">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 xml:space="preserve">κεφαλαιακή </w:t>
      </w:r>
      <w:r w:rsidR="00856F0E">
        <w:rPr>
          <w:rFonts w:ascii="Segoe UI" w:hAnsi="Segoe UI" w:cs="Segoe UI"/>
          <w:i/>
          <w:color w:val="0D0D0D" w:themeColor="text1" w:themeTint="F2"/>
          <w:sz w:val="18"/>
          <w:szCs w:val="20"/>
        </w:rPr>
        <w:t>μας θέση</w:t>
      </w:r>
      <w:r w:rsidR="009C3C03" w:rsidRPr="009C3C03">
        <w:rPr>
          <w:rFonts w:ascii="Segoe UI" w:hAnsi="Segoe UI" w:cs="Segoe UI"/>
          <w:i/>
          <w:color w:val="0D0D0D" w:themeColor="text1" w:themeTint="F2"/>
          <w:sz w:val="18"/>
          <w:szCs w:val="20"/>
        </w:rPr>
        <w:t xml:space="preserve">. Όσον αφορά τη δεύτερη συναλλαγή, καταφέραμε να απορροφήσουμε στα </w:t>
      </w:r>
      <w:r w:rsidR="00B721CA">
        <w:rPr>
          <w:rFonts w:ascii="Segoe UI" w:hAnsi="Segoe UI" w:cs="Segoe UI"/>
          <w:i/>
          <w:color w:val="0D0D0D" w:themeColor="text1" w:themeTint="F2"/>
          <w:sz w:val="18"/>
          <w:szCs w:val="20"/>
        </w:rPr>
        <w:t xml:space="preserve">οικονομικά </w:t>
      </w:r>
      <w:r w:rsidR="009C3C03" w:rsidRPr="009C3C03">
        <w:rPr>
          <w:rFonts w:ascii="Segoe UI" w:hAnsi="Segoe UI" w:cs="Segoe UI"/>
          <w:i/>
          <w:color w:val="0D0D0D" w:themeColor="text1" w:themeTint="F2"/>
          <w:sz w:val="18"/>
          <w:szCs w:val="20"/>
        </w:rPr>
        <w:t>αποτελέσματα του 2020 τ</w:t>
      </w:r>
      <w:r w:rsidR="00E60A3D">
        <w:rPr>
          <w:rFonts w:ascii="Segoe UI" w:hAnsi="Segoe UI" w:cs="Segoe UI"/>
          <w:i/>
          <w:color w:val="0D0D0D" w:themeColor="text1" w:themeTint="F2"/>
          <w:sz w:val="18"/>
          <w:szCs w:val="20"/>
        </w:rPr>
        <w:t>ο σύνολο των προβλέψεων</w:t>
      </w:r>
      <w:r w:rsidR="009C3C03" w:rsidRPr="009C3C03">
        <w:rPr>
          <w:rFonts w:ascii="Segoe UI" w:hAnsi="Segoe UI" w:cs="Segoe UI"/>
          <w:i/>
          <w:color w:val="0D0D0D" w:themeColor="text1" w:themeTint="F2"/>
          <w:sz w:val="18"/>
          <w:szCs w:val="20"/>
        </w:rPr>
        <w:t xml:space="preserve"> που απαιτούνταν για την </w:t>
      </w:r>
      <w:r w:rsidR="00B721CA">
        <w:rPr>
          <w:rFonts w:ascii="Segoe UI" w:hAnsi="Segoe UI" w:cs="Segoe UI"/>
          <w:i/>
          <w:color w:val="0D0D0D" w:themeColor="text1" w:themeTint="F2"/>
          <w:sz w:val="18"/>
          <w:szCs w:val="20"/>
        </w:rPr>
        <w:t>ταξινόμηση</w:t>
      </w:r>
      <w:r w:rsidR="009C3C03" w:rsidRPr="009C3C03">
        <w:rPr>
          <w:rFonts w:ascii="Segoe UI" w:hAnsi="Segoe UI" w:cs="Segoe UI"/>
          <w:i/>
          <w:color w:val="0D0D0D" w:themeColor="text1" w:themeTint="F2"/>
          <w:sz w:val="18"/>
          <w:szCs w:val="20"/>
        </w:rPr>
        <w:t xml:space="preserve"> </w:t>
      </w:r>
      <w:r w:rsidR="00B721CA" w:rsidRPr="00B721CA">
        <w:rPr>
          <w:rFonts w:ascii="Segoe UI" w:hAnsi="Segoe UI" w:cs="Segoe UI"/>
          <w:i/>
          <w:color w:val="0D0D0D" w:themeColor="text1" w:themeTint="F2"/>
          <w:sz w:val="18"/>
          <w:szCs w:val="20"/>
        </w:rPr>
        <w:t>του χαρτοφυλακίου Frontier ως περιουσιακό στοιχείο προοριζόμενο προς πώληση</w:t>
      </w:r>
      <w:r w:rsidR="00F11F06">
        <w:rPr>
          <w:rFonts w:ascii="Segoe UI" w:hAnsi="Segoe UI" w:cs="Segoe UI"/>
          <w:i/>
          <w:color w:val="0D0D0D" w:themeColor="text1" w:themeTint="F2"/>
          <w:sz w:val="18"/>
          <w:szCs w:val="20"/>
        </w:rPr>
        <w:t>, χωρίς να προχωρ</w:t>
      </w:r>
      <w:r w:rsidR="0065561A">
        <w:rPr>
          <w:rFonts w:ascii="Segoe UI" w:hAnsi="Segoe UI" w:cs="Segoe UI"/>
          <w:i/>
          <w:color w:val="0D0D0D" w:themeColor="text1" w:themeTint="F2"/>
          <w:sz w:val="18"/>
          <w:szCs w:val="20"/>
        </w:rPr>
        <w:t>ήσουμε σε</w:t>
      </w:r>
      <w:r w:rsidR="00F11F06">
        <w:rPr>
          <w:rFonts w:ascii="Segoe UI" w:hAnsi="Segoe UI" w:cs="Segoe UI"/>
          <w:i/>
          <w:color w:val="0D0D0D" w:themeColor="text1" w:themeTint="F2"/>
          <w:sz w:val="18"/>
          <w:szCs w:val="20"/>
        </w:rPr>
        <w:t xml:space="preserve"> </w:t>
      </w:r>
      <w:r w:rsidR="006400C6" w:rsidRPr="006400C6">
        <w:rPr>
          <w:rFonts w:ascii="Segoe UI" w:hAnsi="Segoe UI" w:cs="Segoe UI"/>
          <w:i/>
          <w:color w:val="0D0D0D" w:themeColor="text1" w:themeTint="F2"/>
          <w:sz w:val="18"/>
          <w:szCs w:val="20"/>
        </w:rPr>
        <w:t xml:space="preserve">απόσχιση του τραπεζικού κλάδου της </w:t>
      </w:r>
      <w:r w:rsidR="006400C6">
        <w:rPr>
          <w:rFonts w:ascii="Segoe UI" w:hAnsi="Segoe UI" w:cs="Segoe UI"/>
          <w:i/>
          <w:color w:val="0D0D0D" w:themeColor="text1" w:themeTint="F2"/>
          <w:sz w:val="18"/>
          <w:szCs w:val="20"/>
        </w:rPr>
        <w:t>ΕΤΕ</w:t>
      </w:r>
      <w:r w:rsidR="006400C6" w:rsidRPr="006400C6">
        <w:rPr>
          <w:rFonts w:ascii="Segoe UI" w:hAnsi="Segoe UI" w:cs="Segoe UI"/>
          <w:i/>
          <w:color w:val="0D0D0D" w:themeColor="text1" w:themeTint="F2"/>
          <w:sz w:val="18"/>
          <w:szCs w:val="20"/>
        </w:rPr>
        <w:t xml:space="preserve"> με σύσταση νέας εταιρείας</w:t>
      </w:r>
      <w:r w:rsidR="00743FC7">
        <w:rPr>
          <w:rFonts w:ascii="Segoe UI" w:hAnsi="Segoe UI" w:cs="Segoe UI"/>
          <w:i/>
          <w:color w:val="0D0D0D" w:themeColor="text1" w:themeTint="F2"/>
          <w:sz w:val="18"/>
          <w:szCs w:val="20"/>
        </w:rPr>
        <w:t xml:space="preserve"> (</w:t>
      </w:r>
      <w:r w:rsidR="00743FC7">
        <w:rPr>
          <w:rFonts w:ascii="Segoe UI" w:hAnsi="Segoe UI" w:cs="Segoe UI"/>
          <w:i/>
          <w:color w:val="0D0D0D" w:themeColor="text1" w:themeTint="F2"/>
          <w:sz w:val="18"/>
          <w:szCs w:val="20"/>
          <w:lang w:val="en-US"/>
        </w:rPr>
        <w:t>hive</w:t>
      </w:r>
      <w:r w:rsidR="00743FC7" w:rsidRPr="00743FC7">
        <w:rPr>
          <w:rFonts w:ascii="Segoe UI" w:hAnsi="Segoe UI" w:cs="Segoe UI"/>
          <w:i/>
          <w:color w:val="0D0D0D" w:themeColor="text1" w:themeTint="F2"/>
          <w:sz w:val="18"/>
          <w:szCs w:val="20"/>
        </w:rPr>
        <w:t xml:space="preserve"> </w:t>
      </w:r>
      <w:r w:rsidR="00743FC7">
        <w:rPr>
          <w:rFonts w:ascii="Segoe UI" w:hAnsi="Segoe UI" w:cs="Segoe UI"/>
          <w:i/>
          <w:color w:val="0D0D0D" w:themeColor="text1" w:themeTint="F2"/>
          <w:sz w:val="18"/>
          <w:szCs w:val="20"/>
          <w:lang w:val="en-US"/>
        </w:rPr>
        <w:t>down</w:t>
      </w:r>
      <w:r w:rsidR="00743FC7" w:rsidRPr="00743FC7">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xml:space="preserve">. </w:t>
      </w:r>
      <w:r w:rsidR="00A23D0B">
        <w:rPr>
          <w:rFonts w:ascii="Segoe UI" w:hAnsi="Segoe UI" w:cs="Segoe UI"/>
          <w:i/>
          <w:color w:val="0D0D0D" w:themeColor="text1" w:themeTint="F2"/>
          <w:sz w:val="18"/>
          <w:szCs w:val="20"/>
        </w:rPr>
        <w:t xml:space="preserve">Στόχος μας είναι </w:t>
      </w:r>
      <w:r w:rsidR="00A23D0B" w:rsidRPr="009C3C03">
        <w:rPr>
          <w:rFonts w:ascii="Segoe UI" w:hAnsi="Segoe UI" w:cs="Segoe UI"/>
          <w:i/>
          <w:color w:val="0D0D0D" w:themeColor="text1" w:themeTint="F2"/>
          <w:sz w:val="18"/>
          <w:szCs w:val="20"/>
        </w:rPr>
        <w:t>να ολοκληρ</w:t>
      </w:r>
      <w:r w:rsidR="00A23D0B">
        <w:rPr>
          <w:rFonts w:ascii="Segoe UI" w:hAnsi="Segoe UI" w:cs="Segoe UI"/>
          <w:i/>
          <w:color w:val="0D0D0D" w:themeColor="text1" w:themeTint="F2"/>
          <w:sz w:val="18"/>
          <w:szCs w:val="20"/>
        </w:rPr>
        <w:t xml:space="preserve">ώσουμε τη συναλλαγή </w:t>
      </w:r>
      <w:r w:rsidR="009C3C03" w:rsidRPr="009C3C03">
        <w:rPr>
          <w:rFonts w:ascii="Segoe UI" w:hAnsi="Segoe UI" w:cs="Segoe UI"/>
          <w:i/>
          <w:color w:val="0D0D0D" w:themeColor="text1" w:themeTint="F2"/>
          <w:sz w:val="18"/>
          <w:szCs w:val="20"/>
        </w:rPr>
        <w:t xml:space="preserve">εντός των επόμενων μηνών. </w:t>
      </w:r>
      <w:r w:rsidR="000D5C5F">
        <w:rPr>
          <w:rFonts w:ascii="Segoe UI" w:hAnsi="Segoe UI" w:cs="Segoe UI"/>
          <w:i/>
          <w:color w:val="0D0D0D" w:themeColor="text1" w:themeTint="F2"/>
          <w:sz w:val="18"/>
          <w:szCs w:val="20"/>
          <w:lang w:val="en-US"/>
        </w:rPr>
        <w:t>To</w:t>
      </w:r>
      <w:r w:rsidR="000D5C5F" w:rsidRPr="000D5C5F">
        <w:rPr>
          <w:rFonts w:ascii="Segoe UI" w:hAnsi="Segoe UI" w:cs="Segoe UI"/>
          <w:i/>
          <w:color w:val="0D0D0D" w:themeColor="text1" w:themeTint="F2"/>
          <w:sz w:val="18"/>
          <w:szCs w:val="20"/>
        </w:rPr>
        <w:t xml:space="preserve"> “</w:t>
      </w:r>
      <w:r w:rsidR="000D5C5F">
        <w:rPr>
          <w:rFonts w:ascii="Segoe UI" w:hAnsi="Segoe UI" w:cs="Segoe UI"/>
          <w:i/>
          <w:color w:val="0D0D0D" w:themeColor="text1" w:themeTint="F2"/>
          <w:sz w:val="18"/>
          <w:szCs w:val="20"/>
          <w:lang w:val="en-US"/>
        </w:rPr>
        <w:t>Project</w:t>
      </w:r>
      <w:r w:rsidR="000D5C5F" w:rsidRPr="000D5C5F">
        <w:rPr>
          <w:rFonts w:ascii="Segoe UI" w:hAnsi="Segoe UI" w:cs="Segoe UI"/>
          <w:i/>
          <w:color w:val="0D0D0D" w:themeColor="text1" w:themeTint="F2"/>
          <w:sz w:val="18"/>
          <w:szCs w:val="20"/>
        </w:rPr>
        <w:t xml:space="preserve"> </w:t>
      </w:r>
      <w:r w:rsidR="0085193A" w:rsidRPr="009C3C03">
        <w:rPr>
          <w:rFonts w:ascii="Segoe UI" w:hAnsi="Segoe UI" w:cs="Segoe UI"/>
          <w:i/>
          <w:color w:val="0D0D0D" w:themeColor="text1" w:themeTint="F2"/>
          <w:sz w:val="18"/>
          <w:szCs w:val="20"/>
        </w:rPr>
        <w:t>Frontier</w:t>
      </w:r>
      <w:r w:rsidR="000D5C5F" w:rsidRPr="000D5C5F">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σε συνδυασμό με τ</w:t>
      </w:r>
      <w:r w:rsidR="00F11F06">
        <w:rPr>
          <w:rFonts w:ascii="Segoe UI" w:hAnsi="Segoe UI" w:cs="Segoe UI"/>
          <w:i/>
          <w:color w:val="0D0D0D" w:themeColor="text1" w:themeTint="F2"/>
          <w:sz w:val="18"/>
          <w:szCs w:val="20"/>
        </w:rPr>
        <w:t xml:space="preserve">ην οργανική μείωση των Μη </w:t>
      </w:r>
      <w:r w:rsidR="00F11F06" w:rsidRPr="00F11F06">
        <w:rPr>
          <w:rFonts w:ascii="Segoe UI" w:hAnsi="Segoe UI" w:cs="Segoe UI"/>
          <w:i/>
          <w:color w:val="0D0D0D" w:themeColor="text1" w:themeTint="F2"/>
          <w:sz w:val="18"/>
          <w:szCs w:val="20"/>
        </w:rPr>
        <w:t xml:space="preserve">Εξυπηρετούμενων Ανοιγμάτων </w:t>
      </w:r>
      <w:r w:rsidR="009C3C03" w:rsidRPr="009C3C03">
        <w:rPr>
          <w:rFonts w:ascii="Segoe UI" w:hAnsi="Segoe UI" w:cs="Segoe UI"/>
          <w:i/>
          <w:color w:val="0D0D0D" w:themeColor="text1" w:themeTint="F2"/>
          <w:sz w:val="18"/>
          <w:szCs w:val="20"/>
        </w:rPr>
        <w:t>καθ</w:t>
      </w:r>
      <w:r w:rsidR="00F11F06">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όλη τη διάρκεια του 2020</w:t>
      </w:r>
      <w:r w:rsidR="00324F7F">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xml:space="preserve"> οδήγησε τον δείκτη </w:t>
      </w:r>
      <w:r w:rsidR="00324F7F" w:rsidRPr="00324F7F">
        <w:rPr>
          <w:rFonts w:ascii="Segoe UI" w:hAnsi="Segoe UI" w:cs="Segoe UI"/>
          <w:i/>
          <w:color w:val="0D0D0D" w:themeColor="text1" w:themeTint="F2"/>
          <w:sz w:val="18"/>
          <w:szCs w:val="20"/>
        </w:rPr>
        <w:t xml:space="preserve">Μη Εξυπηρετούμενων Ανοιγμάτων </w:t>
      </w:r>
      <w:r w:rsidR="009C3C03" w:rsidRPr="009C3C03">
        <w:rPr>
          <w:rFonts w:ascii="Segoe UI" w:hAnsi="Segoe UI" w:cs="Segoe UI"/>
          <w:i/>
          <w:color w:val="0D0D0D" w:themeColor="text1" w:themeTint="F2"/>
          <w:sz w:val="18"/>
          <w:szCs w:val="20"/>
        </w:rPr>
        <w:t xml:space="preserve">σε επίπεδο Ομίλου </w:t>
      </w:r>
      <w:r w:rsidR="00324F7F" w:rsidRPr="009C3C03">
        <w:rPr>
          <w:rFonts w:ascii="Segoe UI" w:hAnsi="Segoe UI" w:cs="Segoe UI"/>
          <w:i/>
          <w:color w:val="0D0D0D" w:themeColor="text1" w:themeTint="F2"/>
          <w:sz w:val="18"/>
          <w:szCs w:val="20"/>
        </w:rPr>
        <w:t>στο 13</w:t>
      </w:r>
      <w:proofErr w:type="gramStart"/>
      <w:r w:rsidR="00324F7F" w:rsidRPr="009C3C03">
        <w:rPr>
          <w:rFonts w:ascii="Segoe UI" w:hAnsi="Segoe UI" w:cs="Segoe UI"/>
          <w:i/>
          <w:color w:val="0D0D0D" w:themeColor="text1" w:themeTint="F2"/>
          <w:sz w:val="18"/>
          <w:szCs w:val="20"/>
        </w:rPr>
        <w:t>,6</w:t>
      </w:r>
      <w:proofErr w:type="gramEnd"/>
      <w:r w:rsidR="00324F7F" w:rsidRPr="009C3C03">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 xml:space="preserve">το Δ’ τρίμηνο 2020 από 31,3% στο τέλος του 2019, με </w:t>
      </w:r>
      <w:r w:rsidR="002647DD">
        <w:rPr>
          <w:rFonts w:ascii="Segoe UI" w:hAnsi="Segoe UI" w:cs="Segoe UI"/>
          <w:i/>
          <w:color w:val="0D0D0D" w:themeColor="text1" w:themeTint="F2"/>
          <w:sz w:val="18"/>
          <w:szCs w:val="20"/>
        </w:rPr>
        <w:t xml:space="preserve">τον δείκτη </w:t>
      </w:r>
      <w:r w:rsidR="002647DD" w:rsidRPr="002647DD">
        <w:rPr>
          <w:rFonts w:ascii="Segoe UI" w:hAnsi="Segoe UI" w:cs="Segoe UI"/>
          <w:i/>
          <w:color w:val="0D0D0D" w:themeColor="text1" w:themeTint="F2"/>
          <w:sz w:val="18"/>
          <w:szCs w:val="20"/>
        </w:rPr>
        <w:t xml:space="preserve">κάλυψης Μη Εξυπηρετούμενων Ανοιγμάτων από σωρευμένες προβλέψεις </w:t>
      </w:r>
      <w:r w:rsidR="002647DD">
        <w:rPr>
          <w:rFonts w:ascii="Segoe UI" w:hAnsi="Segoe UI" w:cs="Segoe UI"/>
          <w:i/>
          <w:color w:val="0D0D0D" w:themeColor="text1" w:themeTint="F2"/>
          <w:sz w:val="18"/>
          <w:szCs w:val="20"/>
        </w:rPr>
        <w:t>να ανέρχεται σ</w:t>
      </w:r>
      <w:r w:rsidR="009C3C03" w:rsidRPr="009C3C03">
        <w:rPr>
          <w:rFonts w:ascii="Segoe UI" w:hAnsi="Segoe UI" w:cs="Segoe UI"/>
          <w:i/>
          <w:color w:val="0D0D0D" w:themeColor="text1" w:themeTint="F2"/>
          <w:sz w:val="18"/>
          <w:szCs w:val="20"/>
        </w:rPr>
        <w:t xml:space="preserve">ε 63,3%. </w:t>
      </w:r>
      <w:r w:rsidR="00BC2CF3">
        <w:rPr>
          <w:rFonts w:ascii="Segoe UI" w:hAnsi="Segoe UI" w:cs="Segoe UI"/>
          <w:i/>
          <w:color w:val="0D0D0D" w:themeColor="text1" w:themeTint="F2"/>
          <w:sz w:val="18"/>
          <w:szCs w:val="20"/>
        </w:rPr>
        <w:t>Σημειώνουμε ότι</w:t>
      </w:r>
      <w:r w:rsidR="00D85966">
        <w:rPr>
          <w:rFonts w:ascii="Segoe UI" w:hAnsi="Segoe UI" w:cs="Segoe UI"/>
          <w:i/>
          <w:color w:val="0D0D0D" w:themeColor="text1" w:themeTint="F2"/>
          <w:sz w:val="18"/>
          <w:szCs w:val="20"/>
        </w:rPr>
        <w:t xml:space="preserve">, </w:t>
      </w:r>
      <w:r w:rsidR="0085175E" w:rsidRPr="009C3C03">
        <w:rPr>
          <w:rFonts w:ascii="Segoe UI" w:hAnsi="Segoe UI" w:cs="Segoe UI"/>
          <w:i/>
          <w:color w:val="0D0D0D" w:themeColor="text1" w:themeTint="F2"/>
          <w:sz w:val="18"/>
          <w:szCs w:val="20"/>
        </w:rPr>
        <w:t>στο τέλος του 2020</w:t>
      </w:r>
      <w:r w:rsidR="0085175E">
        <w:rPr>
          <w:rFonts w:ascii="Segoe UI" w:hAnsi="Segoe UI" w:cs="Segoe UI"/>
          <w:i/>
          <w:color w:val="0D0D0D" w:themeColor="text1" w:themeTint="F2"/>
          <w:sz w:val="18"/>
          <w:szCs w:val="20"/>
        </w:rPr>
        <w:t xml:space="preserve"> </w:t>
      </w:r>
      <w:r w:rsidR="00D85966">
        <w:rPr>
          <w:rFonts w:ascii="Segoe UI" w:hAnsi="Segoe UI" w:cs="Segoe UI"/>
          <w:i/>
          <w:color w:val="0D0D0D" w:themeColor="text1" w:themeTint="F2"/>
          <w:sz w:val="18"/>
          <w:szCs w:val="20"/>
        </w:rPr>
        <w:t>οι</w:t>
      </w:r>
      <w:r w:rsidR="009C3C03" w:rsidRPr="009C3C03">
        <w:rPr>
          <w:rFonts w:ascii="Segoe UI" w:hAnsi="Segoe UI" w:cs="Segoe UI"/>
          <w:i/>
          <w:color w:val="0D0D0D" w:themeColor="text1" w:themeTint="F2"/>
          <w:sz w:val="18"/>
          <w:szCs w:val="20"/>
        </w:rPr>
        <w:t xml:space="preserve"> δείκτ</w:t>
      </w:r>
      <w:r w:rsidR="00D85966">
        <w:rPr>
          <w:rFonts w:ascii="Segoe UI" w:hAnsi="Segoe UI" w:cs="Segoe UI"/>
          <w:i/>
          <w:color w:val="0D0D0D" w:themeColor="text1" w:themeTint="F2"/>
          <w:sz w:val="18"/>
          <w:szCs w:val="20"/>
        </w:rPr>
        <w:t>ες</w:t>
      </w:r>
      <w:r w:rsidR="009C3C03" w:rsidRPr="009C3C03">
        <w:rPr>
          <w:rFonts w:ascii="Segoe UI" w:hAnsi="Segoe UI" w:cs="Segoe UI"/>
          <w:i/>
          <w:color w:val="0D0D0D" w:themeColor="text1" w:themeTint="F2"/>
          <w:sz w:val="18"/>
          <w:szCs w:val="20"/>
        </w:rPr>
        <w:t xml:space="preserve"> CET1 και </w:t>
      </w:r>
      <w:r w:rsidR="00BC2CF3">
        <w:rPr>
          <w:rFonts w:ascii="Segoe UI" w:hAnsi="Segoe UI" w:cs="Segoe UI"/>
          <w:i/>
          <w:color w:val="0D0D0D" w:themeColor="text1" w:themeTint="F2"/>
          <w:sz w:val="18"/>
          <w:szCs w:val="20"/>
        </w:rPr>
        <w:t>Σ</w:t>
      </w:r>
      <w:r w:rsidR="009C3C03" w:rsidRPr="009C3C03">
        <w:rPr>
          <w:rFonts w:ascii="Segoe UI" w:hAnsi="Segoe UI" w:cs="Segoe UI"/>
          <w:i/>
          <w:color w:val="0D0D0D" w:themeColor="text1" w:themeTint="F2"/>
          <w:sz w:val="18"/>
          <w:szCs w:val="20"/>
        </w:rPr>
        <w:t>υνολικ</w:t>
      </w:r>
      <w:r w:rsidR="00D85966">
        <w:rPr>
          <w:rFonts w:ascii="Segoe UI" w:hAnsi="Segoe UI" w:cs="Segoe UI"/>
          <w:i/>
          <w:color w:val="0D0D0D" w:themeColor="text1" w:themeTint="F2"/>
          <w:sz w:val="18"/>
          <w:szCs w:val="20"/>
        </w:rPr>
        <w:t>ής</w:t>
      </w:r>
      <w:r w:rsidR="009C3C03" w:rsidRPr="009C3C03">
        <w:rPr>
          <w:rFonts w:ascii="Segoe UI" w:hAnsi="Segoe UI" w:cs="Segoe UI"/>
          <w:i/>
          <w:color w:val="0D0D0D" w:themeColor="text1" w:themeTint="F2"/>
          <w:sz w:val="18"/>
          <w:szCs w:val="20"/>
        </w:rPr>
        <w:t xml:space="preserve"> </w:t>
      </w:r>
      <w:r w:rsidR="00BC2CF3">
        <w:rPr>
          <w:rFonts w:ascii="Segoe UI" w:hAnsi="Segoe UI" w:cs="Segoe UI"/>
          <w:i/>
          <w:color w:val="0D0D0D" w:themeColor="text1" w:themeTint="F2"/>
          <w:sz w:val="18"/>
          <w:szCs w:val="20"/>
        </w:rPr>
        <w:t>Κ</w:t>
      </w:r>
      <w:r w:rsidR="009C3C03" w:rsidRPr="009C3C03">
        <w:rPr>
          <w:rFonts w:ascii="Segoe UI" w:hAnsi="Segoe UI" w:cs="Segoe UI"/>
          <w:i/>
          <w:color w:val="0D0D0D" w:themeColor="text1" w:themeTint="F2"/>
          <w:sz w:val="18"/>
          <w:szCs w:val="20"/>
        </w:rPr>
        <w:t xml:space="preserve">εφαλαιακής </w:t>
      </w:r>
      <w:r w:rsidR="00BC2CF3">
        <w:rPr>
          <w:rFonts w:ascii="Segoe UI" w:hAnsi="Segoe UI" w:cs="Segoe UI"/>
          <w:i/>
          <w:color w:val="0D0D0D" w:themeColor="text1" w:themeTint="F2"/>
          <w:sz w:val="18"/>
          <w:szCs w:val="20"/>
        </w:rPr>
        <w:t>Ε</w:t>
      </w:r>
      <w:r w:rsidR="009C3C03" w:rsidRPr="009C3C03">
        <w:rPr>
          <w:rFonts w:ascii="Segoe UI" w:hAnsi="Segoe UI" w:cs="Segoe UI"/>
          <w:i/>
          <w:color w:val="0D0D0D" w:themeColor="text1" w:themeTint="F2"/>
          <w:sz w:val="18"/>
          <w:szCs w:val="20"/>
        </w:rPr>
        <w:t xml:space="preserve">πάρκειας </w:t>
      </w:r>
      <w:r w:rsidR="00C30F19">
        <w:rPr>
          <w:rFonts w:ascii="Segoe UI" w:hAnsi="Segoe UI" w:cs="Segoe UI"/>
          <w:i/>
          <w:color w:val="0D0D0D" w:themeColor="text1" w:themeTint="F2"/>
          <w:sz w:val="18"/>
          <w:szCs w:val="20"/>
        </w:rPr>
        <w:t xml:space="preserve">διαμορφώθηκαν σε </w:t>
      </w:r>
      <w:r w:rsidR="00C30F19" w:rsidRPr="009C3C03">
        <w:rPr>
          <w:rFonts w:ascii="Segoe UI" w:hAnsi="Segoe UI" w:cs="Segoe UI"/>
          <w:i/>
          <w:color w:val="0D0D0D" w:themeColor="text1" w:themeTint="F2"/>
          <w:sz w:val="18"/>
          <w:szCs w:val="20"/>
        </w:rPr>
        <w:t>15,7% και 16,7%, αντίστοιχα,</w:t>
      </w:r>
      <w:r w:rsidR="00C30F19">
        <w:rPr>
          <w:rFonts w:ascii="Segoe UI" w:hAnsi="Segoe UI" w:cs="Segoe UI"/>
          <w:i/>
          <w:color w:val="0D0D0D" w:themeColor="text1" w:themeTint="F2"/>
          <w:sz w:val="18"/>
          <w:szCs w:val="20"/>
        </w:rPr>
        <w:t xml:space="preserve"> </w:t>
      </w:r>
      <w:r w:rsidR="009C3C03" w:rsidRPr="009C3C03">
        <w:rPr>
          <w:rFonts w:ascii="Segoe UI" w:hAnsi="Segoe UI" w:cs="Segoe UI"/>
          <w:i/>
          <w:color w:val="0D0D0D" w:themeColor="text1" w:themeTint="F2"/>
          <w:sz w:val="18"/>
          <w:szCs w:val="20"/>
        </w:rPr>
        <w:t xml:space="preserve">ενώ μετά την ολοκλήρωση των δύο συναλλαγών </w:t>
      </w:r>
      <w:r w:rsidR="00817D20">
        <w:rPr>
          <w:rFonts w:ascii="Segoe UI" w:hAnsi="Segoe UI" w:cs="Segoe UI"/>
          <w:i/>
          <w:color w:val="0D0D0D" w:themeColor="text1" w:themeTint="F2"/>
          <w:sz w:val="18"/>
          <w:szCs w:val="20"/>
        </w:rPr>
        <w:t xml:space="preserve">τα κεφάλαια της Τράπεζας </w:t>
      </w:r>
      <w:r w:rsidR="009C3C03" w:rsidRPr="009C3C03">
        <w:rPr>
          <w:rFonts w:ascii="Segoe UI" w:hAnsi="Segoe UI" w:cs="Segoe UI"/>
          <w:i/>
          <w:color w:val="0D0D0D" w:themeColor="text1" w:themeTint="F2"/>
          <w:sz w:val="18"/>
          <w:szCs w:val="20"/>
        </w:rPr>
        <w:t xml:space="preserve">αναμένεται να ενισχυθούν περαιτέρω κατά </w:t>
      </w:r>
      <w:r w:rsidR="00D85966" w:rsidRPr="009C3C03">
        <w:rPr>
          <w:rFonts w:ascii="Segoe UI" w:hAnsi="Segoe UI" w:cs="Segoe UI"/>
          <w:i/>
          <w:color w:val="0D0D0D" w:themeColor="text1" w:themeTint="F2"/>
          <w:sz w:val="18"/>
          <w:szCs w:val="20"/>
        </w:rPr>
        <w:t xml:space="preserve">περίπου </w:t>
      </w:r>
      <w:r w:rsidR="009C3C03" w:rsidRPr="009C3C03">
        <w:rPr>
          <w:rFonts w:ascii="Segoe UI" w:hAnsi="Segoe UI" w:cs="Segoe UI"/>
          <w:i/>
          <w:color w:val="0D0D0D" w:themeColor="text1" w:themeTint="F2"/>
          <w:sz w:val="18"/>
          <w:szCs w:val="20"/>
        </w:rPr>
        <w:t>1</w:t>
      </w:r>
      <w:r w:rsidR="003554C8" w:rsidRPr="003554C8">
        <w:rPr>
          <w:rFonts w:ascii="Segoe UI" w:hAnsi="Segoe UI" w:cs="Segoe UI"/>
          <w:i/>
          <w:color w:val="0D0D0D" w:themeColor="text1" w:themeTint="F2"/>
          <w:sz w:val="18"/>
          <w:szCs w:val="20"/>
        </w:rPr>
        <w:t>7</w:t>
      </w:r>
      <w:r w:rsidR="009C3C03" w:rsidRPr="009C3C03">
        <w:rPr>
          <w:rFonts w:ascii="Segoe UI" w:hAnsi="Segoe UI" w:cs="Segoe UI"/>
          <w:i/>
          <w:color w:val="0D0D0D" w:themeColor="text1" w:themeTint="F2"/>
          <w:sz w:val="18"/>
          <w:szCs w:val="20"/>
        </w:rPr>
        <w:t>0μ</w:t>
      </w:r>
      <w:r w:rsidR="003554C8" w:rsidRPr="003554C8">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β.</w:t>
      </w:r>
    </w:p>
    <w:p w:rsidR="009C3C03" w:rsidRPr="009C3C03" w:rsidRDefault="009C3C03" w:rsidP="009C3C03">
      <w:pPr>
        <w:jc w:val="both"/>
        <w:rPr>
          <w:rFonts w:ascii="Segoe UI" w:hAnsi="Segoe UI" w:cs="Segoe UI"/>
          <w:i/>
          <w:color w:val="0D0D0D" w:themeColor="text1" w:themeTint="F2"/>
          <w:sz w:val="18"/>
          <w:szCs w:val="20"/>
        </w:rPr>
      </w:pPr>
    </w:p>
    <w:p w:rsidR="009C3C03" w:rsidRPr="009C3C03" w:rsidRDefault="009C3C03" w:rsidP="009C3C03">
      <w:pPr>
        <w:jc w:val="both"/>
        <w:rPr>
          <w:rFonts w:ascii="Segoe UI" w:hAnsi="Segoe UI" w:cs="Segoe UI"/>
          <w:i/>
          <w:color w:val="0D0D0D" w:themeColor="text1" w:themeTint="F2"/>
          <w:sz w:val="18"/>
          <w:szCs w:val="20"/>
        </w:rPr>
      </w:pPr>
      <w:r w:rsidRPr="009C3C03">
        <w:rPr>
          <w:rFonts w:ascii="Segoe UI" w:hAnsi="Segoe UI" w:cs="Segoe UI"/>
          <w:i/>
          <w:color w:val="0D0D0D" w:themeColor="text1" w:themeTint="F2"/>
          <w:sz w:val="18"/>
          <w:szCs w:val="20"/>
        </w:rPr>
        <w:t xml:space="preserve">Παρά τη δυσχερή συγκυρία λόγω της πανδημίας του κορωνοϊού, </w:t>
      </w:r>
      <w:r w:rsidR="003C44A0" w:rsidRPr="003C44A0">
        <w:rPr>
          <w:rFonts w:ascii="Segoe UI" w:hAnsi="Segoe UI" w:cs="Segoe UI"/>
          <w:i/>
          <w:color w:val="0D0D0D" w:themeColor="text1" w:themeTint="F2"/>
          <w:sz w:val="18"/>
          <w:szCs w:val="20"/>
        </w:rPr>
        <w:t>κατ</w:t>
      </w:r>
      <w:r w:rsidR="003C44A0">
        <w:rPr>
          <w:rFonts w:ascii="Segoe UI" w:hAnsi="Segoe UI" w:cs="Segoe UI"/>
          <w:i/>
          <w:color w:val="0D0D0D" w:themeColor="text1" w:themeTint="F2"/>
          <w:sz w:val="18"/>
          <w:szCs w:val="20"/>
        </w:rPr>
        <w:t xml:space="preserve">αγράψαμε </w:t>
      </w:r>
      <w:r w:rsidR="003C44A0" w:rsidRPr="003C44A0">
        <w:rPr>
          <w:rFonts w:ascii="Segoe UI" w:hAnsi="Segoe UI" w:cs="Segoe UI"/>
          <w:i/>
          <w:color w:val="0D0D0D" w:themeColor="text1" w:themeTint="F2"/>
          <w:sz w:val="18"/>
          <w:szCs w:val="20"/>
        </w:rPr>
        <w:t xml:space="preserve">ισχυρά </w:t>
      </w:r>
      <w:r w:rsidR="001073E9">
        <w:rPr>
          <w:rFonts w:ascii="Segoe UI" w:hAnsi="Segoe UI" w:cs="Segoe UI"/>
          <w:i/>
          <w:color w:val="0D0D0D" w:themeColor="text1" w:themeTint="F2"/>
          <w:sz w:val="18"/>
          <w:szCs w:val="20"/>
        </w:rPr>
        <w:t xml:space="preserve">οικονομικά </w:t>
      </w:r>
      <w:r w:rsidR="003C44A0" w:rsidRPr="003C44A0">
        <w:rPr>
          <w:rFonts w:ascii="Segoe UI" w:hAnsi="Segoe UI" w:cs="Segoe UI"/>
          <w:i/>
          <w:color w:val="0D0D0D" w:themeColor="text1" w:themeTint="F2"/>
          <w:sz w:val="18"/>
          <w:szCs w:val="20"/>
        </w:rPr>
        <w:t>αποτελέσματα για το 2020</w:t>
      </w:r>
      <w:r w:rsidRPr="009C3C03">
        <w:rPr>
          <w:rFonts w:ascii="Segoe UI" w:hAnsi="Segoe UI" w:cs="Segoe UI"/>
          <w:i/>
          <w:color w:val="0D0D0D" w:themeColor="text1" w:themeTint="F2"/>
          <w:sz w:val="18"/>
          <w:szCs w:val="20"/>
        </w:rPr>
        <w:t>. Σε λειτουργικό επίπεδο</w:t>
      </w:r>
      <w:r w:rsidR="006B4AA2">
        <w:rPr>
          <w:rFonts w:ascii="Segoe UI" w:hAnsi="Segoe UI" w:cs="Segoe UI"/>
          <w:i/>
          <w:color w:val="0D0D0D" w:themeColor="text1" w:themeTint="F2"/>
          <w:sz w:val="18"/>
          <w:szCs w:val="20"/>
        </w:rPr>
        <w:t xml:space="preserve">, εξαιρουμένων </w:t>
      </w:r>
      <w:r w:rsidRPr="009C3C03">
        <w:rPr>
          <w:rFonts w:ascii="Segoe UI" w:hAnsi="Segoe UI" w:cs="Segoe UI"/>
          <w:i/>
          <w:color w:val="0D0D0D" w:themeColor="text1" w:themeTint="F2"/>
          <w:sz w:val="18"/>
          <w:szCs w:val="20"/>
        </w:rPr>
        <w:t xml:space="preserve">των κερδών από χρηματοοικονομικές πράξεις και των μη επαναλαμβανόμενων προβλέψεων σχετιζόμενων με την πανδημία του κορωνοϊού και </w:t>
      </w:r>
      <w:r w:rsidR="006B4AA2">
        <w:rPr>
          <w:rFonts w:ascii="Segoe UI" w:hAnsi="Segoe UI" w:cs="Segoe UI"/>
          <w:i/>
          <w:color w:val="0D0D0D" w:themeColor="text1" w:themeTint="F2"/>
          <w:sz w:val="18"/>
          <w:szCs w:val="20"/>
        </w:rPr>
        <w:t>τη</w:t>
      </w:r>
      <w:r w:rsidRPr="009C3C03">
        <w:rPr>
          <w:rFonts w:ascii="Segoe UI" w:hAnsi="Segoe UI" w:cs="Segoe UI"/>
          <w:i/>
          <w:color w:val="0D0D0D" w:themeColor="text1" w:themeTint="F2"/>
          <w:sz w:val="18"/>
          <w:szCs w:val="20"/>
        </w:rPr>
        <w:t xml:space="preserve"> </w:t>
      </w:r>
      <w:r w:rsidR="006B4AA2">
        <w:rPr>
          <w:rFonts w:ascii="Segoe UI" w:hAnsi="Segoe UI" w:cs="Segoe UI"/>
          <w:i/>
          <w:color w:val="0D0D0D" w:themeColor="text1" w:themeTint="F2"/>
          <w:sz w:val="18"/>
          <w:szCs w:val="20"/>
        </w:rPr>
        <w:t>συναλλαγή</w:t>
      </w:r>
      <w:r w:rsidRPr="009C3C03">
        <w:rPr>
          <w:rFonts w:ascii="Segoe UI" w:hAnsi="Segoe UI" w:cs="Segoe UI"/>
          <w:i/>
          <w:color w:val="0D0D0D" w:themeColor="text1" w:themeTint="F2"/>
          <w:sz w:val="18"/>
          <w:szCs w:val="20"/>
        </w:rPr>
        <w:t xml:space="preserve"> Frontier, τα οργανικά κέρδη αυξήθηκαν κατά 41% σε ετήσια βάση στα €328 εκατ., αποτυπώνοντας την ανθεκτικότητα των οργανικών εσόδων και τη δραστική </w:t>
      </w:r>
      <w:r w:rsidR="00F17D9F">
        <w:rPr>
          <w:rFonts w:ascii="Segoe UI" w:hAnsi="Segoe UI" w:cs="Segoe UI"/>
          <w:i/>
          <w:color w:val="0D0D0D" w:themeColor="text1" w:themeTint="F2"/>
          <w:sz w:val="18"/>
          <w:szCs w:val="20"/>
        </w:rPr>
        <w:t>περιστολή</w:t>
      </w:r>
      <w:r w:rsidRPr="009C3C03">
        <w:rPr>
          <w:rFonts w:ascii="Segoe UI" w:hAnsi="Segoe UI" w:cs="Segoe UI"/>
          <w:i/>
          <w:color w:val="0D0D0D" w:themeColor="text1" w:themeTint="F2"/>
          <w:sz w:val="18"/>
          <w:szCs w:val="20"/>
        </w:rPr>
        <w:t xml:space="preserve"> </w:t>
      </w:r>
      <w:r w:rsidR="00066A02">
        <w:rPr>
          <w:rFonts w:ascii="Segoe UI" w:hAnsi="Segoe UI" w:cs="Segoe UI"/>
          <w:i/>
          <w:color w:val="0D0D0D" w:themeColor="text1" w:themeTint="F2"/>
          <w:sz w:val="18"/>
          <w:szCs w:val="20"/>
        </w:rPr>
        <w:t>των λειτουργικών δαπανών</w:t>
      </w:r>
      <w:r w:rsidR="001073E9">
        <w:rPr>
          <w:rFonts w:ascii="Segoe UI" w:hAnsi="Segoe UI" w:cs="Segoe UI"/>
          <w:i/>
          <w:color w:val="0D0D0D" w:themeColor="text1" w:themeTint="F2"/>
          <w:sz w:val="18"/>
          <w:szCs w:val="20"/>
        </w:rPr>
        <w:t>, η οποία</w:t>
      </w:r>
      <w:r w:rsidRPr="009C3C03">
        <w:rPr>
          <w:rFonts w:ascii="Segoe UI" w:hAnsi="Segoe UI" w:cs="Segoe UI"/>
          <w:i/>
          <w:color w:val="0D0D0D" w:themeColor="text1" w:themeTint="F2"/>
          <w:sz w:val="18"/>
          <w:szCs w:val="20"/>
        </w:rPr>
        <w:t xml:space="preserve"> </w:t>
      </w:r>
      <w:r w:rsidR="00F04DE6">
        <w:rPr>
          <w:rFonts w:ascii="Segoe UI" w:hAnsi="Segoe UI" w:cs="Segoe UI"/>
          <w:i/>
          <w:color w:val="0D0D0D" w:themeColor="text1" w:themeTint="F2"/>
          <w:sz w:val="18"/>
          <w:szCs w:val="20"/>
        </w:rPr>
        <w:t>απέφερε</w:t>
      </w:r>
      <w:r w:rsidRPr="009C3C03">
        <w:rPr>
          <w:rFonts w:ascii="Segoe UI" w:hAnsi="Segoe UI" w:cs="Segoe UI"/>
          <w:i/>
          <w:color w:val="0D0D0D" w:themeColor="text1" w:themeTint="F2"/>
          <w:sz w:val="18"/>
          <w:szCs w:val="20"/>
        </w:rPr>
        <w:t xml:space="preserve"> ετήσια εξοικονόμηση κόστους </w:t>
      </w:r>
      <w:r w:rsidR="00960726">
        <w:rPr>
          <w:rFonts w:ascii="Segoe UI" w:hAnsi="Segoe UI" w:cs="Segoe UI"/>
          <w:i/>
          <w:color w:val="0D0D0D" w:themeColor="text1" w:themeTint="F2"/>
          <w:sz w:val="18"/>
          <w:szCs w:val="20"/>
        </w:rPr>
        <w:t xml:space="preserve">περίπου </w:t>
      </w:r>
      <w:r w:rsidRPr="009C3C03">
        <w:rPr>
          <w:rFonts w:ascii="Segoe UI" w:hAnsi="Segoe UI" w:cs="Segoe UI"/>
          <w:i/>
          <w:color w:val="0D0D0D" w:themeColor="text1" w:themeTint="F2"/>
          <w:sz w:val="18"/>
          <w:szCs w:val="20"/>
        </w:rPr>
        <w:t xml:space="preserve">€150 εκατ. κατά την τελευταία διετία. </w:t>
      </w:r>
      <w:r w:rsidR="008A20BE">
        <w:rPr>
          <w:rFonts w:ascii="Segoe UI" w:hAnsi="Segoe UI" w:cs="Segoe UI"/>
          <w:i/>
          <w:color w:val="0D0D0D" w:themeColor="text1" w:themeTint="F2"/>
          <w:sz w:val="18"/>
          <w:szCs w:val="20"/>
        </w:rPr>
        <w:t>Τ</w:t>
      </w:r>
      <w:r w:rsidRPr="009C3C03">
        <w:rPr>
          <w:rFonts w:ascii="Segoe UI" w:hAnsi="Segoe UI" w:cs="Segoe UI"/>
          <w:i/>
          <w:color w:val="0D0D0D" w:themeColor="text1" w:themeTint="F2"/>
          <w:sz w:val="18"/>
          <w:szCs w:val="20"/>
        </w:rPr>
        <w:t>α κέρδη μετά από φόρους από συνεχιζόμενες δραστηριότητες ανήλθαν σε €591 εκατ., σημειώνοντας αύξηση κατά 26%</w:t>
      </w:r>
      <w:r w:rsidR="008A20BE">
        <w:rPr>
          <w:rFonts w:ascii="Segoe UI" w:hAnsi="Segoe UI" w:cs="Segoe UI"/>
          <w:i/>
          <w:color w:val="0D0D0D" w:themeColor="text1" w:themeTint="F2"/>
          <w:sz w:val="18"/>
          <w:szCs w:val="20"/>
        </w:rPr>
        <w:t xml:space="preserve"> σε ετήσια βάση,</w:t>
      </w:r>
      <w:r w:rsidRPr="009C3C03">
        <w:rPr>
          <w:rFonts w:ascii="Segoe UI" w:hAnsi="Segoe UI" w:cs="Segoe UI"/>
          <w:i/>
          <w:color w:val="0D0D0D" w:themeColor="text1" w:themeTint="F2"/>
          <w:sz w:val="18"/>
          <w:szCs w:val="20"/>
        </w:rPr>
        <w:t xml:space="preserve"> καθώς τα κέρδη από χρηματοοικονομικές πράξεις </w:t>
      </w:r>
      <w:r w:rsidR="006905A5">
        <w:rPr>
          <w:rFonts w:ascii="Segoe UI" w:hAnsi="Segoe UI" w:cs="Segoe UI"/>
          <w:i/>
          <w:color w:val="0D0D0D" w:themeColor="text1" w:themeTint="F2"/>
          <w:sz w:val="18"/>
          <w:szCs w:val="20"/>
        </w:rPr>
        <w:t xml:space="preserve">και λοιπά έσοδα </w:t>
      </w:r>
      <w:r w:rsidRPr="009C3C03">
        <w:rPr>
          <w:rFonts w:ascii="Segoe UI" w:hAnsi="Segoe UI" w:cs="Segoe UI"/>
          <w:i/>
          <w:color w:val="0D0D0D" w:themeColor="text1" w:themeTint="F2"/>
          <w:sz w:val="18"/>
          <w:szCs w:val="20"/>
        </w:rPr>
        <w:t xml:space="preserve">ύψους €1,1 δισ. απορρόφησαν πλήρως τις </w:t>
      </w:r>
      <w:r w:rsidR="008A20BE">
        <w:rPr>
          <w:rFonts w:ascii="Segoe UI" w:hAnsi="Segoe UI" w:cs="Segoe UI"/>
          <w:i/>
          <w:color w:val="0D0D0D" w:themeColor="text1" w:themeTint="F2"/>
          <w:sz w:val="18"/>
          <w:szCs w:val="20"/>
        </w:rPr>
        <w:t xml:space="preserve">πρόσθετες </w:t>
      </w:r>
      <w:r w:rsidRPr="009C3C03">
        <w:rPr>
          <w:rFonts w:ascii="Segoe UI" w:hAnsi="Segoe UI" w:cs="Segoe UI"/>
          <w:i/>
          <w:color w:val="0D0D0D" w:themeColor="text1" w:themeTint="F2"/>
          <w:sz w:val="18"/>
          <w:szCs w:val="20"/>
        </w:rPr>
        <w:t xml:space="preserve">προβλέψεις για </w:t>
      </w:r>
      <w:r w:rsidR="008A20BE">
        <w:rPr>
          <w:rFonts w:ascii="Segoe UI" w:hAnsi="Segoe UI" w:cs="Segoe UI"/>
          <w:i/>
          <w:color w:val="0D0D0D" w:themeColor="text1" w:themeTint="F2"/>
          <w:sz w:val="18"/>
          <w:szCs w:val="20"/>
        </w:rPr>
        <w:t xml:space="preserve">τον κορωνοϊό και την τιτλοποίηση </w:t>
      </w:r>
      <w:r w:rsidR="008A20BE" w:rsidRPr="009C3C03">
        <w:rPr>
          <w:rFonts w:ascii="Segoe UI" w:hAnsi="Segoe UI" w:cs="Segoe UI"/>
          <w:i/>
          <w:color w:val="0D0D0D" w:themeColor="text1" w:themeTint="F2"/>
          <w:sz w:val="18"/>
          <w:szCs w:val="20"/>
        </w:rPr>
        <w:t>Frontier</w:t>
      </w:r>
      <w:r w:rsidR="008A20BE">
        <w:rPr>
          <w:rFonts w:ascii="Segoe UI" w:hAnsi="Segoe UI" w:cs="Segoe UI"/>
          <w:i/>
          <w:color w:val="0D0D0D" w:themeColor="text1" w:themeTint="F2"/>
          <w:sz w:val="18"/>
          <w:szCs w:val="20"/>
        </w:rPr>
        <w:t xml:space="preserve"> συνολικού</w:t>
      </w:r>
      <w:r w:rsidRPr="009C3C03">
        <w:rPr>
          <w:rFonts w:ascii="Segoe UI" w:hAnsi="Segoe UI" w:cs="Segoe UI"/>
          <w:i/>
          <w:color w:val="0D0D0D" w:themeColor="text1" w:themeTint="F2"/>
          <w:sz w:val="18"/>
          <w:szCs w:val="20"/>
        </w:rPr>
        <w:t xml:space="preserve"> ύψους €0,8 δισ. </w:t>
      </w:r>
      <w:r w:rsidR="007F0427" w:rsidRPr="007F0427">
        <w:rPr>
          <w:rFonts w:ascii="Segoe UI" w:hAnsi="Segoe UI" w:cs="Segoe UI"/>
          <w:i/>
          <w:color w:val="0D0D0D" w:themeColor="text1" w:themeTint="F2"/>
          <w:sz w:val="18"/>
          <w:szCs w:val="20"/>
        </w:rPr>
        <w:t>Η ταχέως βελτι</w:t>
      </w:r>
      <w:r w:rsidR="007F0427">
        <w:rPr>
          <w:rFonts w:ascii="Segoe UI" w:hAnsi="Segoe UI" w:cs="Segoe UI"/>
          <w:i/>
          <w:color w:val="0D0D0D" w:themeColor="text1" w:themeTint="F2"/>
          <w:sz w:val="18"/>
          <w:szCs w:val="20"/>
        </w:rPr>
        <w:t xml:space="preserve">ούμενη </w:t>
      </w:r>
      <w:r w:rsidR="007F0427" w:rsidRPr="007F0427">
        <w:rPr>
          <w:rFonts w:ascii="Segoe UI" w:hAnsi="Segoe UI" w:cs="Segoe UI"/>
          <w:i/>
          <w:color w:val="0D0D0D" w:themeColor="text1" w:themeTint="F2"/>
          <w:sz w:val="18"/>
          <w:szCs w:val="20"/>
        </w:rPr>
        <w:t xml:space="preserve">κερδοφορία </w:t>
      </w:r>
      <w:r w:rsidR="007F0427">
        <w:rPr>
          <w:rFonts w:ascii="Segoe UI" w:hAnsi="Segoe UI" w:cs="Segoe UI"/>
          <w:i/>
          <w:color w:val="0D0D0D" w:themeColor="text1" w:themeTint="F2"/>
          <w:sz w:val="18"/>
          <w:szCs w:val="20"/>
        </w:rPr>
        <w:t>καταδεικνύει</w:t>
      </w:r>
      <w:r w:rsidR="007F0427" w:rsidRPr="007F0427">
        <w:rPr>
          <w:rFonts w:ascii="Segoe UI" w:hAnsi="Segoe UI" w:cs="Segoe UI"/>
          <w:i/>
          <w:color w:val="0D0D0D" w:themeColor="text1" w:themeTint="F2"/>
          <w:sz w:val="18"/>
          <w:szCs w:val="20"/>
        </w:rPr>
        <w:t xml:space="preserve"> </w:t>
      </w:r>
      <w:r w:rsidR="007F0427" w:rsidRPr="009C3C03">
        <w:rPr>
          <w:rFonts w:ascii="Segoe UI" w:hAnsi="Segoe UI" w:cs="Segoe UI"/>
          <w:i/>
          <w:color w:val="0D0D0D" w:themeColor="text1" w:themeTint="F2"/>
          <w:sz w:val="18"/>
          <w:szCs w:val="20"/>
        </w:rPr>
        <w:t>τ</w:t>
      </w:r>
      <w:r w:rsidR="000B3DDF">
        <w:rPr>
          <w:rFonts w:ascii="Segoe UI" w:hAnsi="Segoe UI" w:cs="Segoe UI"/>
          <w:i/>
          <w:color w:val="0D0D0D" w:themeColor="text1" w:themeTint="F2"/>
          <w:sz w:val="18"/>
          <w:szCs w:val="20"/>
        </w:rPr>
        <w:t>η</w:t>
      </w:r>
      <w:r w:rsidR="007F0427" w:rsidRPr="009C3C03">
        <w:rPr>
          <w:rFonts w:ascii="Segoe UI" w:hAnsi="Segoe UI" w:cs="Segoe UI"/>
          <w:i/>
          <w:color w:val="0D0D0D" w:themeColor="text1" w:themeTint="F2"/>
          <w:sz w:val="18"/>
          <w:szCs w:val="20"/>
        </w:rPr>
        <w:t xml:space="preserve"> δυναμικ</w:t>
      </w:r>
      <w:r w:rsidR="000B3DDF">
        <w:rPr>
          <w:rFonts w:ascii="Segoe UI" w:hAnsi="Segoe UI" w:cs="Segoe UI"/>
          <w:i/>
          <w:color w:val="0D0D0D" w:themeColor="text1" w:themeTint="F2"/>
          <w:sz w:val="18"/>
          <w:szCs w:val="20"/>
        </w:rPr>
        <w:t>ή ανάκαμψης της ΕΤΕ</w:t>
      </w:r>
      <w:r w:rsidR="000B3DDF" w:rsidRPr="000B3DDF">
        <w:rPr>
          <w:rFonts w:ascii="Segoe UI" w:hAnsi="Segoe UI" w:cs="Segoe UI"/>
          <w:i/>
          <w:color w:val="0D0D0D" w:themeColor="text1" w:themeTint="F2"/>
          <w:sz w:val="18"/>
          <w:szCs w:val="20"/>
        </w:rPr>
        <w:t xml:space="preserve"> </w:t>
      </w:r>
      <w:r w:rsidR="000B3DDF" w:rsidRPr="009C3C03">
        <w:rPr>
          <w:rFonts w:ascii="Segoe UI" w:hAnsi="Segoe UI" w:cs="Segoe UI"/>
          <w:i/>
          <w:color w:val="0D0D0D" w:themeColor="text1" w:themeTint="F2"/>
          <w:sz w:val="18"/>
          <w:szCs w:val="20"/>
        </w:rPr>
        <w:t xml:space="preserve">που προέρχεται από τον ισχυρό ισολογισμό </w:t>
      </w:r>
      <w:r w:rsidR="000B3DDF">
        <w:rPr>
          <w:rFonts w:ascii="Segoe UI" w:hAnsi="Segoe UI" w:cs="Segoe UI"/>
          <w:i/>
          <w:color w:val="0D0D0D" w:themeColor="text1" w:themeTint="F2"/>
          <w:sz w:val="18"/>
          <w:szCs w:val="20"/>
        </w:rPr>
        <w:t>μας, καθώς και τ</w:t>
      </w:r>
      <w:r w:rsidR="000B3DDF" w:rsidRPr="007F0427">
        <w:rPr>
          <w:rFonts w:ascii="Segoe UI" w:hAnsi="Segoe UI" w:cs="Segoe UI"/>
          <w:i/>
          <w:color w:val="0D0D0D" w:themeColor="text1" w:themeTint="F2"/>
          <w:sz w:val="18"/>
          <w:szCs w:val="20"/>
        </w:rPr>
        <w:t xml:space="preserve">η δέσμευση και </w:t>
      </w:r>
      <w:r w:rsidR="000B3DDF">
        <w:rPr>
          <w:rFonts w:ascii="Segoe UI" w:hAnsi="Segoe UI" w:cs="Segoe UI"/>
          <w:i/>
          <w:color w:val="0D0D0D" w:themeColor="text1" w:themeTint="F2"/>
          <w:sz w:val="18"/>
          <w:szCs w:val="20"/>
        </w:rPr>
        <w:t xml:space="preserve">προσήλωση </w:t>
      </w:r>
      <w:r w:rsidR="007F0427" w:rsidRPr="009C3C03">
        <w:rPr>
          <w:rFonts w:ascii="Segoe UI" w:hAnsi="Segoe UI" w:cs="Segoe UI"/>
          <w:i/>
          <w:color w:val="0D0D0D" w:themeColor="text1" w:themeTint="F2"/>
          <w:sz w:val="18"/>
          <w:szCs w:val="20"/>
        </w:rPr>
        <w:t xml:space="preserve">των ανθρώπων </w:t>
      </w:r>
      <w:r w:rsidR="0053065F">
        <w:rPr>
          <w:rFonts w:ascii="Segoe UI" w:hAnsi="Segoe UI" w:cs="Segoe UI"/>
          <w:i/>
          <w:color w:val="0D0D0D" w:themeColor="text1" w:themeTint="F2"/>
          <w:sz w:val="18"/>
          <w:szCs w:val="20"/>
        </w:rPr>
        <w:t>μας στην επίτευξη των στόχων της Τράπεζας</w:t>
      </w:r>
      <w:r w:rsidR="007F0427" w:rsidRPr="009C3C03">
        <w:rPr>
          <w:rFonts w:ascii="Segoe UI" w:hAnsi="Segoe UI" w:cs="Segoe UI"/>
          <w:i/>
          <w:color w:val="0D0D0D" w:themeColor="text1" w:themeTint="F2"/>
          <w:sz w:val="18"/>
          <w:szCs w:val="20"/>
        </w:rPr>
        <w:t xml:space="preserve">, </w:t>
      </w:r>
      <w:r w:rsidR="0081543D">
        <w:rPr>
          <w:rFonts w:ascii="Segoe UI" w:hAnsi="Segoe UI" w:cs="Segoe UI"/>
          <w:i/>
          <w:color w:val="0D0D0D" w:themeColor="text1" w:themeTint="F2"/>
          <w:sz w:val="18"/>
          <w:szCs w:val="20"/>
        </w:rPr>
        <w:t>με</w:t>
      </w:r>
      <w:r w:rsidR="007F0427" w:rsidRPr="009C3C03">
        <w:rPr>
          <w:rFonts w:ascii="Segoe UI" w:hAnsi="Segoe UI" w:cs="Segoe UI"/>
          <w:i/>
          <w:color w:val="0D0D0D" w:themeColor="text1" w:themeTint="F2"/>
          <w:sz w:val="18"/>
          <w:szCs w:val="20"/>
        </w:rPr>
        <w:t xml:space="preserve"> </w:t>
      </w:r>
      <w:r w:rsidR="0081543D">
        <w:rPr>
          <w:rFonts w:ascii="Segoe UI" w:hAnsi="Segoe UI" w:cs="Segoe UI"/>
          <w:i/>
          <w:color w:val="0D0D0D" w:themeColor="text1" w:themeTint="F2"/>
          <w:sz w:val="18"/>
          <w:szCs w:val="20"/>
        </w:rPr>
        <w:t xml:space="preserve">ολοένα και πιο ενεργή </w:t>
      </w:r>
      <w:r w:rsidR="007F0427" w:rsidRPr="009C3C03">
        <w:rPr>
          <w:rFonts w:ascii="Segoe UI" w:hAnsi="Segoe UI" w:cs="Segoe UI"/>
          <w:i/>
          <w:color w:val="0D0D0D" w:themeColor="text1" w:themeTint="F2"/>
          <w:sz w:val="18"/>
          <w:szCs w:val="20"/>
        </w:rPr>
        <w:t>συμμετ</w:t>
      </w:r>
      <w:r w:rsidR="0081543D">
        <w:rPr>
          <w:rFonts w:ascii="Segoe UI" w:hAnsi="Segoe UI" w:cs="Segoe UI"/>
          <w:i/>
          <w:color w:val="0D0D0D" w:themeColor="text1" w:themeTint="F2"/>
          <w:sz w:val="18"/>
          <w:szCs w:val="20"/>
        </w:rPr>
        <w:t>οχή</w:t>
      </w:r>
      <w:r w:rsidR="002326C0">
        <w:rPr>
          <w:rFonts w:ascii="Segoe UI" w:hAnsi="Segoe UI" w:cs="Segoe UI"/>
          <w:i/>
          <w:color w:val="0D0D0D" w:themeColor="text1" w:themeTint="F2"/>
          <w:sz w:val="18"/>
          <w:szCs w:val="20"/>
        </w:rPr>
        <w:t xml:space="preserve"> στον </w:t>
      </w:r>
      <w:r w:rsidR="007F0427" w:rsidRPr="009C3C03">
        <w:rPr>
          <w:rFonts w:ascii="Segoe UI" w:hAnsi="Segoe UI" w:cs="Segoe UI"/>
          <w:i/>
          <w:color w:val="0D0D0D" w:themeColor="text1" w:themeTint="F2"/>
          <w:sz w:val="18"/>
          <w:szCs w:val="20"/>
        </w:rPr>
        <w:t>μετασχηματισμ</w:t>
      </w:r>
      <w:r w:rsidR="002471DE">
        <w:rPr>
          <w:rFonts w:ascii="Segoe UI" w:hAnsi="Segoe UI" w:cs="Segoe UI"/>
          <w:i/>
          <w:color w:val="0D0D0D" w:themeColor="text1" w:themeTint="F2"/>
          <w:sz w:val="18"/>
          <w:szCs w:val="20"/>
        </w:rPr>
        <w:t>ό</w:t>
      </w:r>
      <w:r w:rsidR="007F0427" w:rsidRPr="009C3C03">
        <w:rPr>
          <w:rFonts w:ascii="Segoe UI" w:hAnsi="Segoe UI" w:cs="Segoe UI"/>
          <w:i/>
          <w:color w:val="0D0D0D" w:themeColor="text1" w:themeTint="F2"/>
          <w:sz w:val="18"/>
          <w:szCs w:val="20"/>
        </w:rPr>
        <w:t xml:space="preserve"> της </w:t>
      </w:r>
      <w:r w:rsidR="0034516B">
        <w:rPr>
          <w:rFonts w:ascii="Segoe UI" w:hAnsi="Segoe UI" w:cs="Segoe UI"/>
          <w:i/>
          <w:color w:val="0D0D0D" w:themeColor="text1" w:themeTint="F2"/>
          <w:sz w:val="18"/>
          <w:szCs w:val="20"/>
        </w:rPr>
        <w:t>ΕΤΕ</w:t>
      </w:r>
      <w:r w:rsidR="002326C0" w:rsidRPr="009C3C03">
        <w:rPr>
          <w:rFonts w:ascii="Segoe UI" w:hAnsi="Segoe UI" w:cs="Segoe UI"/>
          <w:i/>
          <w:color w:val="0D0D0D" w:themeColor="text1" w:themeTint="F2"/>
          <w:sz w:val="18"/>
          <w:szCs w:val="20"/>
        </w:rPr>
        <w:t>.</w:t>
      </w:r>
      <w:r w:rsidR="007F0427" w:rsidRPr="007F0427">
        <w:rPr>
          <w:rFonts w:ascii="Segoe UI" w:hAnsi="Segoe UI" w:cs="Segoe UI"/>
          <w:i/>
          <w:color w:val="0D0D0D" w:themeColor="text1" w:themeTint="F2"/>
          <w:sz w:val="18"/>
          <w:szCs w:val="20"/>
        </w:rPr>
        <w:t xml:space="preserve"> Είναι αυτονόητο</w:t>
      </w:r>
      <w:r w:rsidR="00E3380A">
        <w:rPr>
          <w:rFonts w:ascii="Segoe UI" w:hAnsi="Segoe UI" w:cs="Segoe UI"/>
          <w:i/>
          <w:color w:val="0D0D0D" w:themeColor="text1" w:themeTint="F2"/>
          <w:sz w:val="18"/>
          <w:szCs w:val="20"/>
        </w:rPr>
        <w:t xml:space="preserve"> ότι</w:t>
      </w:r>
      <w:r w:rsidR="00F44247">
        <w:rPr>
          <w:rFonts w:ascii="Segoe UI" w:hAnsi="Segoe UI" w:cs="Segoe UI"/>
          <w:i/>
          <w:color w:val="0D0D0D" w:themeColor="text1" w:themeTint="F2"/>
          <w:sz w:val="18"/>
          <w:szCs w:val="20"/>
        </w:rPr>
        <w:t>,</w:t>
      </w:r>
      <w:r w:rsidR="00E3380A">
        <w:rPr>
          <w:rFonts w:ascii="Segoe UI" w:hAnsi="Segoe UI" w:cs="Segoe UI"/>
          <w:i/>
          <w:color w:val="0D0D0D" w:themeColor="text1" w:themeTint="F2"/>
          <w:sz w:val="18"/>
          <w:szCs w:val="20"/>
        </w:rPr>
        <w:t xml:space="preserve"> το Διοικητικό Συμβούλιο, τα ανώτατα διοικητικά στελέχη </w:t>
      </w:r>
      <w:r w:rsidR="007F0427" w:rsidRPr="007F0427">
        <w:rPr>
          <w:rFonts w:ascii="Segoe UI" w:hAnsi="Segoe UI" w:cs="Segoe UI"/>
          <w:i/>
          <w:color w:val="0D0D0D" w:themeColor="text1" w:themeTint="F2"/>
          <w:sz w:val="18"/>
          <w:szCs w:val="20"/>
        </w:rPr>
        <w:t>και εγώ προσωπικά ευχαριστώ όλους στην Εθνική Τράπεζα για τη</w:t>
      </w:r>
      <w:r w:rsidR="004674AA">
        <w:rPr>
          <w:rFonts w:ascii="Segoe UI" w:hAnsi="Segoe UI" w:cs="Segoe UI"/>
          <w:i/>
          <w:color w:val="0D0D0D" w:themeColor="text1" w:themeTint="F2"/>
          <w:sz w:val="18"/>
          <w:szCs w:val="20"/>
        </w:rPr>
        <w:t>ν αφοσίωσή τους</w:t>
      </w:r>
      <w:r w:rsidR="007F0427" w:rsidRPr="007F0427">
        <w:rPr>
          <w:rFonts w:ascii="Segoe UI" w:hAnsi="Segoe UI" w:cs="Segoe UI"/>
          <w:i/>
          <w:color w:val="0D0D0D" w:themeColor="text1" w:themeTint="F2"/>
          <w:sz w:val="18"/>
          <w:szCs w:val="20"/>
        </w:rPr>
        <w:t xml:space="preserve">, ειδικά υπό </w:t>
      </w:r>
      <w:r w:rsidR="002326C0">
        <w:rPr>
          <w:rFonts w:ascii="Segoe UI" w:hAnsi="Segoe UI" w:cs="Segoe UI"/>
          <w:i/>
          <w:color w:val="0D0D0D" w:themeColor="text1" w:themeTint="F2"/>
          <w:sz w:val="18"/>
          <w:szCs w:val="20"/>
        </w:rPr>
        <w:t xml:space="preserve">αυτές τις </w:t>
      </w:r>
      <w:r w:rsidR="007F0427" w:rsidRPr="007F0427">
        <w:rPr>
          <w:rFonts w:ascii="Segoe UI" w:hAnsi="Segoe UI" w:cs="Segoe UI"/>
          <w:i/>
          <w:color w:val="0D0D0D" w:themeColor="text1" w:themeTint="F2"/>
          <w:sz w:val="18"/>
          <w:szCs w:val="20"/>
        </w:rPr>
        <w:t>δύσκολες συνθήκες της πανδημίας</w:t>
      </w:r>
      <w:r w:rsidR="00817D20">
        <w:rPr>
          <w:rFonts w:ascii="Segoe UI" w:hAnsi="Segoe UI" w:cs="Segoe UI"/>
          <w:i/>
          <w:color w:val="0D0D0D" w:themeColor="text1" w:themeTint="F2"/>
          <w:sz w:val="18"/>
          <w:szCs w:val="20"/>
        </w:rPr>
        <w:t>.</w:t>
      </w:r>
    </w:p>
    <w:p w:rsidR="009C3C03" w:rsidRPr="009C3C03" w:rsidRDefault="009C3C03" w:rsidP="009C3C03">
      <w:pPr>
        <w:jc w:val="both"/>
        <w:rPr>
          <w:rFonts w:ascii="Segoe UI" w:hAnsi="Segoe UI" w:cs="Segoe UI"/>
          <w:i/>
          <w:color w:val="0D0D0D" w:themeColor="text1" w:themeTint="F2"/>
          <w:sz w:val="18"/>
          <w:szCs w:val="20"/>
        </w:rPr>
      </w:pPr>
    </w:p>
    <w:p w:rsidR="00E55AED" w:rsidRPr="00DB36A3" w:rsidRDefault="009E16AC" w:rsidP="009C3C03">
      <w:pPr>
        <w:jc w:val="both"/>
        <w:rPr>
          <w:rFonts w:ascii="Segoe UI" w:hAnsi="Segoe UI" w:cs="Segoe UI"/>
          <w:i/>
          <w:highlight w:val="yellow"/>
          <w:lang w:eastAsia="en-GB"/>
        </w:rPr>
      </w:pPr>
      <w:r>
        <w:rPr>
          <w:rFonts w:ascii="Segoe UI" w:hAnsi="Segoe UI" w:cs="Segoe UI"/>
          <w:i/>
          <w:color w:val="0D0D0D" w:themeColor="text1" w:themeTint="F2"/>
          <w:sz w:val="18"/>
          <w:szCs w:val="20"/>
        </w:rPr>
        <w:t>Κοιτώντας μπροστά στο</w:t>
      </w:r>
      <w:r w:rsidR="009C3C03" w:rsidRPr="009C3C03">
        <w:rPr>
          <w:rFonts w:ascii="Segoe UI" w:hAnsi="Segoe UI" w:cs="Segoe UI"/>
          <w:i/>
          <w:color w:val="0D0D0D" w:themeColor="text1" w:themeTint="F2"/>
          <w:sz w:val="18"/>
          <w:szCs w:val="20"/>
        </w:rPr>
        <w:t xml:space="preserve"> 2021, οι οικονομικές συνθήκες </w:t>
      </w:r>
      <w:r w:rsidR="002544F3">
        <w:rPr>
          <w:rFonts w:ascii="Segoe UI" w:hAnsi="Segoe UI" w:cs="Segoe UI"/>
          <w:i/>
          <w:color w:val="0D0D0D" w:themeColor="text1" w:themeTint="F2"/>
          <w:sz w:val="18"/>
          <w:szCs w:val="20"/>
        </w:rPr>
        <w:t>θα</w:t>
      </w:r>
      <w:r w:rsidR="009C3C03" w:rsidRPr="009C3C03">
        <w:rPr>
          <w:rFonts w:ascii="Segoe UI" w:hAnsi="Segoe UI" w:cs="Segoe UI"/>
          <w:i/>
          <w:color w:val="0D0D0D" w:themeColor="text1" w:themeTint="F2"/>
          <w:sz w:val="18"/>
          <w:szCs w:val="20"/>
        </w:rPr>
        <w:t xml:space="preserve"> βελτιωθούν και </w:t>
      </w:r>
      <w:r w:rsidR="008D16A2">
        <w:rPr>
          <w:rFonts w:ascii="Segoe UI" w:hAnsi="Segoe UI" w:cs="Segoe UI"/>
          <w:i/>
          <w:color w:val="0D0D0D" w:themeColor="text1" w:themeTint="F2"/>
          <w:sz w:val="18"/>
          <w:szCs w:val="20"/>
        </w:rPr>
        <w:t xml:space="preserve">εμείς </w:t>
      </w:r>
      <w:r w:rsidR="009C3C03" w:rsidRPr="009C3C03">
        <w:rPr>
          <w:rFonts w:ascii="Segoe UI" w:hAnsi="Segoe UI" w:cs="Segoe UI"/>
          <w:i/>
          <w:color w:val="0D0D0D" w:themeColor="text1" w:themeTint="F2"/>
          <w:sz w:val="18"/>
          <w:szCs w:val="20"/>
        </w:rPr>
        <w:t>θα συνεχίσ</w:t>
      </w:r>
      <w:r w:rsidR="00DB1F17">
        <w:rPr>
          <w:rFonts w:ascii="Segoe UI" w:hAnsi="Segoe UI" w:cs="Segoe UI"/>
          <w:i/>
          <w:color w:val="0D0D0D" w:themeColor="text1" w:themeTint="F2"/>
          <w:sz w:val="18"/>
          <w:szCs w:val="20"/>
        </w:rPr>
        <w:t xml:space="preserve">ουμε </w:t>
      </w:r>
      <w:r w:rsidR="009C3C03" w:rsidRPr="009C3C03">
        <w:rPr>
          <w:rFonts w:ascii="Segoe UI" w:hAnsi="Segoe UI" w:cs="Segoe UI"/>
          <w:i/>
          <w:color w:val="0D0D0D" w:themeColor="text1" w:themeTint="F2"/>
          <w:sz w:val="18"/>
          <w:szCs w:val="20"/>
        </w:rPr>
        <w:t>να αξιοποι</w:t>
      </w:r>
      <w:r w:rsidR="00DB1F17">
        <w:rPr>
          <w:rFonts w:ascii="Segoe UI" w:hAnsi="Segoe UI" w:cs="Segoe UI"/>
          <w:i/>
          <w:color w:val="0D0D0D" w:themeColor="text1" w:themeTint="F2"/>
          <w:sz w:val="18"/>
          <w:szCs w:val="20"/>
        </w:rPr>
        <w:t>ούμε</w:t>
      </w:r>
      <w:r w:rsidR="009C3C03" w:rsidRPr="009C3C03">
        <w:rPr>
          <w:rFonts w:ascii="Segoe UI" w:hAnsi="Segoe UI" w:cs="Segoe UI"/>
          <w:i/>
          <w:color w:val="0D0D0D" w:themeColor="text1" w:themeTint="F2"/>
          <w:sz w:val="18"/>
          <w:szCs w:val="20"/>
        </w:rPr>
        <w:t xml:space="preserve"> το επιτυχημένο </w:t>
      </w:r>
      <w:r w:rsidR="00A1406D">
        <w:rPr>
          <w:rFonts w:ascii="Segoe UI" w:hAnsi="Segoe UI" w:cs="Segoe UI"/>
          <w:i/>
          <w:color w:val="0D0D0D" w:themeColor="text1" w:themeTint="F2"/>
          <w:sz w:val="18"/>
          <w:szCs w:val="20"/>
        </w:rPr>
        <w:t>Π</w:t>
      </w:r>
      <w:r w:rsidR="009C3C03" w:rsidRPr="009C3C03">
        <w:rPr>
          <w:rFonts w:ascii="Segoe UI" w:hAnsi="Segoe UI" w:cs="Segoe UI"/>
          <w:i/>
          <w:color w:val="0D0D0D" w:themeColor="text1" w:themeTint="F2"/>
          <w:sz w:val="18"/>
          <w:szCs w:val="20"/>
        </w:rPr>
        <w:t xml:space="preserve">ρόγραμμα </w:t>
      </w:r>
      <w:r w:rsidR="00A1406D">
        <w:rPr>
          <w:rFonts w:ascii="Segoe UI" w:hAnsi="Segoe UI" w:cs="Segoe UI"/>
          <w:i/>
          <w:color w:val="0D0D0D" w:themeColor="text1" w:themeTint="F2"/>
          <w:sz w:val="18"/>
          <w:szCs w:val="20"/>
        </w:rPr>
        <w:t>Μ</w:t>
      </w:r>
      <w:r w:rsidR="009C3C03" w:rsidRPr="009C3C03">
        <w:rPr>
          <w:rFonts w:ascii="Segoe UI" w:hAnsi="Segoe UI" w:cs="Segoe UI"/>
          <w:i/>
          <w:color w:val="0D0D0D" w:themeColor="text1" w:themeTint="F2"/>
          <w:sz w:val="18"/>
          <w:szCs w:val="20"/>
        </w:rPr>
        <w:t xml:space="preserve">ετασχηματισμού </w:t>
      </w:r>
      <w:r w:rsidR="00A1406D">
        <w:rPr>
          <w:rFonts w:ascii="Segoe UI" w:hAnsi="Segoe UI" w:cs="Segoe UI"/>
          <w:i/>
          <w:color w:val="0D0D0D" w:themeColor="text1" w:themeTint="F2"/>
          <w:sz w:val="18"/>
          <w:szCs w:val="20"/>
        </w:rPr>
        <w:t xml:space="preserve">της </w:t>
      </w:r>
      <w:r w:rsidR="00DB1F17">
        <w:rPr>
          <w:rFonts w:ascii="Segoe UI" w:hAnsi="Segoe UI" w:cs="Segoe UI"/>
          <w:i/>
          <w:color w:val="0D0D0D" w:themeColor="text1" w:themeTint="F2"/>
          <w:sz w:val="18"/>
          <w:szCs w:val="20"/>
        </w:rPr>
        <w:t xml:space="preserve">Τράπεζας, το οποίο </w:t>
      </w:r>
      <w:r w:rsidR="00A1406D" w:rsidRPr="00A1406D">
        <w:rPr>
          <w:rFonts w:ascii="Segoe UI" w:hAnsi="Segoe UI" w:cs="Segoe UI"/>
          <w:i/>
          <w:color w:val="0D0D0D" w:themeColor="text1" w:themeTint="F2"/>
          <w:sz w:val="18"/>
          <w:szCs w:val="20"/>
        </w:rPr>
        <w:t>διανύει ήδη το 3</w:t>
      </w:r>
      <w:r w:rsidR="00A1406D" w:rsidRPr="00A1406D">
        <w:rPr>
          <w:rFonts w:ascii="Segoe UI" w:hAnsi="Segoe UI" w:cs="Segoe UI"/>
          <w:i/>
          <w:color w:val="0D0D0D" w:themeColor="text1" w:themeTint="F2"/>
          <w:sz w:val="18"/>
          <w:szCs w:val="20"/>
          <w:vertAlign w:val="superscript"/>
        </w:rPr>
        <w:t>ο</w:t>
      </w:r>
      <w:r w:rsidR="00A1406D">
        <w:rPr>
          <w:rFonts w:ascii="Segoe UI" w:hAnsi="Segoe UI" w:cs="Segoe UI"/>
          <w:i/>
          <w:color w:val="0D0D0D" w:themeColor="text1" w:themeTint="F2"/>
          <w:sz w:val="18"/>
          <w:szCs w:val="20"/>
        </w:rPr>
        <w:t xml:space="preserve"> </w:t>
      </w:r>
      <w:r w:rsidR="00A1406D" w:rsidRPr="00A1406D">
        <w:rPr>
          <w:rFonts w:ascii="Segoe UI" w:hAnsi="Segoe UI" w:cs="Segoe UI"/>
          <w:i/>
          <w:color w:val="0D0D0D" w:themeColor="text1" w:themeTint="F2"/>
          <w:sz w:val="18"/>
          <w:szCs w:val="20"/>
        </w:rPr>
        <w:t>έτος του</w:t>
      </w:r>
      <w:r w:rsidR="00A1406D">
        <w:rPr>
          <w:rFonts w:ascii="Segoe UI" w:hAnsi="Segoe UI" w:cs="Segoe UI"/>
          <w:i/>
          <w:color w:val="0D0D0D" w:themeColor="text1" w:themeTint="F2"/>
          <w:sz w:val="18"/>
          <w:szCs w:val="20"/>
        </w:rPr>
        <w:t>,</w:t>
      </w:r>
      <w:r w:rsidR="009C3C03" w:rsidRPr="009C3C03">
        <w:rPr>
          <w:rFonts w:ascii="Segoe UI" w:hAnsi="Segoe UI" w:cs="Segoe UI"/>
          <w:i/>
          <w:color w:val="0D0D0D" w:themeColor="text1" w:themeTint="F2"/>
          <w:sz w:val="18"/>
          <w:szCs w:val="20"/>
        </w:rPr>
        <w:t xml:space="preserve"> προκειμένου να περιορίσ</w:t>
      </w:r>
      <w:r w:rsidR="000C2BE0">
        <w:rPr>
          <w:rFonts w:ascii="Segoe UI" w:hAnsi="Segoe UI" w:cs="Segoe UI"/>
          <w:i/>
          <w:color w:val="0D0D0D" w:themeColor="text1" w:themeTint="F2"/>
          <w:sz w:val="18"/>
          <w:szCs w:val="20"/>
        </w:rPr>
        <w:t xml:space="preserve">ουμε </w:t>
      </w:r>
      <w:r w:rsidR="009C3C03" w:rsidRPr="009C3C03">
        <w:rPr>
          <w:rFonts w:ascii="Segoe UI" w:hAnsi="Segoe UI" w:cs="Segoe UI"/>
          <w:i/>
          <w:color w:val="0D0D0D" w:themeColor="text1" w:themeTint="F2"/>
          <w:sz w:val="18"/>
          <w:szCs w:val="20"/>
        </w:rPr>
        <w:t xml:space="preserve">τον δείκτη </w:t>
      </w:r>
      <w:r w:rsidR="000C2BE0" w:rsidRPr="000C2BE0">
        <w:rPr>
          <w:rFonts w:ascii="Segoe UI" w:hAnsi="Segoe UI" w:cs="Segoe UI"/>
          <w:i/>
          <w:color w:val="0D0D0D" w:themeColor="text1" w:themeTint="F2"/>
          <w:sz w:val="18"/>
          <w:szCs w:val="20"/>
        </w:rPr>
        <w:t xml:space="preserve">Μη Εξυπηρετούμενων Ανοιγμάτων </w:t>
      </w:r>
      <w:r w:rsidR="009C3C03" w:rsidRPr="009C3C03">
        <w:rPr>
          <w:rFonts w:ascii="Segoe UI" w:hAnsi="Segoe UI" w:cs="Segoe UI"/>
          <w:i/>
          <w:color w:val="0D0D0D" w:themeColor="text1" w:themeTint="F2"/>
          <w:sz w:val="18"/>
          <w:szCs w:val="20"/>
        </w:rPr>
        <w:t xml:space="preserve">σε </w:t>
      </w:r>
      <w:r w:rsidR="003A45D1">
        <w:rPr>
          <w:rFonts w:ascii="Segoe UI" w:hAnsi="Segoe UI" w:cs="Segoe UI"/>
          <w:i/>
          <w:color w:val="0D0D0D" w:themeColor="text1" w:themeTint="F2"/>
          <w:sz w:val="18"/>
          <w:szCs w:val="20"/>
        </w:rPr>
        <w:t xml:space="preserve">μεσαία </w:t>
      </w:r>
      <w:r w:rsidR="009C3C03" w:rsidRPr="009C3C03">
        <w:rPr>
          <w:rFonts w:ascii="Segoe UI" w:hAnsi="Segoe UI" w:cs="Segoe UI"/>
          <w:i/>
          <w:color w:val="0D0D0D" w:themeColor="text1" w:themeTint="F2"/>
          <w:sz w:val="18"/>
          <w:szCs w:val="20"/>
        </w:rPr>
        <w:t>μονοψήφια επίπεδα το 2022</w:t>
      </w:r>
      <w:r w:rsidR="00D90319">
        <w:rPr>
          <w:rFonts w:ascii="Segoe UI" w:hAnsi="Segoe UI" w:cs="Segoe UI"/>
          <w:i/>
          <w:color w:val="0D0D0D" w:themeColor="text1" w:themeTint="F2"/>
          <w:sz w:val="18"/>
          <w:szCs w:val="20"/>
        </w:rPr>
        <w:t xml:space="preserve">. Με αυτόν τον τρόπο θα μπορέσουμε να </w:t>
      </w:r>
      <w:r w:rsidR="009C3C03" w:rsidRPr="009C3C03">
        <w:rPr>
          <w:rFonts w:ascii="Segoe UI" w:hAnsi="Segoe UI" w:cs="Segoe UI"/>
          <w:i/>
          <w:color w:val="0D0D0D" w:themeColor="text1" w:themeTint="F2"/>
          <w:sz w:val="18"/>
          <w:szCs w:val="20"/>
        </w:rPr>
        <w:t xml:space="preserve">εστιάσουμε </w:t>
      </w:r>
      <w:r w:rsidR="00BF0B47" w:rsidRPr="00BF0B47">
        <w:rPr>
          <w:rFonts w:ascii="Segoe UI" w:hAnsi="Segoe UI" w:cs="Segoe UI"/>
          <w:i/>
          <w:color w:val="0D0D0D" w:themeColor="text1" w:themeTint="F2"/>
          <w:sz w:val="18"/>
          <w:szCs w:val="20"/>
        </w:rPr>
        <w:t>στ</w:t>
      </w:r>
      <w:r w:rsidR="00BF0B47">
        <w:rPr>
          <w:rFonts w:ascii="Segoe UI" w:hAnsi="Segoe UI" w:cs="Segoe UI"/>
          <w:i/>
          <w:color w:val="0D0D0D" w:themeColor="text1" w:themeTint="F2"/>
          <w:sz w:val="18"/>
          <w:szCs w:val="20"/>
        </w:rPr>
        <w:t>ην ανάπτυξη των</w:t>
      </w:r>
      <w:r w:rsidR="00BF0B47" w:rsidRPr="00BF0B47">
        <w:rPr>
          <w:rFonts w:ascii="Segoe UI" w:hAnsi="Segoe UI" w:cs="Segoe UI"/>
          <w:i/>
          <w:color w:val="0D0D0D" w:themeColor="text1" w:themeTint="F2"/>
          <w:sz w:val="18"/>
          <w:szCs w:val="20"/>
        </w:rPr>
        <w:t xml:space="preserve"> βασικ</w:t>
      </w:r>
      <w:r w:rsidR="00BF0B47">
        <w:rPr>
          <w:rFonts w:ascii="Segoe UI" w:hAnsi="Segoe UI" w:cs="Segoe UI"/>
          <w:i/>
          <w:color w:val="0D0D0D" w:themeColor="text1" w:themeTint="F2"/>
          <w:sz w:val="18"/>
          <w:szCs w:val="20"/>
        </w:rPr>
        <w:t xml:space="preserve">ών </w:t>
      </w:r>
      <w:r w:rsidR="00BF0B47" w:rsidRPr="00BF0B47">
        <w:rPr>
          <w:rFonts w:ascii="Segoe UI" w:hAnsi="Segoe UI" w:cs="Segoe UI"/>
          <w:i/>
          <w:color w:val="0D0D0D" w:themeColor="text1" w:themeTint="F2"/>
          <w:sz w:val="18"/>
          <w:szCs w:val="20"/>
        </w:rPr>
        <w:t>τραπεζικ</w:t>
      </w:r>
      <w:r w:rsidR="00BF0B47">
        <w:rPr>
          <w:rFonts w:ascii="Segoe UI" w:hAnsi="Segoe UI" w:cs="Segoe UI"/>
          <w:i/>
          <w:color w:val="0D0D0D" w:themeColor="text1" w:themeTint="F2"/>
          <w:sz w:val="18"/>
          <w:szCs w:val="20"/>
        </w:rPr>
        <w:t>ών</w:t>
      </w:r>
      <w:r w:rsidR="00BF0B47" w:rsidRPr="00BF0B47">
        <w:rPr>
          <w:rFonts w:ascii="Segoe UI" w:hAnsi="Segoe UI" w:cs="Segoe UI"/>
          <w:i/>
          <w:color w:val="0D0D0D" w:themeColor="text1" w:themeTint="F2"/>
          <w:sz w:val="18"/>
          <w:szCs w:val="20"/>
        </w:rPr>
        <w:t xml:space="preserve"> δραστηρι</w:t>
      </w:r>
      <w:r w:rsidR="00BF0B47">
        <w:rPr>
          <w:rFonts w:ascii="Segoe UI" w:hAnsi="Segoe UI" w:cs="Segoe UI"/>
          <w:i/>
          <w:color w:val="0D0D0D" w:themeColor="text1" w:themeTint="F2"/>
          <w:sz w:val="18"/>
          <w:szCs w:val="20"/>
        </w:rPr>
        <w:t>οτήτων</w:t>
      </w:r>
      <w:r w:rsidR="00677658" w:rsidRPr="00677658">
        <w:rPr>
          <w:rFonts w:ascii="Segoe UI" w:hAnsi="Segoe UI" w:cs="Segoe UI"/>
          <w:i/>
          <w:color w:val="0D0D0D" w:themeColor="text1" w:themeTint="F2"/>
          <w:sz w:val="18"/>
          <w:szCs w:val="20"/>
        </w:rPr>
        <w:t xml:space="preserve"> </w:t>
      </w:r>
      <w:r w:rsidR="00677658">
        <w:rPr>
          <w:rFonts w:ascii="Segoe UI" w:hAnsi="Segoe UI" w:cs="Segoe UI"/>
          <w:i/>
          <w:color w:val="0D0D0D" w:themeColor="text1" w:themeTint="F2"/>
          <w:sz w:val="18"/>
          <w:szCs w:val="20"/>
        </w:rPr>
        <w:t>μας</w:t>
      </w:r>
      <w:r w:rsidR="00BF0B47" w:rsidRPr="00BF0B47">
        <w:rPr>
          <w:rFonts w:ascii="Segoe UI" w:hAnsi="Segoe UI" w:cs="Segoe UI"/>
          <w:i/>
          <w:color w:val="0D0D0D" w:themeColor="text1" w:themeTint="F2"/>
          <w:sz w:val="18"/>
          <w:szCs w:val="20"/>
        </w:rPr>
        <w:t xml:space="preserve">, </w:t>
      </w:r>
      <w:r w:rsidR="00BF0B47">
        <w:rPr>
          <w:rFonts w:ascii="Segoe UI" w:hAnsi="Segoe UI" w:cs="Segoe UI"/>
          <w:i/>
          <w:color w:val="0D0D0D" w:themeColor="text1" w:themeTint="F2"/>
          <w:sz w:val="18"/>
          <w:szCs w:val="20"/>
        </w:rPr>
        <w:t>αλλά και</w:t>
      </w:r>
      <w:r w:rsidR="009C3C03" w:rsidRPr="009C3C03">
        <w:rPr>
          <w:rFonts w:ascii="Segoe UI" w:hAnsi="Segoe UI" w:cs="Segoe UI"/>
          <w:i/>
          <w:color w:val="0D0D0D" w:themeColor="text1" w:themeTint="F2"/>
          <w:sz w:val="18"/>
          <w:szCs w:val="20"/>
        </w:rPr>
        <w:t xml:space="preserve"> </w:t>
      </w:r>
      <w:r w:rsidR="008C67D8">
        <w:rPr>
          <w:rFonts w:ascii="Segoe UI" w:hAnsi="Segoe UI" w:cs="Segoe UI"/>
          <w:i/>
          <w:color w:val="0D0D0D" w:themeColor="text1" w:themeTint="F2"/>
          <w:sz w:val="18"/>
          <w:szCs w:val="20"/>
        </w:rPr>
        <w:t xml:space="preserve">να </w:t>
      </w:r>
      <w:r w:rsidR="00B10F3A">
        <w:rPr>
          <w:rFonts w:ascii="Segoe UI" w:hAnsi="Segoe UI" w:cs="Segoe UI"/>
          <w:i/>
          <w:color w:val="0D0D0D" w:themeColor="text1" w:themeTint="F2"/>
          <w:sz w:val="18"/>
          <w:szCs w:val="20"/>
        </w:rPr>
        <w:t>αξιοποιήσουμε τις</w:t>
      </w:r>
      <w:r w:rsidR="009C3C03" w:rsidRPr="009C3C03">
        <w:rPr>
          <w:rFonts w:ascii="Segoe UI" w:hAnsi="Segoe UI" w:cs="Segoe UI"/>
          <w:i/>
          <w:color w:val="0D0D0D" w:themeColor="text1" w:themeTint="F2"/>
          <w:sz w:val="18"/>
          <w:szCs w:val="20"/>
        </w:rPr>
        <w:t xml:space="preserve"> ευκαιρίες</w:t>
      </w:r>
      <w:r w:rsidR="00EE7E09">
        <w:rPr>
          <w:rFonts w:ascii="Segoe UI" w:hAnsi="Segoe UI" w:cs="Segoe UI"/>
          <w:i/>
          <w:color w:val="0D0D0D" w:themeColor="text1" w:themeTint="F2"/>
          <w:sz w:val="18"/>
          <w:szCs w:val="20"/>
        </w:rPr>
        <w:t xml:space="preserve"> που θα προκύψουν από την κρίση</w:t>
      </w:r>
      <w:r w:rsidR="009C3C03" w:rsidRPr="009C3C03">
        <w:rPr>
          <w:rFonts w:ascii="Segoe UI" w:hAnsi="Segoe UI" w:cs="Segoe UI"/>
          <w:i/>
          <w:color w:val="0D0D0D" w:themeColor="text1" w:themeTint="F2"/>
          <w:sz w:val="18"/>
          <w:szCs w:val="20"/>
        </w:rPr>
        <w:t xml:space="preserve">. Η </w:t>
      </w:r>
      <w:r w:rsidR="00C46AA9">
        <w:rPr>
          <w:rFonts w:ascii="Segoe UI" w:hAnsi="Segoe UI" w:cs="Segoe UI"/>
          <w:i/>
          <w:color w:val="0D0D0D" w:themeColor="text1" w:themeTint="F2"/>
          <w:sz w:val="18"/>
          <w:szCs w:val="20"/>
        </w:rPr>
        <w:t xml:space="preserve">συνεχιζόμενη </w:t>
      </w:r>
      <w:r w:rsidR="009C3C03" w:rsidRPr="009C3C03">
        <w:rPr>
          <w:rFonts w:ascii="Segoe UI" w:hAnsi="Segoe UI" w:cs="Segoe UI"/>
          <w:i/>
          <w:color w:val="0D0D0D" w:themeColor="text1" w:themeTint="F2"/>
          <w:sz w:val="18"/>
          <w:szCs w:val="20"/>
        </w:rPr>
        <w:t>μετάβαση των πελατών μας στ</w:t>
      </w:r>
      <w:r w:rsidR="00C46AA9">
        <w:rPr>
          <w:rFonts w:ascii="Segoe UI" w:hAnsi="Segoe UI" w:cs="Segoe UI"/>
          <w:i/>
          <w:color w:val="0D0D0D" w:themeColor="text1" w:themeTint="F2"/>
          <w:sz w:val="18"/>
          <w:szCs w:val="20"/>
        </w:rPr>
        <w:t xml:space="preserve">α ψηφιακά κανάλια συντελεί στη </w:t>
      </w:r>
      <w:r w:rsidR="009C3C03" w:rsidRPr="009C3C03">
        <w:rPr>
          <w:rFonts w:ascii="Segoe UI" w:hAnsi="Segoe UI" w:cs="Segoe UI"/>
          <w:i/>
          <w:color w:val="0D0D0D" w:themeColor="text1" w:themeTint="F2"/>
          <w:sz w:val="18"/>
          <w:szCs w:val="20"/>
        </w:rPr>
        <w:t xml:space="preserve">δημιουργία ενός </w:t>
      </w:r>
      <w:r w:rsidR="00305601">
        <w:rPr>
          <w:rFonts w:ascii="Segoe UI" w:hAnsi="Segoe UI" w:cs="Segoe UI"/>
          <w:i/>
          <w:color w:val="0D0D0D" w:themeColor="text1" w:themeTint="F2"/>
          <w:sz w:val="18"/>
          <w:szCs w:val="20"/>
        </w:rPr>
        <w:t xml:space="preserve">πιο </w:t>
      </w:r>
      <w:r w:rsidR="002B0695">
        <w:rPr>
          <w:rFonts w:ascii="Segoe UI" w:hAnsi="Segoe UI" w:cs="Segoe UI"/>
          <w:i/>
          <w:color w:val="0D0D0D" w:themeColor="text1" w:themeTint="F2"/>
          <w:sz w:val="18"/>
          <w:szCs w:val="20"/>
        </w:rPr>
        <w:t xml:space="preserve">αποτελεσματικού </w:t>
      </w:r>
      <w:r w:rsidR="009C3C03" w:rsidRPr="009C3C03">
        <w:rPr>
          <w:rFonts w:ascii="Segoe UI" w:hAnsi="Segoe UI" w:cs="Segoe UI"/>
          <w:i/>
          <w:color w:val="0D0D0D" w:themeColor="text1" w:themeTint="F2"/>
          <w:sz w:val="18"/>
          <w:szCs w:val="20"/>
        </w:rPr>
        <w:t>και ευέλικτου λειτουργικού μοντέλου. Παραμένουμε προσηλωμένοι στ</w:t>
      </w:r>
      <w:r w:rsidR="004A1D02">
        <w:rPr>
          <w:rFonts w:ascii="Segoe UI" w:hAnsi="Segoe UI" w:cs="Segoe UI"/>
          <w:i/>
          <w:color w:val="0D0D0D" w:themeColor="text1" w:themeTint="F2"/>
          <w:sz w:val="18"/>
          <w:szCs w:val="20"/>
        </w:rPr>
        <w:t xml:space="preserve">ο στόχο να αναδείξουμε την </w:t>
      </w:r>
      <w:r w:rsidR="009C3C03" w:rsidRPr="009C3C03">
        <w:rPr>
          <w:rFonts w:ascii="Segoe UI" w:hAnsi="Segoe UI" w:cs="Segoe UI"/>
          <w:i/>
          <w:color w:val="0D0D0D" w:themeColor="text1" w:themeTint="F2"/>
          <w:sz w:val="18"/>
          <w:szCs w:val="20"/>
        </w:rPr>
        <w:t xml:space="preserve">ΕΤΕ </w:t>
      </w:r>
      <w:r w:rsidR="004A1D02">
        <w:rPr>
          <w:rFonts w:ascii="Segoe UI" w:hAnsi="Segoe UI" w:cs="Segoe UI"/>
          <w:i/>
          <w:color w:val="0D0D0D" w:themeColor="text1" w:themeTint="F2"/>
          <w:sz w:val="18"/>
          <w:szCs w:val="20"/>
        </w:rPr>
        <w:t>σε Τ</w:t>
      </w:r>
      <w:r w:rsidR="009C3C03" w:rsidRPr="009C3C03">
        <w:rPr>
          <w:rFonts w:ascii="Segoe UI" w:hAnsi="Segoe UI" w:cs="Segoe UI"/>
          <w:i/>
          <w:color w:val="0D0D0D" w:themeColor="text1" w:themeTint="F2"/>
          <w:sz w:val="18"/>
          <w:szCs w:val="20"/>
        </w:rPr>
        <w:t>ράπεζα πρώτης επιλογής στην Ελλάδα, παρέχοντας στους πελάτες μας προστιθέμενη αξία και στηρίζοντας τη βιώσιμη ανάκαμψη της οικονομίας.</w:t>
      </w:r>
      <w:r w:rsidR="00A125BB" w:rsidRPr="00DB36A3">
        <w:rPr>
          <w:rFonts w:ascii="Segoe UI" w:hAnsi="Segoe UI" w:cs="Segoe UI"/>
          <w:i/>
          <w:color w:val="0D0D0D" w:themeColor="text1" w:themeTint="F2"/>
          <w:sz w:val="18"/>
          <w:szCs w:val="20"/>
          <w:highlight w:val="yellow"/>
        </w:rPr>
        <w:t xml:space="preserve"> </w:t>
      </w:r>
    </w:p>
    <w:p w:rsidR="006E7557" w:rsidRPr="00F045E4" w:rsidRDefault="006E7557" w:rsidP="00B269C6">
      <w:pPr>
        <w:jc w:val="right"/>
        <w:rPr>
          <w:rFonts w:ascii="Segoe UI" w:hAnsi="Segoe UI" w:cs="Segoe UI"/>
          <w:i/>
          <w:sz w:val="18"/>
          <w:lang w:eastAsia="en-GB"/>
        </w:rPr>
      </w:pPr>
    </w:p>
    <w:p w:rsidR="004C28F4" w:rsidRDefault="004C28F4" w:rsidP="00B269C6">
      <w:pPr>
        <w:jc w:val="right"/>
        <w:rPr>
          <w:rFonts w:ascii="Segoe UI" w:hAnsi="Segoe UI" w:cs="Segoe UI"/>
          <w:i/>
          <w:sz w:val="18"/>
          <w:lang w:eastAsia="en-GB"/>
        </w:rPr>
      </w:pP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8B5861">
        <w:rPr>
          <w:rFonts w:ascii="Segoe UI" w:hAnsi="Segoe UI" w:cs="Segoe UI"/>
          <w:i/>
          <w:sz w:val="18"/>
          <w:lang w:eastAsia="en-GB"/>
        </w:rPr>
        <w:t>2</w:t>
      </w:r>
      <w:r w:rsidR="00911D58">
        <w:rPr>
          <w:rFonts w:ascii="Segoe UI" w:hAnsi="Segoe UI" w:cs="Segoe UI"/>
          <w:i/>
          <w:sz w:val="18"/>
          <w:lang w:eastAsia="en-GB"/>
        </w:rPr>
        <w:t>6</w:t>
      </w:r>
      <w:r w:rsidR="008B5861">
        <w:rPr>
          <w:rFonts w:ascii="Segoe UI" w:hAnsi="Segoe UI" w:cs="Segoe UI"/>
          <w:i/>
          <w:sz w:val="18"/>
          <w:lang w:eastAsia="en-GB"/>
        </w:rPr>
        <w:t xml:space="preserve"> Μαρτίου</w:t>
      </w:r>
      <w:r w:rsidR="00BF7AAE">
        <w:rPr>
          <w:rFonts w:ascii="Segoe UI" w:hAnsi="Segoe UI" w:cs="Segoe UI"/>
          <w:i/>
          <w:sz w:val="18"/>
          <w:lang w:eastAsia="en-GB"/>
        </w:rPr>
        <w:t xml:space="preserve"> </w:t>
      </w:r>
      <w:r w:rsidRPr="00C648A5">
        <w:rPr>
          <w:rFonts w:ascii="Segoe UI" w:hAnsi="Segoe UI" w:cs="Segoe UI"/>
          <w:i/>
          <w:sz w:val="18"/>
          <w:lang w:eastAsia="en-GB"/>
        </w:rPr>
        <w:t>202</w:t>
      </w:r>
      <w:r w:rsidR="008B5861">
        <w:rPr>
          <w:rFonts w:ascii="Segoe UI" w:hAnsi="Segoe UI" w:cs="Segoe UI"/>
          <w:i/>
          <w:sz w:val="18"/>
          <w:lang w:eastAsia="en-GB"/>
        </w:rPr>
        <w:t>1</w:t>
      </w: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rsidR="00E55AED" w:rsidRPr="00E95FD5" w:rsidRDefault="00B269C6" w:rsidP="00AD7D01">
      <w:pPr>
        <w:jc w:val="right"/>
        <w:rPr>
          <w:rFonts w:ascii="Segoe UI" w:hAnsi="Segoe UI" w:cs="Segoe UI"/>
          <w:b/>
          <w:sz w:val="16"/>
        </w:rPr>
      </w:pPr>
      <w:r w:rsidRPr="00C648A5">
        <w:rPr>
          <w:rFonts w:ascii="Segoe UI" w:hAnsi="Segoe UI" w:cs="Segoe UI"/>
          <w:i/>
          <w:sz w:val="18"/>
          <w:lang w:eastAsia="en-GB"/>
        </w:rPr>
        <w:t>Διευθύνων Σύμβουλος ΕΤΕ</w:t>
      </w:r>
      <w:r w:rsidR="00E55AED" w:rsidRPr="00E95FD5">
        <w:rPr>
          <w:rFonts w:ascii="Segoe UI" w:hAnsi="Segoe UI" w:cs="Segoe UI"/>
          <w:b/>
          <w:sz w:val="16"/>
        </w:rPr>
        <w:br w:type="page"/>
      </w:r>
    </w:p>
    <w:p w:rsidR="00931D2C" w:rsidRPr="00EE40A0" w:rsidRDefault="009F7797"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53632" behindDoc="0" locked="0" layoutInCell="1" allowOverlap="1">
                <wp:simplePos x="0" y="0"/>
                <wp:positionH relativeFrom="column">
                  <wp:posOffset>-48577</wp:posOffset>
                </wp:positionH>
                <wp:positionV relativeFrom="paragraph">
                  <wp:posOffset>327025</wp:posOffset>
                </wp:positionV>
                <wp:extent cx="2981960" cy="311150"/>
                <wp:effectExtent l="0" t="0" r="8890" b="0"/>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8196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20" w:rsidRPr="00053193" w:rsidRDefault="00817D20"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id="Text Placeholder 1" o:spid="_x0000_s1031" style="position:absolute;margin-left:-3.8pt;margin-top:25.75pt;width:234.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EjswIAAMIFAAAOAAAAZHJzL2Uyb0RvYy54bWysVFFvmzAQfp+0/2D5nYIpSQMqqdoQpknd&#10;VqndD3CMCdbAZrYT0k377zubJE3al2kbD5bPPu7uu+/zXd/suhZtuTZCyRyTiwgjLpmqhFzn+OtT&#10;GcwwMpbKirZK8hw/c4Nv5u/fXQ99xmPVqLbiGkEQabKhz3FjbZ+FoWEN76i5UD2XcFkr3VELpl6H&#10;laYDRO/aMI6iaTgoXfVaMW4MnBbjJZ77+HXNmf1S14Zb1OYYarN+1X5duTWcX9NsrWnfCLYvg/5F&#10;FR0VEpIeQxXUUrTR4k2oTjCtjKrtBVNdqOpaMO4xABoSvULz2NCeeyzQHNMf22T+X1j2efugkahy&#10;HF9iJGkHHD3xnUUPLWV8Tw9xbRp6k4H3Y/+gHVDT3yv2zSCpPmjgzbuEZz7OMOCNVsMnVUFcurHK&#10;N2lX687FAPho57l4PnLhcjM4jNMZSadAGYO7S0LIxJMV0uzwd6+N/cBVh9wmxxq49tHp9t5YKBhc&#10;Dy4umVSlaFvPdyvPDsBxPOFeMOPfNINKYOs8XU2ezJ9plC5ny1kSJPF0GSRRUQS35SIJpiW5mhSX&#10;xWJRkF+uCpJkjagqLl3Sg7BI8mfE7SU+SuIoLaNaUblwriSj16tFq9GWgrBL/zmSAMqJW3hehr8G&#10;LK8gkTiJ7uI0KKezqyApk0mQXkWzICLpHRCQpElRnkO6F5L/OyQ05DidxBPP2UnRr7BF/nuLjWad&#10;sDA6WtHleHZ0olnDabWUlSfaUtGO+5NWuPJfWgEdOxDt5esUO4rd7lY7/zImB/mvVPUMetYK5AbK&#10;hLEHm0bpHxgNMEJybL5vqOYYtR8lvNFkckWmMHNODX1qrE4NKhmEyjGzGqPRWNhxUm16LdYN5CK+&#10;WVLdwkuqhRe5e2VjXYDJGTAoPLr9UHOT6NT2Xi+jd/4bAAD//wMAUEsDBBQABgAIAAAAIQBhMZH+&#10;3QAAAAkBAAAPAAAAZHJzL2Rvd25yZXYueG1sTI/BTsMwEETvSPyDtZW4tXajxqlCnAoCHDnQ0rsT&#10;b5OosR3Fbpv+PcsJjqt5mn1T7GY7sCtOofdOwXolgKFrvOldq+D78LHcAgtRO6MH71DBHQPsyseH&#10;QufG39wXXvexZVTiQq4VdDGOOeeh6dDqsPIjOspOfrI60jm13Ez6RuV24IkQklvdO/rQ6RGrDpvz&#10;/mIVvJ3q16Sbj1V1uB8/5TbJ3uUmU+ppMb88A4s4xz8YfvVJHUpyqv3FmcAGBctMEqkgXafAKN/I&#10;hLbVBAqRAi8L/n9B+QMAAP//AwBQSwECLQAUAAYACAAAACEAtoM4kv4AAADhAQAAEwAAAAAAAAAA&#10;AAAAAAAAAAAAW0NvbnRlbnRfVHlwZXNdLnhtbFBLAQItABQABgAIAAAAIQA4/SH/1gAAAJQBAAAL&#10;AAAAAAAAAAAAAAAAAC8BAABfcmVscy8ucmVsc1BLAQItABQABgAIAAAAIQDp11EjswIAAMIFAAAO&#10;AAAAAAAAAAAAAAAAAC4CAABkcnMvZTJvRG9jLnhtbFBLAQItABQABgAIAAAAIQBhMZH+3QAAAAkB&#10;AAAPAAAAAAAAAAAAAAAAAA0FAABkcnMvZG93bnJldi54bWxQSwUGAAAAAAQABADzAAAAFwYAAAAA&#10;" filled="f" stroked="f">
                <v:path arrowok="t"/>
                <o:lock v:ext="edit" grouping="t"/>
                <v:textbox inset="1.2699mm,1.2699mm,1.2699mm,1.2699mm">
                  <w:txbxContent>
                    <w:p w:rsidR="00817D20" w:rsidRPr="00053193" w:rsidRDefault="00817D20"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mc:Fallback>
        </mc:AlternateContent>
      </w:r>
      <w:r w:rsidR="00FC133B">
        <w:rPr>
          <w:rFonts w:ascii="Segoe UI" w:hAnsi="Segoe UI" w:cs="Segoe UI"/>
          <w:noProof/>
          <w:lang w:val="el-GR" w:eastAsia="el-GR"/>
        </w:rPr>
        <w:t xml:space="preserve">Κύρια Χρηματοοικονομικά Μεγέθη </w:t>
      </w:r>
    </w:p>
    <w:p w:rsidR="00E55AED" w:rsidRPr="00EE40A0" w:rsidRDefault="009731C9" w:rsidP="00E55AED">
      <w:pPr>
        <w:spacing w:after="160"/>
        <w:jc w:val="both"/>
        <w:rPr>
          <w:rFonts w:ascii="Segoe UI" w:hAnsi="Segoe UI" w:cs="Segoe UI"/>
          <w:b/>
          <w:sz w:val="20"/>
          <w:szCs w:val="20"/>
        </w:rPr>
      </w:pPr>
      <w:r>
        <w:rPr>
          <w:rFonts w:ascii="Segoe UI" w:hAnsi="Segoe UI" w:cs="Segoe UI"/>
          <w:noProof/>
          <w:sz w:val="14"/>
          <w:szCs w:val="14"/>
          <w:lang w:eastAsia="el-GR"/>
        </w:rPr>
        <mc:AlternateContent>
          <mc:Choice Requires="wps">
            <w:drawing>
              <wp:anchor distT="0" distB="0" distL="114300" distR="114300" simplePos="0" relativeHeight="251652608" behindDoc="0" locked="0" layoutInCell="1" allowOverlap="1" wp14:anchorId="5F9733EF" wp14:editId="46B04119">
                <wp:simplePos x="0" y="0"/>
                <wp:positionH relativeFrom="column">
                  <wp:posOffset>2734310</wp:posOffset>
                </wp:positionH>
                <wp:positionV relativeFrom="paragraph">
                  <wp:posOffset>284068</wp:posOffset>
                </wp:positionV>
                <wp:extent cx="612000" cy="2988000"/>
                <wp:effectExtent l="0" t="0" r="17145" b="22225"/>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9880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49D872A7" id="Rounded Rectangle 18" o:spid="_x0000_s1026" style="position:absolute;margin-left:215.3pt;margin-top:22.35pt;width:48.2pt;height:23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YX0AEAAI4DAAAOAAAAZHJzL2Uyb0RvYy54bWysU8tu2zAQvBfoPxC817KMOnUEyznUcC9B&#10;GyTtB6z5kITyBS5j2X/fJS07TXMLeiG43NHszuxqfXe0hh1UxMG7ltezOWfKCS8H17X818/dpxVn&#10;mMBJMN6plp8U8rvNxw/rMTRq4XtvpIqMSBw2Y2h5n1JoqgpFryzgzAflKKl9tJAojF0lI4zEbk21&#10;mM9vqtFHGaIXCpFet+ck3xR+rZVIP7RGlZhpOfWWyhnLuc9ntVlD00UI/SCmNuAdXVgYHBW9Um0h&#10;AXuOwxsqO4jo0es0E95WXutBqKKB1NTzf9Q89RBU0ULmYLjahP+PVnw/PEQ2yJYvyB4Hlmb06J+d&#10;VJI9knvgOqNYvcpGjQEbwj+Fh5ilYrj34jdSonqVyQFOmKOONmNJKDsW109X19UxMUGPNzUNkooL&#10;Si1uV6scZFJoLl+HiOmb8pblS8tj7i83VxyHwz2mM/6CyxWd3w3G0Ds0xrGx5bfLxZKKAC2ZNpDo&#10;agPJRtdxBqaj7RUpFkb0ZpD566IydvuvJrID0Abtdl8+18upu1ewXHoL2J9xJTXBjMs0quzi1OmL&#10;Q/m29/JEMwAnek+bmbu4eEpDL0ZMC5q36u+4OP/yG23+AAAA//8DAFBLAwQUAAYACAAAACEAycPr&#10;qeEAAAAKAQAADwAAAGRycy9kb3ducmV2LnhtbEyPwU7DMBBE70j8g7VI3KiTtGlDiFMhCqgCCYnQ&#10;D3DjJYmI11HstqFfz3KC24z2aXamWE+2F0ccfedIQTyLQCDVznTUKNh9PN1kIHzQZHTvCBV8o4d1&#10;eXlR6Ny4E73jsQqN4BDyuVbQhjDkUvq6Rav9zA1IfPt0o9WB7dhIM+oTh9teJlG0lFZ3xB9aPeBD&#10;i/VXdbAKNrusNZtHn71uX+q323P8fK7SRKnrq+n+DkTAKfzB8Fufq0PJnfbuQMaLXsFiHi0ZZbFY&#10;gWAgTVY8bs8iTucgy0L+n1D+AAAA//8DAFBLAQItABQABgAIAAAAIQC2gziS/gAAAOEBAAATAAAA&#10;AAAAAAAAAAAAAAAAAABbQ29udGVudF9UeXBlc10ueG1sUEsBAi0AFAAGAAgAAAAhADj9If/WAAAA&#10;lAEAAAsAAAAAAAAAAAAAAAAALwEAAF9yZWxzLy5yZWxzUEsBAi0AFAAGAAgAAAAhAJnVFhfQAQAA&#10;jgMAAA4AAAAAAAAAAAAAAAAALgIAAGRycy9lMm9Eb2MueG1sUEsBAi0AFAAGAAgAAAAhAMnD66nh&#10;AAAACgEAAA8AAAAAAAAAAAAAAAAAKgQAAGRycy9kb3ducmV2LnhtbFBLBQYAAAAABAAEAPMAAAA4&#10;BQAAAAA=&#10;" filled="f" strokecolor="#ff7415">
                <v:path arrowok="t"/>
              </v:roundrect>
            </w:pict>
          </mc:Fallback>
        </mc:AlternateContent>
      </w:r>
    </w:p>
    <w:tbl>
      <w:tblPr>
        <w:tblW w:w="4983" w:type="pct"/>
        <w:tblLayout w:type="fixed"/>
        <w:tblCellMar>
          <w:left w:w="0" w:type="dxa"/>
          <w:right w:w="0" w:type="dxa"/>
        </w:tblCellMar>
        <w:tblLook w:val="0420" w:firstRow="1" w:lastRow="0" w:firstColumn="0" w:lastColumn="0" w:noHBand="0" w:noVBand="1"/>
      </w:tblPr>
      <w:tblGrid>
        <w:gridCol w:w="4311"/>
        <w:gridCol w:w="976"/>
        <w:gridCol w:w="976"/>
        <w:gridCol w:w="976"/>
        <w:gridCol w:w="976"/>
        <w:gridCol w:w="976"/>
        <w:gridCol w:w="972"/>
      </w:tblGrid>
      <w:tr w:rsidR="00AE6D40" w:rsidRPr="00E95FD5" w:rsidTr="00BF017A">
        <w:trPr>
          <w:trHeight w:val="170"/>
        </w:trPr>
        <w:tc>
          <w:tcPr>
            <w:tcW w:w="212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rsidR="00AE6D40" w:rsidRPr="0098297F" w:rsidRDefault="00AE6D40" w:rsidP="00AE6D40">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80" w:type="pct"/>
            <w:tcBorders>
              <w:top w:val="single" w:sz="8" w:space="0" w:color="000000"/>
              <w:left w:val="nil"/>
              <w:bottom w:val="single" w:sz="8" w:space="0" w:color="000000"/>
              <w:right w:val="nil"/>
            </w:tcBorders>
            <w:vAlign w:val="center"/>
          </w:tcPr>
          <w:p w:rsidR="00AE6D40" w:rsidRPr="00E95FD5" w:rsidRDefault="00AE6D40" w:rsidP="00AE6D4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AE6D40" w:rsidRPr="00E95FD5" w:rsidRDefault="00AE6D40" w:rsidP="00AE6D4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19</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AE6D40" w:rsidRPr="00E95FD5" w:rsidRDefault="00AE6D40" w:rsidP="00AE6D40">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0" w:type="pct"/>
            <w:tcBorders>
              <w:top w:val="single" w:sz="8" w:space="0" w:color="000000"/>
              <w:left w:val="nil"/>
              <w:bottom w:val="single" w:sz="8" w:space="0" w:color="000000"/>
              <w:right w:val="nil"/>
            </w:tcBorders>
            <w:vAlign w:val="center"/>
          </w:tcPr>
          <w:p w:rsidR="00AE6D40" w:rsidRPr="00E95FD5" w:rsidRDefault="00AE6D40" w:rsidP="00AE6D4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Δ</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AE6D40" w:rsidRPr="00E95FD5" w:rsidRDefault="00AE6D40" w:rsidP="00AE6D4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78"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tcPr>
          <w:p w:rsidR="00AE6D40" w:rsidRPr="00E95FD5" w:rsidRDefault="00AE6D40" w:rsidP="00AE6D40">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CB38FC" w:rsidRPr="00E95FD5" w:rsidTr="00BF017A">
        <w:trPr>
          <w:trHeight w:hRule="exact" w:val="227"/>
        </w:trPr>
        <w:tc>
          <w:tcPr>
            <w:tcW w:w="2121"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480" w:type="pct"/>
            <w:tcBorders>
              <w:top w:val="single" w:sz="8" w:space="0" w:color="000000"/>
              <w:bottom w:val="nil"/>
              <w:right w:val="nil"/>
            </w:tcBorders>
            <w:shd w:val="clear" w:color="auto" w:fill="auto"/>
            <w:vAlign w:val="center"/>
          </w:tcPr>
          <w:p w:rsidR="00CB38FC" w:rsidRPr="008618D2" w:rsidRDefault="00CB38FC" w:rsidP="008618D2">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1</w:t>
            </w:r>
            <w:r w:rsidR="008618D2" w:rsidRPr="008618D2">
              <w:rPr>
                <w:rFonts w:ascii="Segoe UI" w:hAnsi="Segoe UI" w:cs="Segoe UI"/>
                <w:sz w:val="14"/>
                <w:szCs w:val="16"/>
              </w:rPr>
              <w:t>.</w:t>
            </w:r>
            <w:r w:rsidRPr="008618D2">
              <w:rPr>
                <w:rFonts w:ascii="Segoe UI" w:hAnsi="Segoe UI" w:cs="Segoe UI"/>
                <w:sz w:val="14"/>
                <w:szCs w:val="16"/>
              </w:rPr>
              <w:t xml:space="preserve">169 </w:t>
            </w:r>
          </w:p>
        </w:tc>
        <w:tc>
          <w:tcPr>
            <w:tcW w:w="480" w:type="pct"/>
            <w:tcBorders>
              <w:top w:val="nil"/>
              <w:left w:val="nil"/>
              <w:bottom w:val="nil"/>
              <w:right w:val="nil"/>
            </w:tcBorders>
            <w:shd w:val="clear" w:color="auto" w:fill="auto"/>
            <w:vAlign w:val="center"/>
          </w:tcPr>
          <w:p w:rsidR="00CB38FC" w:rsidRPr="008618D2" w:rsidRDefault="00CB38FC" w:rsidP="008618D2">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1</w:t>
            </w:r>
            <w:r w:rsidR="008618D2">
              <w:rPr>
                <w:rFonts w:ascii="Segoe UI" w:hAnsi="Segoe UI" w:cs="Segoe UI"/>
                <w:sz w:val="14"/>
                <w:szCs w:val="16"/>
                <w:lang w:val="en-US"/>
              </w:rPr>
              <w:t>.</w:t>
            </w:r>
            <w:r w:rsidRPr="008618D2">
              <w:rPr>
                <w:rFonts w:ascii="Segoe UI" w:hAnsi="Segoe UI" w:cs="Segoe UI"/>
                <w:sz w:val="14"/>
                <w:szCs w:val="16"/>
              </w:rPr>
              <w:t xml:space="preserve">190 </w:t>
            </w:r>
          </w:p>
        </w:tc>
        <w:tc>
          <w:tcPr>
            <w:tcW w:w="480" w:type="pct"/>
            <w:tcBorders>
              <w:top w:val="single" w:sz="8" w:space="0" w:color="000000"/>
              <w:left w:val="nil"/>
              <w:bottom w:val="nil"/>
              <w:right w:val="nil"/>
            </w:tcBorders>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-2%</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314 </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304 </w:t>
            </w:r>
          </w:p>
        </w:tc>
        <w:tc>
          <w:tcPr>
            <w:tcW w:w="478" w:type="pct"/>
            <w:tcBorders>
              <w:top w:val="single" w:sz="4" w:space="0" w:color="auto"/>
              <w:left w:val="nil"/>
              <w:bottom w:val="nil"/>
              <w:right w:val="nil"/>
            </w:tcBorders>
            <w:shd w:val="clear" w:color="auto" w:fill="auto"/>
            <w:tcMar>
              <w:top w:w="15" w:type="dxa"/>
              <w:left w:w="15" w:type="dxa"/>
              <w:bottom w:w="0" w:type="dxa"/>
              <w:right w:w="78" w:type="dxa"/>
            </w:tcMar>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3%</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480" w:type="pct"/>
            <w:tcBorders>
              <w:top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256 </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256 </w:t>
            </w:r>
          </w:p>
        </w:tc>
        <w:tc>
          <w:tcPr>
            <w:tcW w:w="480" w:type="pct"/>
            <w:tcBorders>
              <w:top w:val="nil"/>
              <w:left w:val="nil"/>
              <w:bottom w:val="nil"/>
              <w:right w:val="nil"/>
            </w:tcBorders>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0%</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68 </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65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5%</w:t>
            </w:r>
          </w:p>
        </w:tc>
      </w:tr>
      <w:tr w:rsidR="00CB38FC" w:rsidRPr="00E95FD5" w:rsidTr="00CB38FC">
        <w:trPr>
          <w:trHeight w:hRule="exact" w:val="227"/>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480" w:type="pct"/>
            <w:tcBorders>
              <w:top w:val="nil"/>
              <w:bottom w:val="nil"/>
              <w:right w:val="nil"/>
            </w:tcBorders>
            <w:shd w:val="clear" w:color="000000" w:fill="F2F2F2"/>
            <w:vAlign w:val="center"/>
          </w:tcPr>
          <w:p w:rsidR="00CB38FC" w:rsidRPr="008618D2" w:rsidRDefault="00CB38FC" w:rsidP="008618D2">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1</w:t>
            </w:r>
            <w:r w:rsidR="008618D2">
              <w:rPr>
                <w:rFonts w:ascii="Segoe UI" w:hAnsi="Segoe UI" w:cs="Segoe UI"/>
                <w:b/>
                <w:sz w:val="14"/>
                <w:szCs w:val="16"/>
                <w:lang w:val="en-US"/>
              </w:rPr>
              <w:t>.</w:t>
            </w:r>
            <w:r w:rsidRPr="008618D2">
              <w:rPr>
                <w:rFonts w:ascii="Segoe UI" w:hAnsi="Segoe UI" w:cs="Segoe UI"/>
                <w:b/>
                <w:sz w:val="14"/>
                <w:szCs w:val="16"/>
              </w:rPr>
              <w:t xml:space="preserve">424 </w:t>
            </w:r>
          </w:p>
        </w:tc>
        <w:tc>
          <w:tcPr>
            <w:tcW w:w="480" w:type="pct"/>
            <w:tcBorders>
              <w:top w:val="nil"/>
              <w:left w:val="nil"/>
              <w:bottom w:val="nil"/>
              <w:right w:val="nil"/>
            </w:tcBorders>
            <w:shd w:val="clear" w:color="000000" w:fill="F2F2F2"/>
            <w:vAlign w:val="center"/>
          </w:tcPr>
          <w:p w:rsidR="00CB38FC" w:rsidRPr="008618D2" w:rsidRDefault="00CB38FC" w:rsidP="008618D2">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1</w:t>
            </w:r>
            <w:r w:rsidR="008618D2">
              <w:rPr>
                <w:rFonts w:ascii="Segoe UI" w:hAnsi="Segoe UI" w:cs="Segoe UI"/>
                <w:b/>
                <w:sz w:val="14"/>
                <w:szCs w:val="16"/>
                <w:lang w:val="en-US"/>
              </w:rPr>
              <w:t>.</w:t>
            </w:r>
            <w:r w:rsidRPr="008618D2">
              <w:rPr>
                <w:rFonts w:ascii="Segoe UI" w:hAnsi="Segoe UI" w:cs="Segoe UI"/>
                <w:b/>
                <w:sz w:val="14"/>
                <w:szCs w:val="16"/>
              </w:rPr>
              <w:t xml:space="preserve">446 </w:t>
            </w:r>
          </w:p>
        </w:tc>
        <w:tc>
          <w:tcPr>
            <w:tcW w:w="480" w:type="pct"/>
            <w:tcBorders>
              <w:top w:val="nil"/>
              <w:left w:val="nil"/>
              <w:bottom w:val="nil"/>
              <w:right w:val="nil"/>
            </w:tcBorders>
            <w:shd w:val="clear" w:color="000000" w:fill="F2F2F2"/>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b/>
                <w:i/>
                <w:sz w:val="14"/>
                <w:szCs w:val="16"/>
              </w:rPr>
            </w:pPr>
            <w:r w:rsidRPr="008618D2">
              <w:rPr>
                <w:rFonts w:ascii="Segoe UI" w:hAnsi="Segoe UI" w:cs="Segoe UI"/>
                <w:b/>
                <w:i/>
                <w:sz w:val="14"/>
                <w:szCs w:val="16"/>
              </w:rPr>
              <w:t>-1%</w:t>
            </w:r>
          </w:p>
        </w:tc>
        <w:tc>
          <w:tcPr>
            <w:tcW w:w="480" w:type="pct"/>
            <w:tcBorders>
              <w:top w:val="nil"/>
              <w:left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382 </w:t>
            </w:r>
          </w:p>
        </w:tc>
        <w:tc>
          <w:tcPr>
            <w:tcW w:w="480" w:type="pct"/>
            <w:tcBorders>
              <w:top w:val="nil"/>
              <w:left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369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b/>
                <w:i/>
                <w:sz w:val="14"/>
                <w:szCs w:val="16"/>
              </w:rPr>
            </w:pPr>
            <w:r w:rsidRPr="008618D2">
              <w:rPr>
                <w:rFonts w:ascii="Segoe UI" w:hAnsi="Segoe UI" w:cs="Segoe UI"/>
                <w:b/>
                <w:i/>
                <w:sz w:val="14"/>
                <w:szCs w:val="16"/>
              </w:rPr>
              <w:t>3%</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r w:rsidRPr="0020487F">
              <w:rPr>
                <w:rFonts w:ascii="Segoe UI" w:eastAsia="Segoe UI" w:hAnsi="Segoe UI" w:cs="Segoe UI"/>
                <w:color w:val="000000"/>
                <w:kern w:val="24"/>
                <w:sz w:val="16"/>
                <w:szCs w:val="14"/>
                <w:vertAlign w:val="superscript"/>
                <w:lang w:eastAsia="el-GR"/>
              </w:rPr>
              <w:t>1</w:t>
            </w:r>
          </w:p>
        </w:tc>
        <w:tc>
          <w:tcPr>
            <w:tcW w:w="480" w:type="pct"/>
            <w:tcBorders>
              <w:top w:val="nil"/>
              <w:bottom w:val="nil"/>
              <w:right w:val="nil"/>
            </w:tcBorders>
            <w:shd w:val="clear" w:color="auto" w:fill="auto"/>
            <w:vAlign w:val="center"/>
          </w:tcPr>
          <w:p w:rsidR="00CB38FC" w:rsidRPr="00CB38FC" w:rsidRDefault="00CB38FC" w:rsidP="008618D2">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1</w:t>
            </w:r>
            <w:r w:rsidR="008618D2">
              <w:rPr>
                <w:rFonts w:ascii="Segoe UI" w:hAnsi="Segoe UI" w:cs="Segoe UI"/>
                <w:sz w:val="14"/>
                <w:szCs w:val="16"/>
                <w:lang w:val="en-US"/>
              </w:rPr>
              <w:t>.</w:t>
            </w:r>
            <w:r w:rsidRPr="00CB38FC">
              <w:rPr>
                <w:rFonts w:ascii="Segoe UI" w:hAnsi="Segoe UI" w:cs="Segoe UI"/>
                <w:sz w:val="14"/>
                <w:szCs w:val="16"/>
                <w:lang w:val="en-US"/>
              </w:rPr>
              <w:t xml:space="preserve">098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230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268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43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r>
      <w:tr w:rsidR="00CB38FC" w:rsidRPr="00E95FD5" w:rsidTr="00CB38FC">
        <w:trPr>
          <w:trHeight w:hRule="exact" w:val="227"/>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480" w:type="pct"/>
            <w:tcBorders>
              <w:top w:val="nil"/>
              <w:bottom w:val="nil"/>
              <w:right w:val="nil"/>
            </w:tcBorders>
            <w:shd w:val="clear" w:color="000000" w:fill="F2F2F2"/>
            <w:vAlign w:val="center"/>
          </w:tcPr>
          <w:p w:rsidR="00CB38FC" w:rsidRPr="00CB38FC" w:rsidRDefault="00CB38FC" w:rsidP="008618D2">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2</w:t>
            </w:r>
            <w:r w:rsidR="008618D2">
              <w:rPr>
                <w:rFonts w:ascii="Segoe UI" w:hAnsi="Segoe UI" w:cs="Segoe UI"/>
                <w:b/>
                <w:sz w:val="14"/>
                <w:szCs w:val="16"/>
                <w:lang w:val="en-US"/>
              </w:rPr>
              <w:t>.</w:t>
            </w:r>
            <w:r w:rsidRPr="00CB38FC">
              <w:rPr>
                <w:rFonts w:ascii="Segoe UI" w:hAnsi="Segoe UI" w:cs="Segoe UI"/>
                <w:b/>
                <w:sz w:val="14"/>
                <w:szCs w:val="16"/>
                <w:lang w:val="en-US"/>
              </w:rPr>
              <w:t xml:space="preserve">522 </w:t>
            </w:r>
          </w:p>
        </w:tc>
        <w:tc>
          <w:tcPr>
            <w:tcW w:w="480" w:type="pct"/>
            <w:tcBorders>
              <w:top w:val="nil"/>
              <w:left w:val="nil"/>
              <w:bottom w:val="nil"/>
              <w:right w:val="nil"/>
            </w:tcBorders>
            <w:shd w:val="clear" w:color="000000" w:fill="F2F2F2"/>
            <w:vAlign w:val="center"/>
          </w:tcPr>
          <w:p w:rsidR="00CB38FC" w:rsidRPr="008618D2" w:rsidRDefault="00CB38FC" w:rsidP="008618D2">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1</w:t>
            </w:r>
            <w:r w:rsidR="008618D2" w:rsidRPr="008618D2">
              <w:rPr>
                <w:rFonts w:ascii="Segoe UI" w:hAnsi="Segoe UI" w:cs="Segoe UI"/>
                <w:b/>
                <w:sz w:val="14"/>
                <w:szCs w:val="16"/>
              </w:rPr>
              <w:t>.</w:t>
            </w:r>
            <w:r w:rsidRPr="008618D2">
              <w:rPr>
                <w:rFonts w:ascii="Segoe UI" w:hAnsi="Segoe UI" w:cs="Segoe UI"/>
                <w:b/>
                <w:sz w:val="14"/>
                <w:szCs w:val="16"/>
              </w:rPr>
              <w:t xml:space="preserve">675 </w:t>
            </w:r>
          </w:p>
        </w:tc>
        <w:tc>
          <w:tcPr>
            <w:tcW w:w="480" w:type="pct"/>
            <w:tcBorders>
              <w:top w:val="nil"/>
              <w:left w:val="nil"/>
              <w:bottom w:val="nil"/>
              <w:right w:val="nil"/>
            </w:tcBorders>
            <w:shd w:val="clear" w:color="000000" w:fill="F2F2F2"/>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b/>
                <w:i/>
                <w:sz w:val="14"/>
                <w:szCs w:val="16"/>
              </w:rPr>
            </w:pPr>
            <w:r w:rsidRPr="008618D2">
              <w:rPr>
                <w:rFonts w:ascii="Segoe UI" w:hAnsi="Segoe UI" w:cs="Segoe UI"/>
                <w:b/>
                <w:i/>
                <w:sz w:val="14"/>
                <w:szCs w:val="16"/>
              </w:rPr>
              <w:t>51%</w:t>
            </w:r>
          </w:p>
        </w:tc>
        <w:tc>
          <w:tcPr>
            <w:tcW w:w="480" w:type="pct"/>
            <w:tcBorders>
              <w:top w:val="nil"/>
              <w:left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650 </w:t>
            </w:r>
          </w:p>
        </w:tc>
        <w:tc>
          <w:tcPr>
            <w:tcW w:w="480" w:type="pct"/>
            <w:tcBorders>
              <w:top w:val="nil"/>
              <w:left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412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b/>
                <w:i/>
                <w:sz w:val="14"/>
                <w:szCs w:val="16"/>
              </w:rPr>
            </w:pPr>
            <w:r w:rsidRPr="008618D2">
              <w:rPr>
                <w:rFonts w:ascii="Segoe UI" w:hAnsi="Segoe UI" w:cs="Segoe UI"/>
                <w:b/>
                <w:i/>
                <w:sz w:val="14"/>
                <w:szCs w:val="16"/>
              </w:rPr>
              <w:t>58%</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480" w:type="pct"/>
            <w:tcBorders>
              <w:top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(814) </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(846) </w:t>
            </w:r>
          </w:p>
        </w:tc>
        <w:tc>
          <w:tcPr>
            <w:tcW w:w="480" w:type="pct"/>
            <w:tcBorders>
              <w:top w:val="nil"/>
              <w:left w:val="nil"/>
              <w:bottom w:val="nil"/>
              <w:right w:val="nil"/>
            </w:tcBorders>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-4%</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(210) </w:t>
            </w:r>
          </w:p>
        </w:tc>
        <w:tc>
          <w:tcPr>
            <w:tcW w:w="480" w:type="pct"/>
            <w:tcBorders>
              <w:top w:val="nil"/>
              <w:left w:val="nil"/>
              <w:bottom w:val="nil"/>
              <w:right w:val="nil"/>
            </w:tcBorders>
            <w:shd w:val="clear" w:color="auto" w:fill="auto"/>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sz w:val="14"/>
                <w:szCs w:val="16"/>
              </w:rPr>
            </w:pPr>
            <w:r w:rsidRPr="008618D2">
              <w:rPr>
                <w:rFonts w:ascii="Segoe UI" w:hAnsi="Segoe UI" w:cs="Segoe UI"/>
                <w:sz w:val="14"/>
                <w:szCs w:val="16"/>
              </w:rPr>
              <w:t xml:space="preserve">(198)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CB38FC" w:rsidRPr="008618D2" w:rsidRDefault="00CB38FC" w:rsidP="00CB38FC">
            <w:pPr>
              <w:pStyle w:val="Web"/>
              <w:spacing w:before="0" w:beforeAutospacing="0" w:after="0" w:afterAutospacing="0"/>
              <w:ind w:right="148"/>
              <w:jc w:val="right"/>
              <w:textAlignment w:val="center"/>
              <w:rPr>
                <w:rFonts w:ascii="Segoe UI" w:hAnsi="Segoe UI" w:cs="Segoe UI"/>
                <w:i/>
                <w:sz w:val="14"/>
                <w:szCs w:val="16"/>
              </w:rPr>
            </w:pPr>
            <w:r w:rsidRPr="008618D2">
              <w:rPr>
                <w:rFonts w:ascii="Segoe UI" w:hAnsi="Segoe UI" w:cs="Segoe UI"/>
                <w:i/>
                <w:sz w:val="14"/>
                <w:szCs w:val="16"/>
              </w:rPr>
              <w:t>6%</w:t>
            </w:r>
          </w:p>
        </w:tc>
      </w:tr>
      <w:tr w:rsidR="00CB38FC" w:rsidRPr="00E95FD5" w:rsidTr="00CB38FC">
        <w:trPr>
          <w:trHeight w:hRule="exact" w:val="227"/>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0" w:type="pct"/>
            <w:tcBorders>
              <w:top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610 </w:t>
            </w:r>
          </w:p>
        </w:tc>
        <w:tc>
          <w:tcPr>
            <w:tcW w:w="480" w:type="pct"/>
            <w:tcBorders>
              <w:top w:val="nil"/>
              <w:left w:val="nil"/>
              <w:bottom w:val="nil"/>
              <w:right w:val="nil"/>
            </w:tcBorders>
            <w:shd w:val="clear" w:color="000000" w:fill="F2F2F2"/>
            <w:vAlign w:val="center"/>
          </w:tcPr>
          <w:p w:rsidR="00CB38FC" w:rsidRPr="008618D2" w:rsidRDefault="00CB38FC" w:rsidP="00CB38FC">
            <w:pPr>
              <w:pStyle w:val="Web"/>
              <w:spacing w:before="0" w:beforeAutospacing="0" w:after="0" w:afterAutospacing="0"/>
              <w:ind w:right="148"/>
              <w:jc w:val="right"/>
              <w:textAlignment w:val="center"/>
              <w:rPr>
                <w:rFonts w:ascii="Segoe UI" w:hAnsi="Segoe UI" w:cs="Segoe UI"/>
                <w:b/>
                <w:sz w:val="14"/>
                <w:szCs w:val="16"/>
              </w:rPr>
            </w:pPr>
            <w:r w:rsidRPr="008618D2">
              <w:rPr>
                <w:rFonts w:ascii="Segoe UI" w:hAnsi="Segoe UI" w:cs="Segoe UI"/>
                <w:b/>
                <w:sz w:val="14"/>
                <w:szCs w:val="16"/>
              </w:rPr>
              <w:t xml:space="preserve">600 </w:t>
            </w:r>
          </w:p>
        </w:tc>
        <w:tc>
          <w:tcPr>
            <w:tcW w:w="480" w:type="pct"/>
            <w:tcBorders>
              <w:top w:val="nil"/>
              <w:left w:val="nil"/>
              <w:bottom w:val="nil"/>
              <w:right w:val="nil"/>
            </w:tcBorders>
            <w:shd w:val="clear" w:color="000000" w:fill="F2F2F2"/>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2%</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171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171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0%</w:t>
            </w:r>
          </w:p>
        </w:tc>
      </w:tr>
      <w:tr w:rsidR="00CB38FC" w:rsidRPr="00E95FD5" w:rsidTr="00CB38FC">
        <w:trPr>
          <w:trHeight w:hRule="exact" w:val="227"/>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480" w:type="pct"/>
            <w:tcBorders>
              <w:top w:val="nil"/>
              <w:bottom w:val="nil"/>
              <w:right w:val="nil"/>
            </w:tcBorders>
            <w:shd w:val="clear" w:color="000000" w:fill="F2F2F2"/>
            <w:vAlign w:val="center"/>
          </w:tcPr>
          <w:p w:rsidR="00CB38FC" w:rsidRPr="00CB38FC" w:rsidRDefault="00CB38FC" w:rsidP="008618D2">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1</w:t>
            </w:r>
            <w:r w:rsidR="008618D2">
              <w:rPr>
                <w:rFonts w:ascii="Segoe UI" w:hAnsi="Segoe UI" w:cs="Segoe UI"/>
                <w:b/>
                <w:sz w:val="14"/>
                <w:szCs w:val="16"/>
                <w:lang w:val="en-US"/>
              </w:rPr>
              <w:t>.</w:t>
            </w:r>
            <w:r w:rsidRPr="00CB38FC">
              <w:rPr>
                <w:rFonts w:ascii="Segoe UI" w:hAnsi="Segoe UI" w:cs="Segoe UI"/>
                <w:b/>
                <w:sz w:val="14"/>
                <w:szCs w:val="16"/>
                <w:lang w:val="en-US"/>
              </w:rPr>
              <w:t xml:space="preserve">708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829 </w:t>
            </w:r>
          </w:p>
        </w:tc>
        <w:tc>
          <w:tcPr>
            <w:tcW w:w="480" w:type="pct"/>
            <w:tcBorders>
              <w:top w:val="nil"/>
              <w:left w:val="nil"/>
              <w:bottom w:val="nil"/>
              <w:right w:val="nil"/>
            </w:tcBorders>
            <w:shd w:val="clear" w:color="000000" w:fill="F2F2F2"/>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&gt;100%</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440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215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&gt;100%</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p>
        </w:tc>
        <w:tc>
          <w:tcPr>
            <w:tcW w:w="480" w:type="pct"/>
            <w:tcBorders>
              <w:top w:val="nil"/>
              <w:bottom w:val="nil"/>
              <w:right w:val="nil"/>
            </w:tcBorders>
            <w:shd w:val="clear" w:color="auto" w:fill="auto"/>
            <w:vAlign w:val="center"/>
          </w:tcPr>
          <w:p w:rsidR="00CB38FC" w:rsidRPr="00CB38FC" w:rsidRDefault="00CB38FC" w:rsidP="008618D2">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(1</w:t>
            </w:r>
            <w:r w:rsidR="008618D2">
              <w:rPr>
                <w:rFonts w:ascii="Segoe UI" w:hAnsi="Segoe UI" w:cs="Segoe UI"/>
                <w:sz w:val="14"/>
                <w:szCs w:val="16"/>
                <w:lang w:val="en-US"/>
              </w:rPr>
              <w:t>.</w:t>
            </w:r>
            <w:r w:rsidRPr="00CB38FC">
              <w:rPr>
                <w:rFonts w:ascii="Segoe UI" w:hAnsi="Segoe UI" w:cs="Segoe UI"/>
                <w:sz w:val="14"/>
                <w:szCs w:val="16"/>
                <w:lang w:val="en-US"/>
              </w:rPr>
              <w:t xml:space="preserve">071)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(367)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(431)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(78)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637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462 </w:t>
            </w:r>
          </w:p>
        </w:tc>
        <w:tc>
          <w:tcPr>
            <w:tcW w:w="480" w:type="pct"/>
            <w:tcBorders>
              <w:top w:val="nil"/>
              <w:left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38%</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9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137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-94%</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tcPr>
          <w:p w:rsidR="00CB38FC" w:rsidRPr="00E95FD5" w:rsidRDefault="00CB38FC" w:rsidP="00CB38FC">
            <w:pPr>
              <w:textAlignment w:val="center"/>
              <w:rPr>
                <w:rFonts w:ascii="Segoe UI" w:eastAsia="Segoe UI" w:hAnsi="Segoe UI" w:cs="Segoe UI"/>
                <w:b/>
                <w:bCs/>
                <w:color w:val="000000"/>
                <w:kern w:val="24"/>
                <w:sz w:val="14"/>
                <w:szCs w:val="14"/>
                <w:lang w:eastAsia="el-GR"/>
              </w:rPr>
            </w:pPr>
            <w:r w:rsidRPr="00897890">
              <w:rPr>
                <w:rFonts w:ascii="Segoe UI" w:eastAsia="Segoe UI" w:hAnsi="Segoe UI" w:cs="Segoe UI"/>
                <w:b/>
                <w:bCs/>
                <w:color w:val="000000"/>
                <w:kern w:val="24"/>
                <w:sz w:val="14"/>
                <w:szCs w:val="14"/>
                <w:lang w:eastAsia="el-GR"/>
              </w:rPr>
              <w:t>Οργανικά κέρδη / (ζημίες)</w:t>
            </w:r>
            <w:r w:rsidRPr="00467E58">
              <w:rPr>
                <w:rFonts w:ascii="Segoe UI" w:eastAsia="Segoe UI" w:hAnsi="Segoe UI" w:cs="Segoe UI"/>
                <w:b/>
                <w:bCs/>
                <w:color w:val="000000"/>
                <w:kern w:val="24"/>
                <w:sz w:val="14"/>
                <w:szCs w:val="14"/>
                <w:vertAlign w:val="superscript"/>
                <w:lang w:eastAsia="el-GR"/>
              </w:rPr>
              <w:t>2</w:t>
            </w:r>
            <w:r w:rsidRPr="00897890">
              <w:rPr>
                <w:rFonts w:ascii="Segoe UI" w:eastAsia="Segoe UI" w:hAnsi="Segoe UI" w:cs="Segoe UI"/>
                <w:b/>
                <w:bCs/>
                <w:color w:val="000000"/>
                <w:kern w:val="24"/>
                <w:sz w:val="14"/>
                <w:szCs w:val="14"/>
                <w:lang w:eastAsia="el-GR"/>
              </w:rPr>
              <w:t xml:space="preserve"> </w:t>
            </w:r>
          </w:p>
        </w:tc>
        <w:tc>
          <w:tcPr>
            <w:tcW w:w="480" w:type="pct"/>
            <w:tcBorders>
              <w:top w:val="nil"/>
              <w:bottom w:val="nil"/>
              <w:right w:val="nil"/>
            </w:tcBorders>
            <w:shd w:val="clear" w:color="000000" w:fill="F2F2F2"/>
            <w:vAlign w:val="center"/>
          </w:tcPr>
          <w:p w:rsidR="00CB38FC" w:rsidRPr="00CB38FC" w:rsidRDefault="00CB38FC" w:rsidP="00852DA0">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32</w:t>
            </w:r>
            <w:r w:rsidR="00852DA0">
              <w:rPr>
                <w:rFonts w:ascii="Segoe UI" w:hAnsi="Segoe UI" w:cs="Segoe UI"/>
                <w:b/>
                <w:sz w:val="14"/>
                <w:szCs w:val="16"/>
                <w:lang w:val="en-US"/>
              </w:rPr>
              <w:t>8</w:t>
            </w:r>
            <w:r w:rsidRPr="00CB38FC">
              <w:rPr>
                <w:rFonts w:ascii="Segoe UI" w:hAnsi="Segoe UI" w:cs="Segoe UI"/>
                <w:b/>
                <w:sz w:val="14"/>
                <w:szCs w:val="16"/>
                <w:lang w:val="en-US"/>
              </w:rPr>
              <w:t xml:space="preserve">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232 </w:t>
            </w:r>
          </w:p>
        </w:tc>
        <w:tc>
          <w:tcPr>
            <w:tcW w:w="480" w:type="pct"/>
            <w:tcBorders>
              <w:top w:val="nil"/>
              <w:bottom w:val="nil"/>
            </w:tcBorders>
            <w:shd w:val="clear" w:color="auto" w:fill="F2F2F2" w:themeFill="background1" w:themeFillShade="F2"/>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41%</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100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97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CB38FC" w:rsidRPr="00CB38FC" w:rsidRDefault="00852DA0" w:rsidP="00852DA0">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3</w:t>
            </w:r>
            <w:r w:rsidR="00CB38FC" w:rsidRPr="00CB38FC">
              <w:rPr>
                <w:rFonts w:ascii="Segoe UI" w:hAnsi="Segoe UI" w:cs="Segoe UI"/>
                <w:b/>
                <w:i/>
                <w:sz w:val="14"/>
                <w:szCs w:val="16"/>
                <w:lang w:val="en-US"/>
              </w:rPr>
              <w:t>%</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Λοιπές προβλέψεις</w:t>
            </w:r>
            <w:r>
              <w:rPr>
                <w:rFonts w:ascii="Segoe UI" w:eastAsia="Segoe UI" w:hAnsi="Segoe UI" w:cs="Segoe UI"/>
                <w:color w:val="000000"/>
                <w:kern w:val="24"/>
                <w:sz w:val="14"/>
                <w:szCs w:val="14"/>
                <w:lang w:eastAsia="el-GR"/>
              </w:rPr>
              <w:t xml:space="preserve"> / αντιλογισμός προβλέψεων </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(35)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21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Pr>
                <w:rFonts w:ascii="Segoe UI" w:hAnsi="Segoe UI" w:cs="Segoe UI"/>
                <w:i/>
                <w:sz w:val="14"/>
                <w:szCs w:val="16"/>
                <w:lang w:val="en-US"/>
              </w:rPr>
              <w:t>--</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(19)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rPr>
            </w:pPr>
            <w:r>
              <w:rPr>
                <w:rFonts w:ascii="Segoe UI" w:hAnsi="Segoe UI" w:cs="Segoe UI"/>
                <w:i/>
                <w:sz w:val="14"/>
                <w:szCs w:val="16"/>
              </w:rPr>
              <w:t>--</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b/>
                <w:sz w:val="14"/>
                <w:szCs w:val="14"/>
                <w:lang w:eastAsia="el-GR"/>
              </w:rPr>
            </w:pPr>
            <w:r w:rsidRPr="00E95FD5">
              <w:rPr>
                <w:rFonts w:ascii="Segoe UI" w:eastAsia="Segoe UI" w:hAnsi="Segoe UI" w:cs="Segoe UI"/>
                <w:b/>
                <w:color w:val="000000"/>
                <w:kern w:val="24"/>
                <w:sz w:val="14"/>
                <w:szCs w:val="14"/>
                <w:lang w:eastAsia="el-GR"/>
              </w:rPr>
              <w:t>Κέρδη / (ζημίες) προ φόρων</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602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483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25%</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(10)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140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rPr>
            </w:pPr>
            <w:r>
              <w:rPr>
                <w:rFonts w:ascii="Segoe UI" w:hAnsi="Segoe UI" w:cs="Segoe UI"/>
                <w:b/>
                <w:i/>
                <w:sz w:val="14"/>
                <w:szCs w:val="16"/>
              </w:rPr>
              <w:t>--</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(11)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(13)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-17%</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-83%</w:t>
            </w:r>
          </w:p>
        </w:tc>
      </w:tr>
      <w:tr w:rsidR="00CB38FC" w:rsidRPr="00E95FD5" w:rsidTr="00CB38FC">
        <w:trPr>
          <w:trHeight w:hRule="exact" w:val="227"/>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Κέρδη / (ζημίες) μετά </w:t>
            </w:r>
            <w:r>
              <w:rPr>
                <w:rFonts w:ascii="Segoe UI" w:eastAsia="Segoe UI" w:hAnsi="Segoe UI" w:cs="Segoe UI"/>
                <w:b/>
                <w:bCs/>
                <w:color w:val="000000"/>
                <w:kern w:val="24"/>
                <w:sz w:val="14"/>
                <w:szCs w:val="14"/>
                <w:lang w:eastAsia="el-GR"/>
              </w:rPr>
              <w:t xml:space="preserve">από </w:t>
            </w:r>
            <w:r w:rsidRPr="00E95FD5">
              <w:rPr>
                <w:rFonts w:ascii="Segoe UI" w:eastAsia="Segoe UI" w:hAnsi="Segoe UI" w:cs="Segoe UI"/>
                <w:b/>
                <w:bCs/>
                <w:color w:val="000000"/>
                <w:kern w:val="24"/>
                <w:sz w:val="14"/>
                <w:szCs w:val="14"/>
                <w:lang w:eastAsia="el-GR"/>
              </w:rPr>
              <w:t>φόρ</w:t>
            </w:r>
            <w:r>
              <w:rPr>
                <w:rFonts w:ascii="Segoe UI" w:eastAsia="Segoe UI" w:hAnsi="Segoe UI" w:cs="Segoe UI"/>
                <w:b/>
                <w:bCs/>
                <w:color w:val="000000"/>
                <w:kern w:val="24"/>
                <w:sz w:val="14"/>
                <w:szCs w:val="14"/>
                <w:lang w:eastAsia="el-GR"/>
              </w:rPr>
              <w:t>ους</w:t>
            </w:r>
            <w:r w:rsidRPr="000D2509">
              <w:rPr>
                <w:rFonts w:ascii="Segoe UI" w:eastAsia="Segoe UI" w:hAnsi="Segoe UI" w:cs="Segoe UI"/>
                <w:b/>
                <w:bCs/>
                <w:color w:val="000000"/>
                <w:kern w:val="24"/>
                <w:sz w:val="14"/>
                <w:szCs w:val="14"/>
                <w:lang w:eastAsia="el-GR"/>
              </w:rPr>
              <w:t xml:space="preserve"> </w:t>
            </w:r>
            <w:r w:rsidRPr="00E95FD5">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συνεχ</w:t>
            </w:r>
            <w:proofErr w:type="spellEnd"/>
            <w:r>
              <w:rPr>
                <w:rFonts w:ascii="Segoe UI" w:eastAsia="Segoe UI" w:hAnsi="Segoe UI" w:cs="Segoe UI"/>
                <w:b/>
                <w:bCs/>
                <w:color w:val="000000"/>
                <w:kern w:val="24"/>
                <w:sz w:val="14"/>
                <w:szCs w:val="14"/>
                <w:lang w:eastAsia="el-GR"/>
              </w:rPr>
              <w:t>/</w:t>
            </w:r>
            <w:proofErr w:type="spellStart"/>
            <w:r>
              <w:rPr>
                <w:rFonts w:ascii="Segoe UI" w:eastAsia="Segoe UI" w:hAnsi="Segoe UI" w:cs="Segoe UI"/>
                <w:b/>
                <w:bCs/>
                <w:color w:val="000000"/>
                <w:kern w:val="24"/>
                <w:sz w:val="14"/>
                <w:szCs w:val="14"/>
                <w:lang w:eastAsia="el-GR"/>
              </w:rPr>
              <w:t>με</w:t>
            </w:r>
            <w:r w:rsidRPr="00E95FD5">
              <w:rPr>
                <w:rFonts w:ascii="Segoe UI" w:eastAsia="Segoe UI" w:hAnsi="Segoe UI" w:cs="Segoe UI"/>
                <w:b/>
                <w:bCs/>
                <w:color w:val="000000"/>
                <w:kern w:val="24"/>
                <w:sz w:val="14"/>
                <w:szCs w:val="14"/>
                <w:lang w:eastAsia="el-GR"/>
              </w:rPr>
              <w:t>νες</w:t>
            </w:r>
            <w:proofErr w:type="spellEnd"/>
            <w:r w:rsidRPr="00E95FD5">
              <w:rPr>
                <w:rFonts w:ascii="Segoe UI" w:eastAsia="Segoe UI" w:hAnsi="Segoe UI" w:cs="Segoe UI"/>
                <w:b/>
                <w:bCs/>
                <w:color w:val="000000"/>
                <w:kern w:val="24"/>
                <w:sz w:val="14"/>
                <w:szCs w:val="14"/>
                <w:lang w:eastAsia="el-GR"/>
              </w:rPr>
              <w:t xml:space="preserve"> </w:t>
            </w:r>
            <w:proofErr w:type="spellStart"/>
            <w:r>
              <w:rPr>
                <w:rFonts w:ascii="Segoe UI" w:eastAsia="Segoe UI" w:hAnsi="Segoe UI" w:cs="Segoe UI"/>
                <w:b/>
                <w:bCs/>
                <w:color w:val="000000"/>
                <w:kern w:val="24"/>
                <w:sz w:val="14"/>
                <w:szCs w:val="14"/>
                <w:lang w:eastAsia="el-GR"/>
              </w:rPr>
              <w:t>δ</w:t>
            </w:r>
            <w:r w:rsidRPr="00E95FD5">
              <w:rPr>
                <w:rFonts w:ascii="Segoe UI" w:eastAsia="Segoe UI" w:hAnsi="Segoe UI" w:cs="Segoe UI"/>
                <w:b/>
                <w:bCs/>
                <w:color w:val="000000"/>
                <w:kern w:val="24"/>
                <w:sz w:val="14"/>
                <w:szCs w:val="14"/>
                <w:lang w:eastAsia="el-GR"/>
              </w:rPr>
              <w:t>ραστ</w:t>
            </w:r>
            <w:proofErr w:type="spellEnd"/>
            <w:r>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τητες</w:t>
            </w:r>
            <w:proofErr w:type="spellEnd"/>
            <w:r w:rsidRPr="00E95FD5">
              <w:rPr>
                <w:rFonts w:ascii="Segoe UI" w:eastAsia="Segoe UI" w:hAnsi="Segoe UI" w:cs="Segoe UI"/>
                <w:b/>
                <w:bCs/>
                <w:color w:val="000000"/>
                <w:kern w:val="24"/>
                <w:sz w:val="14"/>
                <w:szCs w:val="14"/>
                <w:lang w:eastAsia="el-GR"/>
              </w:rPr>
              <w:t>)</w:t>
            </w:r>
          </w:p>
        </w:tc>
        <w:tc>
          <w:tcPr>
            <w:tcW w:w="480" w:type="pct"/>
            <w:tcBorders>
              <w:top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591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470 </w:t>
            </w:r>
          </w:p>
        </w:tc>
        <w:tc>
          <w:tcPr>
            <w:tcW w:w="480" w:type="pct"/>
            <w:tcBorders>
              <w:top w:val="nil"/>
              <w:left w:val="nil"/>
              <w:bottom w:val="nil"/>
              <w:right w:val="nil"/>
            </w:tcBorders>
            <w:shd w:val="clear" w:color="000000" w:fill="F2F2F2"/>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sidRPr="00CB38FC">
              <w:rPr>
                <w:rFonts w:ascii="Segoe UI" w:hAnsi="Segoe UI" w:cs="Segoe UI"/>
                <w:b/>
                <w:i/>
                <w:sz w:val="14"/>
                <w:szCs w:val="16"/>
                <w:lang w:val="en-US"/>
              </w:rPr>
              <w:t>26%</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(11) </w:t>
            </w:r>
          </w:p>
        </w:tc>
        <w:tc>
          <w:tcPr>
            <w:tcW w:w="480" w:type="pct"/>
            <w:tcBorders>
              <w:top w:val="nil"/>
              <w:left w:val="nil"/>
              <w:bottom w:val="nil"/>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137 </w:t>
            </w:r>
          </w:p>
        </w:tc>
        <w:tc>
          <w:tcPr>
            <w:tcW w:w="478" w:type="pct"/>
            <w:tcBorders>
              <w:top w:val="nil"/>
              <w:left w:val="nil"/>
              <w:bottom w:val="nil"/>
              <w:right w:val="nil"/>
            </w:tcBorders>
            <w:shd w:val="clear" w:color="000000" w:fill="F2F2F2"/>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rPr>
            </w:pPr>
            <w:r>
              <w:rPr>
                <w:rFonts w:ascii="Segoe UI" w:hAnsi="Segoe UI" w:cs="Segoe UI"/>
                <w:b/>
                <w:i/>
                <w:sz w:val="14"/>
                <w:szCs w:val="16"/>
              </w:rPr>
              <w:t>--</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bCs/>
                <w:color w:val="000000"/>
                <w:kern w:val="24"/>
                <w:sz w:val="14"/>
                <w:szCs w:val="14"/>
                <w:lang w:eastAsia="el-GR"/>
              </w:rPr>
              <w:t xml:space="preserve">Κέρδη / (ζημίες) μετά </w:t>
            </w:r>
            <w:r w:rsidRPr="00BC5C8C">
              <w:rPr>
                <w:rFonts w:ascii="Segoe UI" w:eastAsia="Segoe UI" w:hAnsi="Segoe UI" w:cs="Segoe UI"/>
                <w:bCs/>
                <w:color w:val="000000"/>
                <w:kern w:val="24"/>
                <w:sz w:val="14"/>
                <w:szCs w:val="14"/>
                <w:lang w:eastAsia="el-GR"/>
              </w:rPr>
              <w:t xml:space="preserve">από φόρους </w:t>
            </w:r>
            <w:r w:rsidRPr="00E95FD5">
              <w:rPr>
                <w:rFonts w:ascii="Segoe UI" w:eastAsia="Segoe UI" w:hAnsi="Segoe UI" w:cs="Segoe UI"/>
                <w:bCs/>
                <w:color w:val="000000"/>
                <w:kern w:val="24"/>
                <w:sz w:val="14"/>
                <w:szCs w:val="14"/>
                <w:lang w:eastAsia="el-GR"/>
              </w:rPr>
              <w:t>(διακοπείσες δραστηριότητες)</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(362)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(480)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-25%</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(354)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(22)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CB38FC" w:rsidRPr="00C67C08" w:rsidRDefault="00CB38FC" w:rsidP="00383C2F">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Pr="00E95FD5">
              <w:rPr>
                <w:rFonts w:ascii="Segoe UI" w:eastAsia="Segoe UI" w:hAnsi="Segoe UI" w:cs="Segoe UI"/>
                <w:color w:val="000000"/>
                <w:kern w:val="24"/>
                <w:sz w:val="14"/>
                <w:szCs w:val="14"/>
                <w:lang w:eastAsia="el-GR"/>
              </w:rPr>
              <w:t xml:space="preserve">κόστη </w:t>
            </w:r>
            <w:proofErr w:type="spellStart"/>
            <w:r w:rsidRPr="00E95FD5">
              <w:rPr>
                <w:rFonts w:ascii="Segoe UI" w:eastAsia="Segoe UI" w:hAnsi="Segoe UI" w:cs="Segoe UI"/>
                <w:color w:val="000000"/>
                <w:kern w:val="24"/>
                <w:sz w:val="14"/>
                <w:szCs w:val="14"/>
                <w:lang w:eastAsia="el-GR"/>
              </w:rPr>
              <w:t>αναδ</w:t>
            </w:r>
            <w:proofErr w:type="spellEnd"/>
            <w:r>
              <w:rPr>
                <w:rFonts w:ascii="Segoe UI" w:eastAsia="Segoe UI" w:hAnsi="Segoe UI" w:cs="Segoe UI"/>
                <w:color w:val="000000"/>
                <w:kern w:val="24"/>
                <w:sz w:val="14"/>
                <w:szCs w:val="14"/>
                <w:lang w:eastAsia="el-GR"/>
              </w:rPr>
              <w:t>/</w:t>
            </w:r>
            <w:proofErr w:type="spellStart"/>
            <w:r>
              <w:rPr>
                <w:rFonts w:ascii="Segoe UI" w:eastAsia="Segoe UI" w:hAnsi="Segoe UI" w:cs="Segoe UI"/>
                <w:color w:val="000000"/>
                <w:kern w:val="24"/>
                <w:sz w:val="14"/>
                <w:szCs w:val="14"/>
                <w:lang w:eastAsia="el-GR"/>
              </w:rPr>
              <w:t>σης</w:t>
            </w:r>
            <w:proofErr w:type="spellEnd"/>
            <w:r>
              <w:rPr>
                <w:rFonts w:ascii="Segoe UI" w:eastAsia="Segoe UI" w:hAnsi="Segoe UI" w:cs="Segoe UI"/>
                <w:color w:val="000000"/>
                <w:kern w:val="24"/>
                <w:sz w:val="14"/>
                <w:szCs w:val="14"/>
                <w:lang w:eastAsia="el-GR"/>
              </w:rPr>
              <w:t xml:space="preserve"> κ λοιπά έκτακτα κόστη</w:t>
            </w:r>
          </w:p>
        </w:tc>
        <w:tc>
          <w:tcPr>
            <w:tcW w:w="480" w:type="pct"/>
            <w:tcBorders>
              <w:top w:val="nil"/>
              <w:left w:val="nil"/>
              <w:right w:val="nil"/>
            </w:tcBorders>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(189) </w:t>
            </w:r>
          </w:p>
        </w:tc>
        <w:tc>
          <w:tcPr>
            <w:tcW w:w="480" w:type="pct"/>
            <w:tcBorders>
              <w:top w:val="nil"/>
              <w:left w:val="nil"/>
              <w:bottom w:val="nil"/>
              <w:right w:val="nil"/>
            </w:tcBorders>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(226) </w:t>
            </w:r>
          </w:p>
        </w:tc>
        <w:tc>
          <w:tcPr>
            <w:tcW w:w="480" w:type="pct"/>
            <w:tcBorders>
              <w:top w:val="nil"/>
              <w:left w:val="nil"/>
              <w:bottom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-16%</w:t>
            </w:r>
          </w:p>
        </w:tc>
        <w:tc>
          <w:tcPr>
            <w:tcW w:w="480" w:type="pct"/>
            <w:tcBorders>
              <w:top w:val="nil"/>
              <w:left w:val="nil"/>
              <w:bottom w:val="nil"/>
              <w:right w:val="nil"/>
            </w:tcBorders>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(58) </w:t>
            </w:r>
          </w:p>
        </w:tc>
        <w:tc>
          <w:tcPr>
            <w:tcW w:w="480" w:type="pct"/>
            <w:tcBorders>
              <w:top w:val="nil"/>
              <w:left w:val="nil"/>
              <w:bottom w:val="nil"/>
              <w:right w:val="nil"/>
            </w:tcBorders>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(15) </w:t>
            </w:r>
          </w:p>
        </w:tc>
        <w:tc>
          <w:tcPr>
            <w:tcW w:w="478" w:type="pct"/>
            <w:tcBorders>
              <w:top w:val="nil"/>
              <w:left w:val="nil"/>
              <w:bottom w:val="nil"/>
            </w:tcBorders>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&gt;100%</w:t>
            </w:r>
          </w:p>
        </w:tc>
      </w:tr>
      <w:tr w:rsidR="00CB38FC" w:rsidRPr="00E95FD5" w:rsidTr="00CB38FC">
        <w:trPr>
          <w:trHeight w:hRule="exact" w:val="227"/>
        </w:trPr>
        <w:tc>
          <w:tcPr>
            <w:tcW w:w="2121" w:type="pct"/>
            <w:tcBorders>
              <w:top w:val="nil"/>
              <w:left w:val="nil"/>
              <w:bottom w:val="nil"/>
              <w:right w:val="nil"/>
            </w:tcBorders>
            <w:shd w:val="clear" w:color="auto" w:fill="auto"/>
            <w:tcMar>
              <w:top w:w="15" w:type="dxa"/>
              <w:left w:w="42" w:type="dxa"/>
              <w:bottom w:w="0" w:type="dxa"/>
              <w:right w:w="15" w:type="dxa"/>
            </w:tcMar>
            <w:vAlign w:val="center"/>
          </w:tcPr>
          <w:p w:rsidR="00CB38FC" w:rsidRPr="00E95FD5" w:rsidRDefault="00CB38FC" w:rsidP="00CB38FC">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Δικαιώματα μειοψηφίας</w:t>
            </w:r>
          </w:p>
        </w:tc>
        <w:tc>
          <w:tcPr>
            <w:tcW w:w="480" w:type="pct"/>
            <w:tcBorders>
              <w:top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(2)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(18) </w:t>
            </w:r>
          </w:p>
        </w:tc>
        <w:tc>
          <w:tcPr>
            <w:tcW w:w="480" w:type="pct"/>
            <w:tcBorders>
              <w:top w:val="nil"/>
              <w:left w:val="nil"/>
              <w:right w:val="nil"/>
            </w:tcBorders>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-90%</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(1) </w:t>
            </w:r>
          </w:p>
        </w:tc>
        <w:tc>
          <w:tcPr>
            <w:tcW w:w="480" w:type="pct"/>
            <w:tcBorders>
              <w:top w:val="nil"/>
              <w:left w:val="nil"/>
              <w:bottom w:val="nil"/>
              <w:right w:val="nil"/>
            </w:tcBorders>
            <w:shd w:val="clear" w:color="auto" w:fill="auto"/>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sz w:val="14"/>
                <w:szCs w:val="16"/>
                <w:lang w:val="en-US"/>
              </w:rPr>
            </w:pPr>
            <w:r w:rsidRPr="00CB38FC">
              <w:rPr>
                <w:rFonts w:ascii="Segoe UI" w:hAnsi="Segoe UI" w:cs="Segoe UI"/>
                <w:sz w:val="14"/>
                <w:szCs w:val="16"/>
                <w:lang w:val="en-US"/>
              </w:rPr>
              <w:t xml:space="preserve">(0)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i/>
                <w:sz w:val="14"/>
                <w:szCs w:val="16"/>
                <w:lang w:val="en-US"/>
              </w:rPr>
            </w:pPr>
            <w:r w:rsidRPr="00CB38FC">
              <w:rPr>
                <w:rFonts w:ascii="Segoe UI" w:hAnsi="Segoe UI" w:cs="Segoe UI"/>
                <w:i/>
                <w:sz w:val="14"/>
                <w:szCs w:val="16"/>
                <w:lang w:val="en-US"/>
              </w:rPr>
              <w:t>25%</w:t>
            </w:r>
          </w:p>
        </w:tc>
      </w:tr>
      <w:tr w:rsidR="00CB38FC" w:rsidRPr="00E95FD5" w:rsidTr="00BF017A">
        <w:trPr>
          <w:trHeight w:hRule="exact" w:val="227"/>
        </w:trPr>
        <w:tc>
          <w:tcPr>
            <w:tcW w:w="2121"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CB38FC" w:rsidRPr="00E95FD5" w:rsidRDefault="00CB38FC" w:rsidP="00CB38FC">
            <w:pPr>
              <w:jc w:val="both"/>
              <w:textAlignment w:val="center"/>
              <w:rPr>
                <w:rFonts w:ascii="Segoe UI" w:eastAsia="Segoe UI" w:hAnsi="Segoe UI" w:cs="Segoe UI"/>
                <w:color w:val="000000"/>
                <w:kern w:val="24"/>
                <w:sz w:val="14"/>
                <w:szCs w:val="14"/>
                <w:lang w:eastAsia="el-GR"/>
              </w:rPr>
            </w:pPr>
            <w:r w:rsidRPr="00E95FD5">
              <w:rPr>
                <w:rFonts w:ascii="Segoe UI" w:eastAsia="Segoe UI" w:hAnsi="Segoe UI" w:cs="Segoe UI"/>
                <w:b/>
                <w:color w:val="000000"/>
                <w:kern w:val="24"/>
                <w:sz w:val="14"/>
                <w:szCs w:val="14"/>
                <w:lang w:eastAsia="el-GR"/>
              </w:rPr>
              <w:t xml:space="preserve">Κέρδη / (ζημίες) μετά </w:t>
            </w:r>
            <w:r w:rsidRPr="00976026">
              <w:rPr>
                <w:rFonts w:ascii="Segoe UI" w:eastAsia="Segoe UI" w:hAnsi="Segoe UI" w:cs="Segoe UI"/>
                <w:b/>
                <w:color w:val="000000"/>
                <w:kern w:val="24"/>
                <w:sz w:val="14"/>
                <w:szCs w:val="14"/>
                <w:lang w:eastAsia="el-GR"/>
              </w:rPr>
              <w:t xml:space="preserve">από φόρους </w:t>
            </w:r>
            <w:r w:rsidRPr="00E95FD5">
              <w:rPr>
                <w:rFonts w:ascii="Segoe UI" w:eastAsia="Segoe UI" w:hAnsi="Segoe UI" w:cs="Segoe UI"/>
                <w:b/>
                <w:color w:val="000000"/>
                <w:kern w:val="24"/>
                <w:sz w:val="14"/>
                <w:szCs w:val="14"/>
                <w:lang w:eastAsia="el-GR"/>
              </w:rPr>
              <w:t>περιόδου</w:t>
            </w:r>
          </w:p>
        </w:tc>
        <w:tc>
          <w:tcPr>
            <w:tcW w:w="480" w:type="pct"/>
            <w:tcBorders>
              <w:top w:val="nil"/>
              <w:bottom w:val="single" w:sz="8" w:space="0" w:color="auto"/>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38 </w:t>
            </w:r>
          </w:p>
        </w:tc>
        <w:tc>
          <w:tcPr>
            <w:tcW w:w="480" w:type="pct"/>
            <w:tcBorders>
              <w:top w:val="nil"/>
              <w:left w:val="nil"/>
              <w:bottom w:val="single" w:sz="8" w:space="0" w:color="auto"/>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(255) </w:t>
            </w:r>
          </w:p>
        </w:tc>
        <w:tc>
          <w:tcPr>
            <w:tcW w:w="480" w:type="pct"/>
            <w:tcBorders>
              <w:top w:val="nil"/>
              <w:bottom w:val="single" w:sz="8" w:space="0" w:color="000000"/>
            </w:tcBorders>
            <w:shd w:val="clear" w:color="000000" w:fill="F2F2F2"/>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c>
          <w:tcPr>
            <w:tcW w:w="480" w:type="pct"/>
            <w:tcBorders>
              <w:top w:val="nil"/>
              <w:left w:val="nil"/>
              <w:bottom w:val="single" w:sz="8" w:space="0" w:color="auto"/>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(423) </w:t>
            </w:r>
          </w:p>
        </w:tc>
        <w:tc>
          <w:tcPr>
            <w:tcW w:w="480" w:type="pct"/>
            <w:tcBorders>
              <w:top w:val="nil"/>
              <w:left w:val="nil"/>
              <w:bottom w:val="single" w:sz="8" w:space="0" w:color="auto"/>
              <w:right w:val="nil"/>
            </w:tcBorders>
            <w:shd w:val="clear" w:color="000000" w:fill="F2F2F2"/>
            <w:vAlign w:val="center"/>
          </w:tcPr>
          <w:p w:rsidR="00CB38FC" w:rsidRPr="00CB38FC" w:rsidRDefault="00CB38FC" w:rsidP="00CB38FC">
            <w:pPr>
              <w:pStyle w:val="Web"/>
              <w:spacing w:before="0" w:beforeAutospacing="0" w:after="0" w:afterAutospacing="0"/>
              <w:ind w:right="148"/>
              <w:jc w:val="right"/>
              <w:textAlignment w:val="center"/>
              <w:rPr>
                <w:rFonts w:ascii="Segoe UI" w:hAnsi="Segoe UI" w:cs="Segoe UI"/>
                <w:b/>
                <w:sz w:val="14"/>
                <w:szCs w:val="16"/>
                <w:lang w:val="en-US"/>
              </w:rPr>
            </w:pPr>
            <w:r w:rsidRPr="00CB38FC">
              <w:rPr>
                <w:rFonts w:ascii="Segoe UI" w:hAnsi="Segoe UI" w:cs="Segoe UI"/>
                <w:b/>
                <w:sz w:val="14"/>
                <w:szCs w:val="16"/>
                <w:lang w:val="en-US"/>
              </w:rPr>
              <w:t xml:space="preserve">101 </w:t>
            </w:r>
          </w:p>
        </w:tc>
        <w:tc>
          <w:tcPr>
            <w:tcW w:w="478" w:type="pct"/>
            <w:tcBorders>
              <w:top w:val="nil"/>
              <w:left w:val="nil"/>
              <w:bottom w:val="single" w:sz="8" w:space="0" w:color="auto"/>
              <w:right w:val="nil"/>
            </w:tcBorders>
            <w:shd w:val="clear" w:color="000000" w:fill="F2F2F2"/>
            <w:tcMar>
              <w:top w:w="15" w:type="dxa"/>
              <w:left w:w="15" w:type="dxa"/>
              <w:bottom w:w="0" w:type="dxa"/>
              <w:right w:w="84" w:type="dxa"/>
            </w:tcMar>
            <w:vAlign w:val="bottom"/>
          </w:tcPr>
          <w:p w:rsidR="00CB38FC" w:rsidRPr="00CB38FC" w:rsidRDefault="00CB38FC" w:rsidP="00CB38FC">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r>
    </w:tbl>
    <w:p w:rsidR="00907DAB" w:rsidRPr="00B315DE" w:rsidRDefault="006313CE" w:rsidP="00BE6158">
      <w:pPr>
        <w:jc w:val="both"/>
        <w:textAlignment w:val="baseline"/>
        <w:rPr>
          <w:rFonts w:ascii="Segoe UI" w:hAnsi="Segoe UI" w:cs="Segoe UI"/>
          <w:b/>
          <w:sz w:val="9"/>
          <w:szCs w:val="7"/>
        </w:rPr>
      </w:pPr>
      <w:r w:rsidRPr="00B315DE">
        <w:rPr>
          <w:rFonts w:ascii="Segoe UI" w:hAnsi="Segoe UI" w:cs="Segoe UI"/>
          <w:color w:val="000000" w:themeColor="text1"/>
          <w:kern w:val="24"/>
          <w:sz w:val="9"/>
          <w:szCs w:val="7"/>
          <w:vertAlign w:val="superscript"/>
        </w:rPr>
        <w:t xml:space="preserve">1 </w:t>
      </w:r>
      <w:r w:rsidR="005748DD" w:rsidRPr="00B315DE">
        <w:rPr>
          <w:rFonts w:ascii="Segoe UI" w:hAnsi="Segoe UI" w:cs="Segoe UI"/>
          <w:color w:val="000000" w:themeColor="text1"/>
          <w:kern w:val="24"/>
          <w:sz w:val="9"/>
          <w:szCs w:val="7"/>
        </w:rPr>
        <w:t>Περιλαμβάνουν μη επαναλαμβανόμενα κέρδη σχετιζόμενα</w:t>
      </w:r>
      <w:r w:rsidR="0020487F" w:rsidRPr="00B315DE">
        <w:rPr>
          <w:rFonts w:ascii="Segoe UI" w:hAnsi="Segoe UI" w:cs="Segoe UI"/>
          <w:color w:val="000000" w:themeColor="text1"/>
          <w:kern w:val="24"/>
          <w:sz w:val="9"/>
          <w:szCs w:val="7"/>
        </w:rPr>
        <w:t xml:space="preserve"> με </w:t>
      </w:r>
      <w:r w:rsidR="00676B25" w:rsidRPr="00B315DE">
        <w:rPr>
          <w:rFonts w:ascii="Segoe UI" w:hAnsi="Segoe UI" w:cs="Segoe UI"/>
          <w:color w:val="000000" w:themeColor="text1"/>
          <w:kern w:val="24"/>
          <w:sz w:val="9"/>
          <w:szCs w:val="7"/>
        </w:rPr>
        <w:t xml:space="preserve">την ανταλλαγή </w:t>
      </w:r>
      <w:r w:rsidR="003026CD" w:rsidRPr="00B315DE">
        <w:rPr>
          <w:rFonts w:ascii="Segoe UI" w:hAnsi="Segoe UI" w:cs="Segoe UI"/>
          <w:color w:val="000000" w:themeColor="text1"/>
          <w:kern w:val="24"/>
          <w:sz w:val="9"/>
          <w:szCs w:val="7"/>
        </w:rPr>
        <w:t xml:space="preserve">και πώληση </w:t>
      </w:r>
      <w:r w:rsidR="00676B25" w:rsidRPr="00B315DE">
        <w:rPr>
          <w:rFonts w:ascii="Segoe UI" w:hAnsi="Segoe UI" w:cs="Segoe UI"/>
          <w:color w:val="000000" w:themeColor="text1"/>
          <w:kern w:val="24"/>
          <w:sz w:val="9"/>
          <w:szCs w:val="7"/>
        </w:rPr>
        <w:t xml:space="preserve">ΟΕΔ </w:t>
      </w:r>
      <w:r w:rsidR="008E22E7">
        <w:rPr>
          <w:rFonts w:ascii="Segoe UI" w:hAnsi="Segoe UI" w:cs="Segoe UI"/>
          <w:color w:val="000000" w:themeColor="text1"/>
          <w:kern w:val="24"/>
          <w:sz w:val="9"/>
          <w:szCs w:val="7"/>
        </w:rPr>
        <w:t xml:space="preserve">συνολικού </w:t>
      </w:r>
      <w:r w:rsidR="00676B25" w:rsidRPr="00B315DE">
        <w:rPr>
          <w:rFonts w:ascii="Segoe UI" w:hAnsi="Segoe UI" w:cs="Segoe UI"/>
          <w:color w:val="000000" w:themeColor="text1"/>
          <w:kern w:val="24"/>
          <w:sz w:val="9"/>
          <w:szCs w:val="7"/>
        </w:rPr>
        <w:t>ύψους</w:t>
      </w:r>
      <w:r w:rsidR="008E22E7">
        <w:rPr>
          <w:rFonts w:ascii="Segoe UI" w:hAnsi="Segoe UI" w:cs="Segoe UI"/>
          <w:color w:val="000000" w:themeColor="text1"/>
          <w:kern w:val="24"/>
          <w:sz w:val="9"/>
          <w:szCs w:val="7"/>
        </w:rPr>
        <w:t xml:space="preserve"> </w:t>
      </w:r>
      <w:r w:rsidR="00676B25" w:rsidRPr="00B315DE">
        <w:rPr>
          <w:rFonts w:ascii="Segoe UI" w:hAnsi="Segoe UI" w:cs="Segoe UI"/>
          <w:color w:val="000000" w:themeColor="text1"/>
          <w:kern w:val="24"/>
          <w:sz w:val="9"/>
          <w:szCs w:val="7"/>
        </w:rPr>
        <w:t>€</w:t>
      </w:r>
      <w:r w:rsidR="00383C2F" w:rsidRPr="00B315DE">
        <w:rPr>
          <w:rFonts w:ascii="Segoe UI" w:hAnsi="Segoe UI" w:cs="Segoe UI"/>
          <w:color w:val="000000" w:themeColor="text1"/>
          <w:kern w:val="24"/>
          <w:sz w:val="9"/>
          <w:szCs w:val="7"/>
        </w:rPr>
        <w:t xml:space="preserve">1 δισ. </w:t>
      </w:r>
      <w:r w:rsidR="00676B25" w:rsidRPr="00B315DE">
        <w:rPr>
          <w:rFonts w:ascii="Segoe UI" w:hAnsi="Segoe UI" w:cs="Segoe UI"/>
          <w:color w:val="000000" w:themeColor="text1"/>
          <w:kern w:val="24"/>
          <w:sz w:val="9"/>
          <w:szCs w:val="7"/>
        </w:rPr>
        <w:t xml:space="preserve">το 2020 </w:t>
      </w:r>
      <w:r w:rsidR="005748DD" w:rsidRPr="00B315DE">
        <w:rPr>
          <w:rFonts w:ascii="Segoe UI" w:hAnsi="Segoe UI" w:cs="Segoe UI"/>
          <w:color w:val="000000" w:themeColor="text1"/>
          <w:kern w:val="24"/>
          <w:sz w:val="9"/>
          <w:szCs w:val="7"/>
        </w:rPr>
        <w:t>/</w:t>
      </w:r>
      <w:r w:rsidRPr="00B315DE">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vertAlign w:val="superscript"/>
        </w:rPr>
        <w:t>2</w:t>
      </w:r>
      <w:r w:rsidR="00924835" w:rsidRPr="00B315DE">
        <w:rPr>
          <w:rFonts w:ascii="Segoe UI" w:hAnsi="Segoe UI" w:cs="Segoe UI"/>
          <w:color w:val="000000" w:themeColor="text1"/>
          <w:kern w:val="24"/>
          <w:sz w:val="9"/>
          <w:szCs w:val="7"/>
          <w:vertAlign w:val="superscript"/>
        </w:rPr>
        <w:t xml:space="preserve"> </w:t>
      </w:r>
      <w:r w:rsidRPr="00B315DE">
        <w:rPr>
          <w:rFonts w:ascii="Segoe UI" w:hAnsi="Segoe UI" w:cs="Segoe UI"/>
          <w:color w:val="000000" w:themeColor="text1"/>
          <w:kern w:val="24"/>
          <w:sz w:val="9"/>
          <w:szCs w:val="7"/>
        </w:rPr>
        <w:t xml:space="preserve">Εξαιρούν </w:t>
      </w:r>
      <w:r w:rsidR="00286F74" w:rsidRPr="00B315DE">
        <w:rPr>
          <w:rFonts w:ascii="Segoe UI" w:hAnsi="Segoe UI" w:cs="Segoe UI"/>
          <w:color w:val="000000" w:themeColor="text1"/>
          <w:kern w:val="24"/>
          <w:sz w:val="9"/>
          <w:szCs w:val="7"/>
        </w:rPr>
        <w:t>τα έσοδα από χρηματοοικονομικές πράξεις και λοιπά έσοδα</w:t>
      </w:r>
      <w:r w:rsidR="00383C2F" w:rsidRPr="00B315DE">
        <w:rPr>
          <w:rFonts w:ascii="Segoe UI" w:hAnsi="Segoe UI" w:cs="Segoe UI"/>
          <w:color w:val="000000" w:themeColor="text1"/>
          <w:kern w:val="24"/>
          <w:sz w:val="9"/>
          <w:szCs w:val="7"/>
        </w:rPr>
        <w:t xml:space="preserve">, καθώς </w:t>
      </w:r>
      <w:r w:rsidR="00F2105E" w:rsidRPr="00B315DE">
        <w:rPr>
          <w:rFonts w:ascii="Segoe UI" w:hAnsi="Segoe UI" w:cs="Segoe UI"/>
          <w:color w:val="000000" w:themeColor="text1"/>
          <w:kern w:val="24"/>
          <w:sz w:val="9"/>
          <w:szCs w:val="7"/>
        </w:rPr>
        <w:t>και τ</w:t>
      </w:r>
      <w:r w:rsidRPr="00B315DE">
        <w:rPr>
          <w:rFonts w:ascii="Segoe UI" w:hAnsi="Segoe UI" w:cs="Segoe UI"/>
          <w:color w:val="000000" w:themeColor="text1"/>
          <w:kern w:val="24"/>
          <w:sz w:val="9"/>
          <w:szCs w:val="7"/>
        </w:rPr>
        <w:t xml:space="preserve">ις προβλέψεις </w:t>
      </w:r>
      <w:r w:rsidR="00467E58" w:rsidRPr="00B315DE">
        <w:rPr>
          <w:rFonts w:ascii="Segoe UI" w:hAnsi="Segoe UI" w:cs="Segoe UI"/>
          <w:color w:val="000000" w:themeColor="text1"/>
          <w:kern w:val="24"/>
          <w:sz w:val="9"/>
          <w:szCs w:val="7"/>
        </w:rPr>
        <w:t xml:space="preserve">σχετιζόμενες με την πανδημία του κορωνοϊού </w:t>
      </w:r>
      <w:r w:rsidR="00383C2F" w:rsidRPr="00B315DE">
        <w:rPr>
          <w:rFonts w:ascii="Segoe UI" w:hAnsi="Segoe UI" w:cs="Segoe UI"/>
          <w:color w:val="000000" w:themeColor="text1"/>
          <w:kern w:val="24"/>
          <w:sz w:val="9"/>
          <w:szCs w:val="7"/>
        </w:rPr>
        <w:t>(</w:t>
      </w:r>
      <w:r w:rsidRPr="00B315DE">
        <w:rPr>
          <w:rFonts w:ascii="Segoe UI" w:hAnsi="Segoe UI" w:cs="Segoe UI"/>
          <w:color w:val="000000" w:themeColor="text1"/>
          <w:kern w:val="24"/>
          <w:sz w:val="9"/>
          <w:szCs w:val="7"/>
        </w:rPr>
        <w:t>€</w:t>
      </w:r>
      <w:r w:rsidR="00383C2F" w:rsidRPr="00B315DE">
        <w:rPr>
          <w:rFonts w:ascii="Segoe UI" w:hAnsi="Segoe UI" w:cs="Segoe UI"/>
          <w:color w:val="000000" w:themeColor="text1"/>
          <w:kern w:val="24"/>
          <w:sz w:val="9"/>
          <w:szCs w:val="7"/>
        </w:rPr>
        <w:t xml:space="preserve">0,4 δισ.) και τη συναλλαγή </w:t>
      </w:r>
      <w:r w:rsidR="00383C2F" w:rsidRPr="00B315DE">
        <w:rPr>
          <w:rFonts w:ascii="Segoe UI" w:hAnsi="Segoe UI" w:cs="Segoe UI"/>
          <w:color w:val="000000" w:themeColor="text1"/>
          <w:kern w:val="24"/>
          <w:sz w:val="9"/>
          <w:szCs w:val="7"/>
          <w:lang w:val="en-US"/>
        </w:rPr>
        <w:t>Frontier</w:t>
      </w:r>
      <w:r w:rsidR="00383C2F" w:rsidRPr="00B315DE">
        <w:rPr>
          <w:rFonts w:ascii="Segoe UI" w:hAnsi="Segoe UI" w:cs="Segoe UI"/>
          <w:color w:val="000000" w:themeColor="text1"/>
          <w:kern w:val="24"/>
          <w:sz w:val="9"/>
          <w:szCs w:val="7"/>
        </w:rPr>
        <w:t xml:space="preserve"> (€0</w:t>
      </w:r>
      <w:r w:rsidR="00904303">
        <w:rPr>
          <w:rFonts w:ascii="Segoe UI" w:hAnsi="Segoe UI" w:cs="Segoe UI"/>
          <w:color w:val="000000" w:themeColor="text1"/>
          <w:kern w:val="24"/>
          <w:sz w:val="9"/>
          <w:szCs w:val="7"/>
        </w:rPr>
        <w:t>,</w:t>
      </w:r>
      <w:r w:rsidR="00383C2F" w:rsidRPr="00B315DE">
        <w:rPr>
          <w:rFonts w:ascii="Segoe UI" w:hAnsi="Segoe UI" w:cs="Segoe UI"/>
          <w:color w:val="000000" w:themeColor="text1"/>
          <w:kern w:val="24"/>
          <w:sz w:val="9"/>
          <w:szCs w:val="7"/>
        </w:rPr>
        <w:t>4 δισ.)</w:t>
      </w:r>
    </w:p>
    <w:p w:rsidR="00E55AED" w:rsidRPr="00F73358" w:rsidRDefault="00B315DE" w:rsidP="00E55AED">
      <w:pPr>
        <w:jc w:val="both"/>
        <w:rPr>
          <w:rFonts w:ascii="Segoe UI" w:hAnsi="Segoe UI" w:cs="Segoe UI"/>
          <w:b/>
          <w:sz w:val="36"/>
        </w:rPr>
      </w:pPr>
      <w:r w:rsidRPr="00F73358">
        <w:rPr>
          <w:rFonts w:ascii="Segoe UI" w:hAnsi="Segoe UI" w:cs="Segoe UI"/>
          <w:noProof/>
          <w:sz w:val="36"/>
          <w:lang w:eastAsia="el-GR"/>
        </w:rPr>
        <mc:AlternateContent>
          <mc:Choice Requires="wps">
            <w:drawing>
              <wp:anchor distT="0" distB="0" distL="114300" distR="114300" simplePos="0" relativeHeight="251680256" behindDoc="0" locked="0" layoutInCell="1" allowOverlap="1" wp14:anchorId="6F4F3C36" wp14:editId="4DC5D6A2">
                <wp:simplePos x="0" y="0"/>
                <wp:positionH relativeFrom="column">
                  <wp:posOffset>2746057</wp:posOffset>
                </wp:positionH>
                <wp:positionV relativeFrom="paragraph">
                  <wp:posOffset>306070</wp:posOffset>
                </wp:positionV>
                <wp:extent cx="611505" cy="1655445"/>
                <wp:effectExtent l="0" t="0" r="17145" b="2095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655445"/>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7356DA0B" id="Rounded Rectangle 18" o:spid="_x0000_s1026" style="position:absolute;margin-left:216.2pt;margin-top:24.1pt;width:48.15pt;height:130.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Jr0gEAAI4DAAAOAAAAZHJzL2Uyb0RvYy54bWysU8tu2zAQvBfoPxC815IMy00FyznUcC9B&#10;GyTtB6xJ6oHyBS5j2X/fJS07TXsreiFI7mh2Zrja3J+MZkcVcHS25dWi5ExZ4eRo+5b/+L7/cMcZ&#10;RrAStLOq5WeF/H77/t1m8o1ausFpqQIjEovN5Fs+xOibokAxKAO4cF5ZKnYuGIh0DH0hA0zEbnSx&#10;LMt1MbkgfXBCIdLt7lLk28zfdUrEb12HKjLdctIW8xryekhrsd1A0wfwwyhmGfAPKgyMlpreqHYQ&#10;gb2E8S8qM4rg0HVxIZwpXNeNQmUP5KYq/3DzPIBX2QuFg/4WE/4/WvH1+BjYKFu+XHNmwdAbPbkX&#10;K5VkT5Qe2F4rVt2loCaPDeGf/WNIVtE/OPETqVC8qaQDzphTF0zCklF2yqmfb6mrU2SCLtdVVZc1&#10;Z4JK1bquV6s6dSuguX7tA8YvyhmWNi0PSV8SlxOH4wPGC/6KSx2t249a0z002rKp5Z/qZWoCNGSd&#10;hkhb48k22p4z0D1Nr4ghM6LTo0xfZ5ehP3zWgR2BJmi//7iqrurewFLrHeBwweXSbELbRKPyLM5K&#10;XxNKu4OTZ3oDsGJwNJlJxTVTevQcxDygaap+P+fkX3+j7S8AAAD//wMAUEsDBBQABgAIAAAAIQDA&#10;H4u24QAAAAoBAAAPAAAAZHJzL2Rvd25yZXYueG1sTI9BTsMwEEX3SNzBGiR21KnbUjfEqRAFhECq&#10;ROgB3HiII2I7it029PQMK9jNaJ7+vF+sR9exIw6xDV7BdJIBQ18H0/pGwe7j6UYCi0l7o7vgUcE3&#10;RliXlxeFzk04+Xc8VqlhFOJjrhXYlPqc81hbdDpOQo+ebp9hcDrROjTcDPpE4a7jIstuudOtpw9W&#10;9/hgsf6qDk7BZiet2TxG+fbyWm9X5+nzuVoIpa6vxvs7YAnH9AfDrz6pQ0lO+3DwJrJOwXwm5oTS&#10;IAUwAhZCLoHtFcwyuQJeFvx/hfIHAAD//wMAUEsBAi0AFAAGAAgAAAAhALaDOJL+AAAA4QEAABMA&#10;AAAAAAAAAAAAAAAAAAAAAFtDb250ZW50X1R5cGVzXS54bWxQSwECLQAUAAYACAAAACEAOP0h/9YA&#10;AACUAQAACwAAAAAAAAAAAAAAAAAvAQAAX3JlbHMvLnJlbHNQSwECLQAUAAYACAAAACEAweoia9IB&#10;AACOAwAADgAAAAAAAAAAAAAAAAAuAgAAZHJzL2Uyb0RvYy54bWxQSwECLQAUAAYACAAAACEAwB+L&#10;tuEAAAAKAQAADwAAAAAAAAAAAAAAAAAsBAAAZHJzL2Rvd25yZXYueG1sUEsFBgAAAAAEAAQA8wAA&#10;ADoFAAAAAA==&#10;" filled="f" strokecolor="#ff7415">
                <v:path arrowok="t"/>
              </v:roundrect>
            </w:pict>
          </mc:Fallback>
        </mc:AlternateContent>
      </w:r>
      <w:r w:rsidR="007F463F" w:rsidRPr="006F363E">
        <w:rPr>
          <w:rFonts w:ascii="Segoe UI" w:hAnsi="Segoe UI" w:cs="Segoe UI"/>
          <w:b/>
          <w:noProof/>
          <w:sz w:val="18"/>
          <w:szCs w:val="20"/>
          <w:lang w:eastAsia="el-GR"/>
        </w:rPr>
        <mc:AlternateContent>
          <mc:Choice Requires="wps">
            <w:drawing>
              <wp:anchor distT="0" distB="0" distL="114300" distR="114300" simplePos="0" relativeHeight="251654656" behindDoc="0" locked="0" layoutInCell="1" allowOverlap="1" wp14:anchorId="1B931742" wp14:editId="74EFF812">
                <wp:simplePos x="0" y="0"/>
                <wp:positionH relativeFrom="column">
                  <wp:posOffset>-8890</wp:posOffset>
                </wp:positionH>
                <wp:positionV relativeFrom="paragraph">
                  <wp:posOffset>44656</wp:posOffset>
                </wp:positionV>
                <wp:extent cx="3416300" cy="329565"/>
                <wp:effectExtent l="0" t="0" r="0" b="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1630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20" w:rsidRPr="00053193" w:rsidRDefault="00817D20"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931742" id="Rectangle 4" o:spid="_x0000_s1032" style="position:absolute;left:0;text-align:left;margin-left:-.7pt;margin-top:3.5pt;width:269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isgIAALsFAAAOAAAAZHJzL2Uyb0RvYy54bWysVG1vmzAQ/j5p/8Hyd8pLgARUUrUhTJO6&#10;rVq3H+CACdbAZrYT0k377zubJCXtl2kbHyyffdw9z93ju745dC3aU6mY4Bn2rzyMKC9Fxfg2w1+/&#10;FM4CI6UJr0grOM3wE1X4Zvn2zfXQpzQQjWgrKhEE4Sod+gw3Wvep66qyoR1RV6KnHC5rITuiwZRb&#10;t5JkgOhd6waeF7uDkFUvRUmVgtN8vMRLG7+uaak/1bWiGrUZBmzartKuG7O6y2uSbiXpG1YeYZC/&#10;QNERxiHpOVRONEE7yV6F6lgphRK1vipF54q6ZiW1HICN771g89iQnlouUBzVn8uk/l/Y8uP+QSJW&#10;ZTiYY8RJBz36DFUjfNtSFJr6DL1Kwe2xf5CGoervRflNIS7eSWiYb1zcCx9jKPBGm+GDqCAg2Wlh&#10;q3OoZWdiAG90sE14OjeBHjQq4XAW+vHMg16VcDcLkiiObAqSnv7updLvqOiQ2WRYAlwbnezvlTZo&#10;SHpyMcm4KFjb2ka3/OIAHMcTapUy/k1SQAJb42kw2S7+TLxkvVgvQicM4rUTennu3Bar0IkLfx7l&#10;s3y1yv1fBoUfpg2rKspN0pOi/PDPOnbU9qiFs6aUaFllwhlISm43q1aiPQFFF/Y7lmfi5l7CsCUB&#10;Li8o+UHo3QWJU8SLuRMWYeQkc2/heH5yl8RemIR5cUnpnnH675TQkOEkCiLbswnoF9w8+73mRtKO&#10;aZgZLesyvDg7kbShpFrzyjZaE9aO+0kpDPznUkDzT4228jWKHcWuD5uDfRKxyW7UvBHVE+hZCpAb&#10;KBPmHWwaIX9gNMDsyLD6viOSYtS+5/A4w2juxzBspoacGpupQXgJoTJcaonRaKz0OKJ2vWTbBnL5&#10;tlhc3MJLqpkV+TOu4/uDCWHZHaeZGUFT23o9z9zlbwAAAP//AwBQSwMEFAAGAAgAAAAhAHPyW6Pc&#10;AAAABwEAAA8AAABkcnMvZG93bnJldi54bWxMj8FOwzAQRO9I/IO1SNxap6E4IcSpIMCRAy29O/E2&#10;jojtKHbb9O9ZTvQ2qxnNvC03sx3YCafQeydhtUyAoWu97l0n4Xv3sciBhaicVoN3KOGCATbV7U2p&#10;Cu3P7gtP29gxKnGhUBJMjGPBeWgNWhWWfkRH3sFPVkU6p47rSZ2p3A48TRLBreodLRg1Ym2w/dke&#10;rYS3Q/Oamnlf17vL/lPkafYu1pmU93fzyzOwiHP8D8MfPqFDRUyNPzod2CBhsVpTUkJGH5H9+CAE&#10;sIZE/gS8Kvk1f/ULAAD//wMAUEsBAi0AFAAGAAgAAAAhALaDOJL+AAAA4QEAABMAAAAAAAAAAAAA&#10;AAAAAAAAAFtDb250ZW50X1R5cGVzXS54bWxQSwECLQAUAAYACAAAACEAOP0h/9YAAACUAQAACwAA&#10;AAAAAAAAAAAAAAAvAQAAX3JlbHMvLnJlbHNQSwECLQAUAAYACAAAACEA6vneIrICAAC7BQAADgAA&#10;AAAAAAAAAAAAAAAuAgAAZHJzL2Uyb0RvYy54bWxQSwECLQAUAAYACAAAACEAc/Jbo9wAAAAHAQAA&#10;DwAAAAAAAAAAAAAAAAAMBQAAZHJzL2Rvd25yZXYueG1sUEsFBgAAAAAEAAQA8wAAABUGAAAAAA==&#10;" filled="f" stroked="f">
                <v:path arrowok="t"/>
                <o:lock v:ext="edit" grouping="t"/>
                <v:textbox inset="1.2699mm,1.2699mm,1.2699mm,1.2699mm">
                  <w:txbxContent>
                    <w:p w:rsidR="00817D20" w:rsidRPr="00053193" w:rsidRDefault="00817D20"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v:textbox>
              </v:rect>
            </w:pict>
          </mc:Fallback>
        </mc:AlternateContent>
      </w:r>
    </w:p>
    <w:tbl>
      <w:tblPr>
        <w:tblW w:w="4522" w:type="pct"/>
        <w:tblCellMar>
          <w:left w:w="0" w:type="dxa"/>
          <w:right w:w="0" w:type="dxa"/>
        </w:tblCellMar>
        <w:tblLook w:val="0420" w:firstRow="1" w:lastRow="0" w:firstColumn="0" w:lastColumn="0" w:noHBand="0" w:noVBand="1"/>
      </w:tblPr>
      <w:tblGrid>
        <w:gridCol w:w="4345"/>
        <w:gridCol w:w="978"/>
        <w:gridCol w:w="976"/>
        <w:gridCol w:w="976"/>
        <w:gridCol w:w="976"/>
        <w:gridCol w:w="972"/>
      </w:tblGrid>
      <w:tr w:rsidR="00AE6D40" w:rsidRPr="006B4FB1" w:rsidTr="00A573F7">
        <w:trPr>
          <w:trHeight w:val="287"/>
        </w:trPr>
        <w:tc>
          <w:tcPr>
            <w:tcW w:w="2356"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AE6D40" w:rsidRPr="006B4FB1" w:rsidRDefault="00AE6D40" w:rsidP="00AE6D40">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530"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7" w:type="pct"/>
            <w:tcBorders>
              <w:top w:val="single" w:sz="8" w:space="0" w:color="000000"/>
              <w:left w:val="nil"/>
              <w:bottom w:val="single" w:sz="8" w:space="0" w:color="000000"/>
              <w:right w:val="nil"/>
            </w:tcBorders>
            <w:vAlign w:val="center"/>
          </w:tcPr>
          <w:p w:rsidR="00AE6D40" w:rsidRPr="006B4FB1" w:rsidRDefault="00AE6D40" w:rsidP="00AE6D40">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r>
      <w:tr w:rsidR="00A573F7" w:rsidRPr="006B4FB1" w:rsidTr="00A573F7">
        <w:trPr>
          <w:trHeight w:val="227"/>
        </w:trPr>
        <w:tc>
          <w:tcPr>
            <w:tcW w:w="2356"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rsidR="00A573F7" w:rsidRPr="006B4FB1" w:rsidRDefault="00A573F7" w:rsidP="00A573F7">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530" w:type="pct"/>
            <w:tcBorders>
              <w:top w:val="single" w:sz="8" w:space="0" w:color="000000"/>
              <w:left w:val="nil"/>
              <w:bottom w:val="nil"/>
              <w:right w:val="nil"/>
            </w:tcBorders>
            <w:shd w:val="clear" w:color="auto" w:fill="F2F2F2"/>
          </w:tcPr>
          <w:p w:rsidR="00A573F7" w:rsidRPr="00A573F7" w:rsidRDefault="00A573F7" w:rsidP="00A573F7">
            <w:pPr>
              <w:ind w:right="148"/>
              <w:jc w:val="right"/>
              <w:rPr>
                <w:rFonts w:ascii="Segoe UI" w:eastAsia="Times New Roman" w:hAnsi="Segoe UI" w:cs="Segoe UI"/>
                <w:b/>
                <w:bCs/>
                <w:color w:val="000000" w:themeColor="text1"/>
                <w:kern w:val="24"/>
                <w:sz w:val="14"/>
                <w:szCs w:val="16"/>
                <w:lang w:eastAsia="el-GR"/>
              </w:rPr>
            </w:pPr>
            <w:r w:rsidRPr="00A573F7">
              <w:rPr>
                <w:rFonts w:ascii="Segoe UI" w:eastAsia="Times New Roman" w:hAnsi="Segoe UI" w:cs="Segoe UI"/>
                <w:b/>
                <w:bCs/>
                <w:color w:val="000000" w:themeColor="text1"/>
                <w:kern w:val="24"/>
                <w:sz w:val="14"/>
                <w:szCs w:val="16"/>
                <w:lang w:eastAsia="el-GR"/>
              </w:rPr>
              <w:t>77</w:t>
            </w:r>
            <w:r>
              <w:rPr>
                <w:rFonts w:ascii="Segoe UI" w:eastAsia="Times New Roman" w:hAnsi="Segoe UI" w:cs="Segoe UI"/>
                <w:b/>
                <w:bCs/>
                <w:color w:val="000000" w:themeColor="text1"/>
                <w:kern w:val="24"/>
                <w:sz w:val="14"/>
                <w:szCs w:val="16"/>
                <w:lang w:eastAsia="el-GR"/>
              </w:rPr>
              <w:t>.</w:t>
            </w:r>
            <w:r w:rsidRPr="00A573F7">
              <w:rPr>
                <w:rFonts w:ascii="Segoe UI" w:eastAsia="Times New Roman" w:hAnsi="Segoe UI" w:cs="Segoe UI"/>
                <w:b/>
                <w:bCs/>
                <w:color w:val="000000" w:themeColor="text1"/>
                <w:kern w:val="24"/>
                <w:sz w:val="14"/>
                <w:szCs w:val="16"/>
                <w:lang w:eastAsia="el-GR"/>
              </w:rPr>
              <w:t>485</w:t>
            </w:r>
          </w:p>
        </w:tc>
        <w:tc>
          <w:tcPr>
            <w:tcW w:w="529" w:type="pct"/>
            <w:tcBorders>
              <w:top w:val="single" w:sz="8" w:space="0" w:color="000000"/>
              <w:left w:val="nil"/>
              <w:bottom w:val="nil"/>
              <w:right w:val="nil"/>
            </w:tcBorders>
            <w:shd w:val="clear" w:color="auto" w:fill="F2F2F2"/>
          </w:tcPr>
          <w:p w:rsidR="00A573F7" w:rsidRPr="00026516" w:rsidRDefault="00A573F7" w:rsidP="00A573F7">
            <w:pPr>
              <w:ind w:right="148"/>
              <w:jc w:val="right"/>
              <w:rPr>
                <w:rFonts w:ascii="Segoe UI" w:eastAsia="Times New Roman" w:hAnsi="Segoe UI" w:cs="Segoe UI"/>
                <w:b/>
                <w:bCs/>
                <w:color w:val="000000" w:themeColor="text1"/>
                <w:kern w:val="24"/>
                <w:sz w:val="14"/>
                <w:szCs w:val="16"/>
                <w:lang w:eastAsia="el-GR"/>
              </w:rPr>
            </w:pPr>
            <w:r w:rsidRPr="00026516">
              <w:rPr>
                <w:rFonts w:ascii="Segoe UI" w:eastAsia="Times New Roman" w:hAnsi="Segoe UI" w:cs="Segoe UI"/>
                <w:b/>
                <w:bCs/>
                <w:color w:val="000000" w:themeColor="text1"/>
                <w:kern w:val="24"/>
                <w:sz w:val="14"/>
                <w:szCs w:val="16"/>
                <w:lang w:eastAsia="el-GR"/>
              </w:rPr>
              <w:t>74</w:t>
            </w:r>
            <w:r>
              <w:rPr>
                <w:rFonts w:ascii="Segoe UI" w:eastAsia="Times New Roman" w:hAnsi="Segoe UI" w:cs="Segoe UI"/>
                <w:b/>
                <w:bCs/>
                <w:color w:val="000000" w:themeColor="text1"/>
                <w:kern w:val="24"/>
                <w:sz w:val="14"/>
                <w:szCs w:val="16"/>
                <w:lang w:eastAsia="el-GR"/>
              </w:rPr>
              <w:t>.</w:t>
            </w:r>
            <w:r w:rsidRPr="00026516">
              <w:rPr>
                <w:rFonts w:ascii="Segoe UI" w:eastAsia="Times New Roman" w:hAnsi="Segoe UI" w:cs="Segoe UI"/>
                <w:b/>
                <w:bCs/>
                <w:color w:val="000000" w:themeColor="text1"/>
                <w:kern w:val="24"/>
                <w:sz w:val="14"/>
                <w:szCs w:val="16"/>
                <w:lang w:eastAsia="el-GR"/>
              </w:rPr>
              <w:t xml:space="preserve">536 </w:t>
            </w:r>
          </w:p>
        </w:tc>
        <w:tc>
          <w:tcPr>
            <w:tcW w:w="529" w:type="pct"/>
            <w:tcBorders>
              <w:top w:val="single" w:sz="8" w:space="0" w:color="000000"/>
              <w:left w:val="nil"/>
              <w:bottom w:val="nil"/>
              <w:right w:val="nil"/>
            </w:tcBorders>
            <w:shd w:val="clear" w:color="auto" w:fill="F2F2F2"/>
            <w:vAlign w:val="center"/>
          </w:tcPr>
          <w:p w:rsidR="00A573F7" w:rsidRPr="005610B3" w:rsidRDefault="00A573F7" w:rsidP="00A573F7">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74</w:t>
            </w:r>
            <w:r>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160</w:t>
            </w:r>
          </w:p>
        </w:tc>
        <w:tc>
          <w:tcPr>
            <w:tcW w:w="529" w:type="pct"/>
            <w:tcBorders>
              <w:top w:val="single" w:sz="8" w:space="0" w:color="000000"/>
              <w:left w:val="nil"/>
              <w:bottom w:val="nil"/>
              <w:right w:val="nil"/>
            </w:tcBorders>
            <w:shd w:val="clear" w:color="auto" w:fill="F2F2F2"/>
            <w:vAlign w:val="center"/>
          </w:tcPr>
          <w:p w:rsidR="00A573F7" w:rsidRPr="005610B3" w:rsidRDefault="00A573F7" w:rsidP="00A573F7">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69</w:t>
            </w:r>
            <w:r>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168</w:t>
            </w:r>
          </w:p>
        </w:tc>
        <w:tc>
          <w:tcPr>
            <w:tcW w:w="527" w:type="pct"/>
            <w:tcBorders>
              <w:top w:val="single" w:sz="8" w:space="0" w:color="000000"/>
              <w:left w:val="nil"/>
              <w:bottom w:val="nil"/>
              <w:right w:val="nil"/>
            </w:tcBorders>
            <w:shd w:val="clear" w:color="auto" w:fill="F2F2F2"/>
            <w:vAlign w:val="center"/>
          </w:tcPr>
          <w:p w:rsidR="00A573F7" w:rsidRPr="005610B3" w:rsidRDefault="00A573F7" w:rsidP="00A573F7">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w:t>
            </w:r>
            <w:r w:rsidRPr="005610B3">
              <w:rPr>
                <w:rFonts w:ascii="Segoe UI" w:eastAsia="Times New Roman" w:hAnsi="Segoe UI" w:cs="Segoe UI"/>
                <w:b/>
                <w:bCs/>
                <w:color w:val="000000" w:themeColor="text1"/>
                <w:kern w:val="24"/>
                <w:sz w:val="14"/>
                <w:szCs w:val="16"/>
                <w:lang w:val="en-US" w:eastAsia="el-GR"/>
              </w:rPr>
              <w:t>4</w:t>
            </w:r>
            <w:r>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val="en-US" w:eastAsia="el-GR"/>
              </w:rPr>
              <w:t>248</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hideMark/>
          </w:tcPr>
          <w:p w:rsidR="00A573F7" w:rsidRPr="006B4FB1" w:rsidRDefault="00A573F7" w:rsidP="00A573F7">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530" w:type="pct"/>
            <w:tcBorders>
              <w:top w:val="nil"/>
              <w:left w:val="nil"/>
              <w:bottom w:val="nil"/>
              <w:right w:val="nil"/>
            </w:tcBorders>
            <w:vAlign w:val="center"/>
          </w:tcPr>
          <w:p w:rsidR="00A573F7" w:rsidRPr="00A573F7" w:rsidRDefault="00A573F7" w:rsidP="00A573F7">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29.</w:t>
            </w:r>
            <w:r w:rsidRPr="00A573F7">
              <w:rPr>
                <w:rFonts w:ascii="Segoe UI" w:eastAsia="Times New Roman" w:hAnsi="Segoe UI" w:cs="Segoe UI"/>
                <w:bCs/>
                <w:color w:val="000000" w:themeColor="text1"/>
                <w:kern w:val="24"/>
                <w:sz w:val="14"/>
                <w:szCs w:val="16"/>
                <w:lang w:eastAsia="el-GR"/>
              </w:rPr>
              <w:t xml:space="preserve">515 </w:t>
            </w:r>
          </w:p>
        </w:tc>
        <w:tc>
          <w:tcPr>
            <w:tcW w:w="529" w:type="pct"/>
            <w:tcBorders>
              <w:top w:val="nil"/>
              <w:left w:val="nil"/>
              <w:bottom w:val="nil"/>
              <w:right w:val="nil"/>
            </w:tcBorders>
          </w:tcPr>
          <w:p w:rsidR="00A573F7" w:rsidRPr="00026516" w:rsidRDefault="00A573F7" w:rsidP="00A573F7">
            <w:pPr>
              <w:ind w:right="148"/>
              <w:jc w:val="right"/>
              <w:rPr>
                <w:rFonts w:ascii="Segoe UI" w:eastAsia="Times New Roman" w:hAnsi="Segoe UI" w:cs="Segoe UI"/>
                <w:bCs/>
                <w:color w:val="000000" w:themeColor="text1"/>
                <w:kern w:val="24"/>
                <w:sz w:val="14"/>
                <w:szCs w:val="16"/>
                <w:lang w:eastAsia="el-GR"/>
              </w:rPr>
            </w:pPr>
            <w:r w:rsidRPr="00026516">
              <w:rPr>
                <w:rFonts w:ascii="Segoe UI" w:eastAsia="Times New Roman" w:hAnsi="Segoe UI" w:cs="Segoe UI"/>
                <w:bCs/>
                <w:color w:val="000000" w:themeColor="text1"/>
                <w:kern w:val="24"/>
                <w:sz w:val="14"/>
                <w:szCs w:val="16"/>
                <w:lang w:eastAsia="el-GR"/>
              </w:rPr>
              <w:t>35</w:t>
            </w:r>
            <w:r>
              <w:rPr>
                <w:rFonts w:ascii="Segoe UI" w:eastAsia="Times New Roman" w:hAnsi="Segoe UI" w:cs="Segoe UI"/>
                <w:bCs/>
                <w:color w:val="000000" w:themeColor="text1"/>
                <w:kern w:val="24"/>
                <w:sz w:val="14"/>
                <w:szCs w:val="16"/>
                <w:lang w:eastAsia="el-GR"/>
              </w:rPr>
              <w:t>.</w:t>
            </w:r>
            <w:r w:rsidRPr="00026516">
              <w:rPr>
                <w:rFonts w:ascii="Segoe UI" w:eastAsia="Times New Roman" w:hAnsi="Segoe UI" w:cs="Segoe UI"/>
                <w:bCs/>
                <w:color w:val="000000" w:themeColor="text1"/>
                <w:kern w:val="24"/>
                <w:sz w:val="14"/>
                <w:szCs w:val="16"/>
                <w:lang w:eastAsia="el-GR"/>
              </w:rPr>
              <w:t xml:space="preserve">014 </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Pr>
                <w:rFonts w:ascii="Segoe UI" w:hAnsi="Segoe UI" w:cs="Segoe UI"/>
                <w:sz w:val="14"/>
                <w:szCs w:val="16"/>
                <w:lang w:val="en-US"/>
              </w:rPr>
              <w:t>.</w:t>
            </w:r>
            <w:r w:rsidRPr="005610B3">
              <w:rPr>
                <w:rFonts w:ascii="Segoe UI" w:hAnsi="Segoe UI" w:cs="Segoe UI"/>
                <w:sz w:val="14"/>
                <w:szCs w:val="16"/>
                <w:lang w:val="en-US"/>
              </w:rPr>
              <w:t>755</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Pr>
                <w:rFonts w:ascii="Segoe UI" w:hAnsi="Segoe UI" w:cs="Segoe UI"/>
                <w:sz w:val="14"/>
                <w:szCs w:val="16"/>
                <w:lang w:val="en-US"/>
              </w:rPr>
              <w:t>.</w:t>
            </w:r>
            <w:r w:rsidRPr="005610B3">
              <w:rPr>
                <w:rFonts w:ascii="Segoe UI" w:hAnsi="Segoe UI" w:cs="Segoe UI"/>
                <w:sz w:val="14"/>
                <w:szCs w:val="16"/>
                <w:lang w:val="en-US"/>
              </w:rPr>
              <w:t xml:space="preserve">917 </w:t>
            </w:r>
          </w:p>
        </w:tc>
        <w:tc>
          <w:tcPr>
            <w:tcW w:w="527"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Pr>
                <w:rFonts w:ascii="Segoe UI" w:hAnsi="Segoe UI" w:cs="Segoe UI"/>
                <w:sz w:val="14"/>
                <w:szCs w:val="16"/>
                <w:lang w:val="en-US"/>
              </w:rPr>
              <w:t>.</w:t>
            </w:r>
            <w:r w:rsidRPr="005610B3">
              <w:rPr>
                <w:rFonts w:ascii="Segoe UI" w:hAnsi="Segoe UI" w:cs="Segoe UI"/>
                <w:sz w:val="14"/>
                <w:szCs w:val="16"/>
                <w:lang w:val="en-US"/>
              </w:rPr>
              <w:t xml:space="preserve">983 </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hideMark/>
          </w:tcPr>
          <w:p w:rsidR="00A573F7" w:rsidRPr="006B4FB1" w:rsidRDefault="00A573F7" w:rsidP="00A573F7">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530" w:type="pct"/>
            <w:tcBorders>
              <w:top w:val="nil"/>
              <w:left w:val="nil"/>
              <w:bottom w:val="nil"/>
              <w:right w:val="nil"/>
            </w:tcBorders>
            <w:vAlign w:val="center"/>
          </w:tcPr>
          <w:p w:rsidR="00A573F7" w:rsidRPr="00A573F7" w:rsidRDefault="00A573F7" w:rsidP="00A573F7">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(2.</w:t>
            </w:r>
            <w:r w:rsidRPr="00A573F7">
              <w:rPr>
                <w:rFonts w:ascii="Segoe UI" w:eastAsia="Times New Roman" w:hAnsi="Segoe UI" w:cs="Segoe UI"/>
                <w:bCs/>
                <w:color w:val="000000" w:themeColor="text1"/>
                <w:kern w:val="24"/>
                <w:sz w:val="14"/>
                <w:szCs w:val="16"/>
                <w:lang w:eastAsia="el-GR"/>
              </w:rPr>
              <w:t xml:space="preserve">707) </w:t>
            </w:r>
          </w:p>
        </w:tc>
        <w:tc>
          <w:tcPr>
            <w:tcW w:w="529" w:type="pct"/>
            <w:tcBorders>
              <w:top w:val="nil"/>
              <w:left w:val="nil"/>
              <w:bottom w:val="nil"/>
              <w:right w:val="nil"/>
            </w:tcBorders>
          </w:tcPr>
          <w:p w:rsidR="00A573F7" w:rsidRPr="00026516" w:rsidRDefault="00A573F7" w:rsidP="00A573F7">
            <w:pPr>
              <w:ind w:right="148"/>
              <w:jc w:val="right"/>
              <w:rPr>
                <w:rFonts w:ascii="Segoe UI" w:eastAsia="Times New Roman" w:hAnsi="Segoe UI" w:cs="Segoe UI"/>
                <w:bCs/>
                <w:color w:val="000000" w:themeColor="text1"/>
                <w:kern w:val="24"/>
                <w:sz w:val="14"/>
                <w:szCs w:val="16"/>
                <w:lang w:eastAsia="el-GR"/>
              </w:rPr>
            </w:pPr>
            <w:r w:rsidRPr="00026516">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eastAsia="el-GR"/>
              </w:rPr>
              <w:t>.</w:t>
            </w:r>
            <w:r w:rsidRPr="00026516">
              <w:rPr>
                <w:rFonts w:ascii="Segoe UI" w:eastAsia="Times New Roman" w:hAnsi="Segoe UI" w:cs="Segoe UI"/>
                <w:bCs/>
                <w:color w:val="000000" w:themeColor="text1"/>
                <w:kern w:val="24"/>
                <w:sz w:val="14"/>
                <w:szCs w:val="16"/>
                <w:lang w:eastAsia="el-GR"/>
              </w:rPr>
              <w:t xml:space="preserve">727) </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Pr>
                <w:rFonts w:ascii="Segoe UI" w:hAnsi="Segoe UI" w:cs="Segoe UI"/>
                <w:sz w:val="14"/>
                <w:szCs w:val="16"/>
                <w:lang w:val="en-US"/>
              </w:rPr>
              <w:t>.</w:t>
            </w:r>
            <w:r w:rsidRPr="005610B3">
              <w:rPr>
                <w:rFonts w:ascii="Segoe UI" w:hAnsi="Segoe UI" w:cs="Segoe UI"/>
                <w:sz w:val="14"/>
                <w:szCs w:val="16"/>
                <w:lang w:val="en-US"/>
              </w:rPr>
              <w:t>864)</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Pr>
                <w:rFonts w:ascii="Segoe UI" w:hAnsi="Segoe UI" w:cs="Segoe UI"/>
                <w:sz w:val="14"/>
                <w:szCs w:val="16"/>
                <w:lang w:val="en-US"/>
              </w:rPr>
              <w:t>.</w:t>
            </w:r>
            <w:r w:rsidRPr="005610B3">
              <w:rPr>
                <w:rFonts w:ascii="Segoe UI" w:hAnsi="Segoe UI" w:cs="Segoe UI"/>
                <w:sz w:val="14"/>
                <w:szCs w:val="16"/>
                <w:lang w:val="en-US"/>
              </w:rPr>
              <w:t>961)</w:t>
            </w:r>
          </w:p>
        </w:tc>
        <w:tc>
          <w:tcPr>
            <w:tcW w:w="527"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Pr>
                <w:rFonts w:ascii="Segoe UI" w:hAnsi="Segoe UI" w:cs="Segoe UI"/>
                <w:sz w:val="14"/>
                <w:szCs w:val="16"/>
                <w:lang w:val="en-US"/>
              </w:rPr>
              <w:t>.</w:t>
            </w:r>
            <w:r w:rsidRPr="005610B3">
              <w:rPr>
                <w:rFonts w:ascii="Segoe UI" w:hAnsi="Segoe UI" w:cs="Segoe UI"/>
                <w:sz w:val="14"/>
                <w:szCs w:val="16"/>
                <w:lang w:val="en-US"/>
              </w:rPr>
              <w:t>761)</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tcPr>
          <w:p w:rsidR="00A573F7" w:rsidRPr="006B4FB1" w:rsidRDefault="00A573F7" w:rsidP="00A573F7">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 xml:space="preserve">μετά </w:t>
            </w:r>
            <w:r>
              <w:rPr>
                <w:rFonts w:ascii="Segoe UI" w:eastAsia="Segoe UI" w:hAnsi="Segoe UI" w:cs="Segoe UI"/>
                <w:b/>
                <w:color w:val="000000"/>
                <w:kern w:val="24"/>
                <w:sz w:val="14"/>
                <w:szCs w:val="14"/>
                <w:lang w:eastAsia="el-GR"/>
              </w:rPr>
              <w:t xml:space="preserve">από </w:t>
            </w:r>
            <w:r w:rsidRPr="006B4FB1">
              <w:rPr>
                <w:rFonts w:ascii="Segoe UI" w:eastAsia="Segoe UI" w:hAnsi="Segoe UI" w:cs="Segoe UI"/>
                <w:b/>
                <w:color w:val="000000"/>
                <w:kern w:val="24"/>
                <w:sz w:val="14"/>
                <w:szCs w:val="14"/>
                <w:lang w:eastAsia="el-GR"/>
              </w:rPr>
              <w:t>προβλέψε</w:t>
            </w:r>
            <w:r>
              <w:rPr>
                <w:rFonts w:ascii="Segoe UI" w:eastAsia="Segoe UI" w:hAnsi="Segoe UI" w:cs="Segoe UI"/>
                <w:b/>
                <w:color w:val="000000"/>
                <w:kern w:val="24"/>
                <w:sz w:val="14"/>
                <w:szCs w:val="14"/>
                <w:lang w:eastAsia="el-GR"/>
              </w:rPr>
              <w:t>ις</w:t>
            </w:r>
            <w:r w:rsidRPr="006B4FB1">
              <w:rPr>
                <w:rFonts w:ascii="Segoe UI" w:eastAsia="Segoe UI" w:hAnsi="Segoe UI" w:cs="Segoe UI"/>
                <w:b/>
                <w:color w:val="000000"/>
                <w:kern w:val="24"/>
                <w:sz w:val="14"/>
                <w:szCs w:val="14"/>
                <w:lang w:val="en-US" w:eastAsia="el-GR"/>
              </w:rPr>
              <w:t>)</w:t>
            </w:r>
          </w:p>
        </w:tc>
        <w:tc>
          <w:tcPr>
            <w:tcW w:w="530" w:type="pct"/>
            <w:tcBorders>
              <w:top w:val="nil"/>
              <w:left w:val="nil"/>
              <w:bottom w:val="nil"/>
              <w:right w:val="nil"/>
            </w:tcBorders>
            <w:vAlign w:val="center"/>
          </w:tcPr>
          <w:p w:rsidR="00A573F7" w:rsidRPr="00A573F7" w:rsidRDefault="00A573F7" w:rsidP="00A573F7">
            <w:pPr>
              <w:ind w:right="148"/>
              <w:jc w:val="right"/>
              <w:rPr>
                <w:rFonts w:ascii="Segoe UI" w:eastAsia="Times New Roman" w:hAnsi="Segoe UI" w:cs="Segoe UI"/>
                <w:b/>
                <w:bCs/>
                <w:color w:val="000000" w:themeColor="text1"/>
                <w:kern w:val="24"/>
                <w:sz w:val="14"/>
                <w:szCs w:val="16"/>
                <w:lang w:eastAsia="el-GR"/>
              </w:rPr>
            </w:pPr>
            <w:r w:rsidRPr="00A573F7">
              <w:rPr>
                <w:rFonts w:ascii="Segoe UI" w:eastAsia="Times New Roman" w:hAnsi="Segoe UI" w:cs="Segoe UI"/>
                <w:b/>
                <w:bCs/>
                <w:color w:val="000000" w:themeColor="text1"/>
                <w:kern w:val="24"/>
                <w:sz w:val="14"/>
                <w:szCs w:val="16"/>
                <w:lang w:eastAsia="el-GR"/>
              </w:rPr>
              <w:t>26</w:t>
            </w:r>
            <w:r>
              <w:rPr>
                <w:rFonts w:ascii="Segoe UI" w:eastAsia="Times New Roman" w:hAnsi="Segoe UI" w:cs="Segoe UI"/>
                <w:b/>
                <w:bCs/>
                <w:color w:val="000000" w:themeColor="text1"/>
                <w:kern w:val="24"/>
                <w:sz w:val="14"/>
                <w:szCs w:val="16"/>
                <w:lang w:eastAsia="el-GR"/>
              </w:rPr>
              <w:t>.</w:t>
            </w:r>
            <w:r w:rsidRPr="00A573F7">
              <w:rPr>
                <w:rFonts w:ascii="Segoe UI" w:eastAsia="Times New Roman" w:hAnsi="Segoe UI" w:cs="Segoe UI"/>
                <w:b/>
                <w:bCs/>
                <w:color w:val="000000" w:themeColor="text1"/>
                <w:kern w:val="24"/>
                <w:sz w:val="14"/>
                <w:szCs w:val="16"/>
                <w:lang w:eastAsia="el-GR"/>
              </w:rPr>
              <w:t xml:space="preserve">807 </w:t>
            </w:r>
          </w:p>
        </w:tc>
        <w:tc>
          <w:tcPr>
            <w:tcW w:w="529" w:type="pct"/>
            <w:tcBorders>
              <w:top w:val="nil"/>
              <w:left w:val="nil"/>
              <w:bottom w:val="nil"/>
              <w:right w:val="nil"/>
            </w:tcBorders>
          </w:tcPr>
          <w:p w:rsidR="00A573F7" w:rsidRPr="00026516" w:rsidRDefault="00A573F7" w:rsidP="00A573F7">
            <w:pPr>
              <w:ind w:right="148"/>
              <w:jc w:val="right"/>
              <w:rPr>
                <w:rFonts w:ascii="Segoe UI" w:eastAsia="Times New Roman" w:hAnsi="Segoe UI" w:cs="Segoe UI"/>
                <w:b/>
                <w:bCs/>
                <w:color w:val="000000" w:themeColor="text1"/>
                <w:kern w:val="24"/>
                <w:sz w:val="14"/>
                <w:szCs w:val="16"/>
                <w:lang w:eastAsia="el-GR"/>
              </w:rPr>
            </w:pPr>
            <w:r w:rsidRPr="00026516">
              <w:rPr>
                <w:rFonts w:ascii="Segoe UI" w:eastAsia="Times New Roman" w:hAnsi="Segoe UI" w:cs="Segoe UI"/>
                <w:b/>
                <w:bCs/>
                <w:color w:val="000000" w:themeColor="text1"/>
                <w:kern w:val="24"/>
                <w:sz w:val="14"/>
                <w:szCs w:val="16"/>
                <w:lang w:eastAsia="el-GR"/>
              </w:rPr>
              <w:t>29</w:t>
            </w:r>
            <w:r>
              <w:rPr>
                <w:rFonts w:ascii="Segoe UI" w:eastAsia="Times New Roman" w:hAnsi="Segoe UI" w:cs="Segoe UI"/>
                <w:b/>
                <w:bCs/>
                <w:color w:val="000000" w:themeColor="text1"/>
                <w:kern w:val="24"/>
                <w:sz w:val="14"/>
                <w:szCs w:val="16"/>
                <w:lang w:eastAsia="el-GR"/>
              </w:rPr>
              <w:t>.</w:t>
            </w:r>
            <w:r w:rsidRPr="00026516">
              <w:rPr>
                <w:rFonts w:ascii="Segoe UI" w:eastAsia="Times New Roman" w:hAnsi="Segoe UI" w:cs="Segoe UI"/>
                <w:b/>
                <w:bCs/>
                <w:color w:val="000000" w:themeColor="text1"/>
                <w:kern w:val="24"/>
                <w:sz w:val="14"/>
                <w:szCs w:val="16"/>
                <w:lang w:eastAsia="el-GR"/>
              </w:rPr>
              <w:t xml:space="preserve">287 </w:t>
            </w:r>
          </w:p>
        </w:tc>
        <w:tc>
          <w:tcPr>
            <w:tcW w:w="529" w:type="pct"/>
            <w:tcBorders>
              <w:top w:val="nil"/>
              <w:left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28</w:t>
            </w:r>
            <w:r>
              <w:rPr>
                <w:rFonts w:ascii="Segoe UI" w:hAnsi="Segoe UI" w:cs="Segoe UI"/>
                <w:b/>
                <w:sz w:val="14"/>
                <w:szCs w:val="16"/>
                <w:lang w:val="en-US"/>
              </w:rPr>
              <w:t>.</w:t>
            </w:r>
            <w:r w:rsidRPr="005610B3">
              <w:rPr>
                <w:rFonts w:ascii="Segoe UI" w:hAnsi="Segoe UI" w:cs="Segoe UI"/>
                <w:b/>
                <w:sz w:val="14"/>
                <w:szCs w:val="16"/>
                <w:lang w:val="en-US"/>
              </w:rPr>
              <w:t>891</w:t>
            </w:r>
          </w:p>
        </w:tc>
        <w:tc>
          <w:tcPr>
            <w:tcW w:w="529" w:type="pct"/>
            <w:tcBorders>
              <w:top w:val="nil"/>
              <w:left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28</w:t>
            </w:r>
            <w:r>
              <w:rPr>
                <w:rFonts w:ascii="Segoe UI" w:hAnsi="Segoe UI" w:cs="Segoe UI"/>
                <w:b/>
                <w:sz w:val="14"/>
                <w:szCs w:val="16"/>
                <w:lang w:val="en-US"/>
              </w:rPr>
              <w:t>.</w:t>
            </w:r>
            <w:r w:rsidRPr="005610B3">
              <w:rPr>
                <w:rFonts w:ascii="Segoe UI" w:hAnsi="Segoe UI" w:cs="Segoe UI"/>
                <w:b/>
                <w:sz w:val="14"/>
                <w:szCs w:val="16"/>
                <w:lang w:val="en-US"/>
              </w:rPr>
              <w:t xml:space="preserve">955 </w:t>
            </w:r>
          </w:p>
        </w:tc>
        <w:tc>
          <w:tcPr>
            <w:tcW w:w="527" w:type="pct"/>
            <w:tcBorders>
              <w:top w:val="nil"/>
              <w:left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29</w:t>
            </w:r>
            <w:r>
              <w:rPr>
                <w:rFonts w:ascii="Segoe UI" w:hAnsi="Segoe UI" w:cs="Segoe UI"/>
                <w:b/>
                <w:sz w:val="14"/>
                <w:szCs w:val="16"/>
                <w:lang w:val="en-US"/>
              </w:rPr>
              <w:t>.</w:t>
            </w:r>
            <w:r w:rsidRPr="005610B3">
              <w:rPr>
                <w:rFonts w:ascii="Segoe UI" w:hAnsi="Segoe UI" w:cs="Segoe UI"/>
                <w:b/>
                <w:sz w:val="14"/>
                <w:szCs w:val="16"/>
                <w:lang w:val="en-US"/>
              </w:rPr>
              <w:t xml:space="preserve">222 </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tcPr>
          <w:p w:rsidR="00A573F7" w:rsidRPr="00DC2500" w:rsidRDefault="00A573F7" w:rsidP="00A573F7">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r w:rsidRPr="00DC2500">
              <w:rPr>
                <w:rFonts w:ascii="Segoe UI" w:eastAsia="Segoe UI" w:hAnsi="Segoe UI" w:cs="Segoe UI"/>
                <w:b/>
                <w:color w:val="000000"/>
                <w:kern w:val="24"/>
                <w:sz w:val="14"/>
                <w:szCs w:val="14"/>
                <w:vertAlign w:val="superscript"/>
                <w:lang w:val="en-US" w:eastAsia="el-GR"/>
              </w:rPr>
              <w:t>2</w:t>
            </w:r>
          </w:p>
        </w:tc>
        <w:tc>
          <w:tcPr>
            <w:tcW w:w="530" w:type="pct"/>
            <w:tcBorders>
              <w:top w:val="nil"/>
              <w:left w:val="nil"/>
              <w:bottom w:val="nil"/>
              <w:right w:val="nil"/>
            </w:tcBorders>
            <w:vAlign w:val="center"/>
          </w:tcPr>
          <w:p w:rsidR="00A573F7" w:rsidRPr="00A573F7" w:rsidRDefault="00A573F7" w:rsidP="00A573F7">
            <w:pPr>
              <w:ind w:right="148"/>
              <w:jc w:val="right"/>
              <w:rPr>
                <w:rFonts w:ascii="Segoe UI" w:eastAsia="Times New Roman" w:hAnsi="Segoe UI" w:cs="Segoe UI"/>
                <w:b/>
                <w:bCs/>
                <w:color w:val="000000" w:themeColor="text1"/>
                <w:kern w:val="24"/>
                <w:sz w:val="14"/>
                <w:szCs w:val="16"/>
                <w:lang w:eastAsia="el-GR"/>
              </w:rPr>
            </w:pPr>
            <w:r>
              <w:rPr>
                <w:rFonts w:ascii="Segoe UI" w:eastAsia="Times New Roman" w:hAnsi="Segoe UI" w:cs="Segoe UI"/>
                <w:b/>
                <w:bCs/>
                <w:color w:val="000000" w:themeColor="text1"/>
                <w:kern w:val="24"/>
                <w:sz w:val="14"/>
                <w:szCs w:val="16"/>
                <w:lang w:eastAsia="el-GR"/>
              </w:rPr>
              <w:t>25.</w:t>
            </w:r>
            <w:r w:rsidRPr="00A573F7">
              <w:rPr>
                <w:rFonts w:ascii="Segoe UI" w:eastAsia="Times New Roman" w:hAnsi="Segoe UI" w:cs="Segoe UI"/>
                <w:b/>
                <w:bCs/>
                <w:color w:val="000000" w:themeColor="text1"/>
                <w:kern w:val="24"/>
                <w:sz w:val="14"/>
                <w:szCs w:val="16"/>
                <w:lang w:eastAsia="el-GR"/>
              </w:rPr>
              <w:t xml:space="preserve">091 </w:t>
            </w:r>
          </w:p>
        </w:tc>
        <w:tc>
          <w:tcPr>
            <w:tcW w:w="529" w:type="pct"/>
            <w:tcBorders>
              <w:top w:val="nil"/>
              <w:left w:val="nil"/>
              <w:bottom w:val="nil"/>
              <w:right w:val="nil"/>
            </w:tcBorders>
          </w:tcPr>
          <w:p w:rsidR="00A573F7" w:rsidRPr="00026516" w:rsidRDefault="00A573F7" w:rsidP="00A573F7">
            <w:pPr>
              <w:ind w:right="148"/>
              <w:jc w:val="right"/>
              <w:rPr>
                <w:rFonts w:ascii="Segoe UI" w:eastAsia="Times New Roman" w:hAnsi="Segoe UI" w:cs="Segoe UI"/>
                <w:b/>
                <w:bCs/>
                <w:color w:val="000000" w:themeColor="text1"/>
                <w:kern w:val="24"/>
                <w:sz w:val="14"/>
                <w:szCs w:val="16"/>
                <w:lang w:eastAsia="el-GR"/>
              </w:rPr>
            </w:pPr>
            <w:r w:rsidRPr="00026516">
              <w:rPr>
                <w:rFonts w:ascii="Segoe UI" w:eastAsia="Times New Roman" w:hAnsi="Segoe UI" w:cs="Segoe UI"/>
                <w:b/>
                <w:bCs/>
                <w:color w:val="000000" w:themeColor="text1"/>
                <w:kern w:val="24"/>
                <w:sz w:val="14"/>
                <w:szCs w:val="16"/>
                <w:lang w:eastAsia="el-GR"/>
              </w:rPr>
              <w:t>24</w:t>
            </w:r>
            <w:r>
              <w:rPr>
                <w:rFonts w:ascii="Segoe UI" w:eastAsia="Times New Roman" w:hAnsi="Segoe UI" w:cs="Segoe UI"/>
                <w:b/>
                <w:bCs/>
                <w:color w:val="000000" w:themeColor="text1"/>
                <w:kern w:val="24"/>
                <w:sz w:val="14"/>
                <w:szCs w:val="16"/>
                <w:lang w:eastAsia="el-GR"/>
              </w:rPr>
              <w:t>.</w:t>
            </w:r>
            <w:r w:rsidRPr="00026516">
              <w:rPr>
                <w:rFonts w:ascii="Segoe UI" w:eastAsia="Times New Roman" w:hAnsi="Segoe UI" w:cs="Segoe UI"/>
                <w:b/>
                <w:bCs/>
                <w:color w:val="000000" w:themeColor="text1"/>
                <w:kern w:val="24"/>
                <w:sz w:val="14"/>
                <w:szCs w:val="16"/>
                <w:lang w:eastAsia="el-GR"/>
              </w:rPr>
              <w:t xml:space="preserve">764 </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highlight w:val="yellow"/>
                <w:lang w:val="en-US"/>
              </w:rPr>
            </w:pPr>
            <w:r w:rsidRPr="005610B3">
              <w:rPr>
                <w:rFonts w:ascii="Segoe UI" w:hAnsi="Segoe UI" w:cs="Segoe UI"/>
                <w:b/>
                <w:sz w:val="14"/>
                <w:szCs w:val="16"/>
                <w:lang w:val="en-US"/>
              </w:rPr>
              <w:t>24</w:t>
            </w:r>
            <w:r>
              <w:rPr>
                <w:rFonts w:ascii="Segoe UI" w:hAnsi="Segoe UI" w:cs="Segoe UI"/>
                <w:b/>
                <w:sz w:val="14"/>
                <w:szCs w:val="16"/>
                <w:lang w:val="en-US"/>
              </w:rPr>
              <w:t>.</w:t>
            </w:r>
            <w:r w:rsidRPr="005610B3">
              <w:rPr>
                <w:rFonts w:ascii="Segoe UI" w:hAnsi="Segoe UI" w:cs="Segoe UI"/>
                <w:b/>
                <w:sz w:val="14"/>
                <w:szCs w:val="16"/>
                <w:lang w:val="en-US"/>
              </w:rPr>
              <w:t>3</w:t>
            </w:r>
            <w:r>
              <w:rPr>
                <w:rFonts w:ascii="Segoe UI" w:hAnsi="Segoe UI" w:cs="Segoe UI"/>
                <w:b/>
                <w:sz w:val="14"/>
                <w:szCs w:val="16"/>
                <w:lang w:val="en-US"/>
              </w:rPr>
              <w:t>46</w:t>
            </w:r>
          </w:p>
        </w:tc>
        <w:tc>
          <w:tcPr>
            <w:tcW w:w="529" w:type="pct"/>
            <w:tcBorders>
              <w:top w:val="nil"/>
              <w:left w:val="nil"/>
              <w:bottom w:val="nil"/>
              <w:right w:val="nil"/>
            </w:tcBorders>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24</w:t>
            </w:r>
            <w:r>
              <w:rPr>
                <w:rFonts w:ascii="Segoe UI" w:hAnsi="Segoe UI" w:cs="Segoe UI"/>
                <w:b/>
                <w:sz w:val="14"/>
                <w:szCs w:val="16"/>
                <w:lang w:val="en-US"/>
              </w:rPr>
              <w:t>.</w:t>
            </w:r>
            <w:r w:rsidRPr="005610B3">
              <w:rPr>
                <w:rFonts w:ascii="Segoe UI" w:hAnsi="Segoe UI" w:cs="Segoe UI"/>
                <w:b/>
                <w:sz w:val="14"/>
                <w:szCs w:val="16"/>
                <w:lang w:val="en-US"/>
              </w:rPr>
              <w:t>148</w:t>
            </w:r>
          </w:p>
        </w:tc>
        <w:tc>
          <w:tcPr>
            <w:tcW w:w="527" w:type="pct"/>
            <w:tcBorders>
              <w:top w:val="nil"/>
              <w:left w:val="nil"/>
              <w:bottom w:val="nil"/>
              <w:right w:val="nil"/>
            </w:tcBorders>
            <w:shd w:val="clear" w:color="auto" w:fill="auto"/>
            <w:vAlign w:val="center"/>
          </w:tcPr>
          <w:p w:rsidR="00A573F7" w:rsidRPr="005610B3" w:rsidRDefault="00A573F7" w:rsidP="00A573F7">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24</w:t>
            </w:r>
            <w:r>
              <w:rPr>
                <w:rFonts w:ascii="Segoe UI" w:hAnsi="Segoe UI" w:cs="Segoe UI"/>
                <w:b/>
                <w:sz w:val="14"/>
                <w:szCs w:val="16"/>
                <w:lang w:val="en-US"/>
              </w:rPr>
              <w:t>.</w:t>
            </w:r>
            <w:r w:rsidRPr="005610B3">
              <w:rPr>
                <w:rFonts w:ascii="Segoe UI" w:hAnsi="Segoe UI" w:cs="Segoe UI"/>
                <w:b/>
                <w:sz w:val="14"/>
                <w:szCs w:val="16"/>
                <w:lang w:val="en-US"/>
              </w:rPr>
              <w:t>044</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tcPr>
          <w:p w:rsidR="00A573F7" w:rsidRPr="006B4FB1" w:rsidRDefault="00A573F7" w:rsidP="00A573F7">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Χαρτοφυλάκιο επενδύσεων</w:t>
            </w:r>
            <w:r w:rsidRPr="00F73358">
              <w:rPr>
                <w:rFonts w:ascii="Segoe UI" w:eastAsia="Segoe UI" w:hAnsi="Segoe UI" w:cs="Segoe UI"/>
                <w:color w:val="000000"/>
                <w:kern w:val="24"/>
                <w:sz w:val="14"/>
                <w:szCs w:val="14"/>
                <w:vertAlign w:val="superscript"/>
                <w:lang w:val="en-US" w:eastAsia="el-GR"/>
              </w:rPr>
              <w:t>3</w:t>
            </w:r>
            <w:r w:rsidRPr="006B4FB1">
              <w:rPr>
                <w:rFonts w:ascii="Segoe UI" w:eastAsia="Segoe UI" w:hAnsi="Segoe UI" w:cs="Segoe UI"/>
                <w:color w:val="000000"/>
                <w:kern w:val="24"/>
                <w:sz w:val="14"/>
                <w:szCs w:val="14"/>
                <w:lang w:eastAsia="el-GR"/>
              </w:rPr>
              <w:t xml:space="preserve"> </w:t>
            </w:r>
          </w:p>
        </w:tc>
        <w:tc>
          <w:tcPr>
            <w:tcW w:w="530" w:type="pct"/>
            <w:tcBorders>
              <w:top w:val="nil"/>
              <w:left w:val="nil"/>
              <w:bottom w:val="nil"/>
              <w:right w:val="nil"/>
            </w:tcBorders>
          </w:tcPr>
          <w:p w:rsidR="00A573F7" w:rsidRPr="00A573F7" w:rsidRDefault="00A573F7" w:rsidP="00A573F7">
            <w:pPr>
              <w:ind w:right="148"/>
              <w:jc w:val="right"/>
              <w:rPr>
                <w:rFonts w:ascii="Segoe UI" w:eastAsia="Times New Roman" w:hAnsi="Segoe UI" w:cs="Segoe UI"/>
                <w:bCs/>
                <w:color w:val="000000" w:themeColor="text1"/>
                <w:kern w:val="24"/>
                <w:sz w:val="14"/>
                <w:szCs w:val="16"/>
                <w:lang w:eastAsia="el-GR"/>
              </w:rPr>
            </w:pPr>
            <w:r w:rsidRPr="00A573F7">
              <w:rPr>
                <w:rFonts w:ascii="Segoe UI" w:eastAsia="Times New Roman" w:hAnsi="Segoe UI" w:cs="Segoe UI"/>
                <w:bCs/>
                <w:color w:val="000000" w:themeColor="text1"/>
                <w:kern w:val="24"/>
                <w:sz w:val="14"/>
                <w:szCs w:val="16"/>
                <w:lang w:eastAsia="el-GR"/>
              </w:rPr>
              <w:t>15</w:t>
            </w:r>
            <w:r>
              <w:rPr>
                <w:rFonts w:ascii="Segoe UI" w:eastAsia="Times New Roman" w:hAnsi="Segoe UI" w:cs="Segoe UI"/>
                <w:bCs/>
                <w:color w:val="000000" w:themeColor="text1"/>
                <w:kern w:val="24"/>
                <w:sz w:val="14"/>
                <w:szCs w:val="16"/>
                <w:lang w:eastAsia="el-GR"/>
              </w:rPr>
              <w:t>.</w:t>
            </w:r>
            <w:r w:rsidRPr="00A573F7">
              <w:rPr>
                <w:rFonts w:ascii="Segoe UI" w:eastAsia="Times New Roman" w:hAnsi="Segoe UI" w:cs="Segoe UI"/>
                <w:bCs/>
                <w:color w:val="000000" w:themeColor="text1"/>
                <w:kern w:val="24"/>
                <w:sz w:val="14"/>
                <w:szCs w:val="16"/>
                <w:lang w:eastAsia="el-GR"/>
              </w:rPr>
              <w:t>596</w:t>
            </w:r>
          </w:p>
        </w:tc>
        <w:tc>
          <w:tcPr>
            <w:tcW w:w="529" w:type="pct"/>
            <w:tcBorders>
              <w:top w:val="nil"/>
              <w:left w:val="nil"/>
              <w:bottom w:val="nil"/>
              <w:right w:val="nil"/>
            </w:tcBorders>
          </w:tcPr>
          <w:p w:rsidR="00A573F7" w:rsidRPr="00026516" w:rsidRDefault="00A573F7" w:rsidP="00A573F7">
            <w:pPr>
              <w:ind w:right="148"/>
              <w:jc w:val="right"/>
              <w:rPr>
                <w:rFonts w:ascii="Segoe UI" w:eastAsia="Times New Roman" w:hAnsi="Segoe UI" w:cs="Segoe UI"/>
                <w:bCs/>
                <w:color w:val="000000" w:themeColor="text1"/>
                <w:kern w:val="24"/>
                <w:sz w:val="14"/>
                <w:szCs w:val="16"/>
                <w:lang w:eastAsia="el-GR"/>
              </w:rPr>
            </w:pPr>
            <w:r w:rsidRPr="00026516">
              <w:rPr>
                <w:rFonts w:ascii="Segoe UI" w:eastAsia="Times New Roman" w:hAnsi="Segoe UI" w:cs="Segoe UI"/>
                <w:bCs/>
                <w:color w:val="000000" w:themeColor="text1"/>
                <w:kern w:val="24"/>
                <w:sz w:val="14"/>
                <w:szCs w:val="16"/>
                <w:lang w:eastAsia="el-GR"/>
              </w:rPr>
              <w:t>14</w:t>
            </w:r>
            <w:r>
              <w:rPr>
                <w:rFonts w:ascii="Segoe UI" w:eastAsia="Times New Roman" w:hAnsi="Segoe UI" w:cs="Segoe UI"/>
                <w:bCs/>
                <w:color w:val="000000" w:themeColor="text1"/>
                <w:kern w:val="24"/>
                <w:sz w:val="14"/>
                <w:szCs w:val="16"/>
                <w:lang w:eastAsia="el-GR"/>
              </w:rPr>
              <w:t>.</w:t>
            </w:r>
            <w:r w:rsidRPr="00026516">
              <w:rPr>
                <w:rFonts w:ascii="Segoe UI" w:eastAsia="Times New Roman" w:hAnsi="Segoe UI" w:cs="Segoe UI"/>
                <w:bCs/>
                <w:color w:val="000000" w:themeColor="text1"/>
                <w:kern w:val="24"/>
                <w:sz w:val="14"/>
                <w:szCs w:val="16"/>
                <w:lang w:eastAsia="el-GR"/>
              </w:rPr>
              <w:t xml:space="preserve">907 </w:t>
            </w:r>
          </w:p>
        </w:tc>
        <w:tc>
          <w:tcPr>
            <w:tcW w:w="529" w:type="pct"/>
            <w:tcBorders>
              <w:top w:val="nil"/>
              <w:left w:val="nil"/>
              <w:bottom w:val="nil"/>
              <w:right w:val="nil"/>
            </w:tcBorders>
            <w:vAlign w:val="center"/>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276 </w:t>
            </w:r>
          </w:p>
        </w:tc>
        <w:tc>
          <w:tcPr>
            <w:tcW w:w="529" w:type="pct"/>
            <w:tcBorders>
              <w:top w:val="nil"/>
              <w:left w:val="nil"/>
              <w:bottom w:val="nil"/>
              <w:right w:val="nil"/>
            </w:tcBorders>
            <w:vAlign w:val="center"/>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11</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586 </w:t>
            </w:r>
          </w:p>
        </w:tc>
        <w:tc>
          <w:tcPr>
            <w:tcW w:w="527" w:type="pct"/>
            <w:tcBorders>
              <w:top w:val="nil"/>
              <w:left w:val="nil"/>
              <w:bottom w:val="nil"/>
              <w:right w:val="nil"/>
            </w:tcBorders>
            <w:vAlign w:val="center"/>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408 </w:t>
            </w:r>
          </w:p>
        </w:tc>
      </w:tr>
      <w:tr w:rsidR="00A573F7" w:rsidRPr="006B4FB1" w:rsidTr="00A573F7">
        <w:trPr>
          <w:trHeight w:val="227"/>
        </w:trPr>
        <w:tc>
          <w:tcPr>
            <w:tcW w:w="2356" w:type="pct"/>
            <w:tcBorders>
              <w:top w:val="nil"/>
              <w:left w:val="nil"/>
              <w:bottom w:val="nil"/>
              <w:right w:val="nil"/>
            </w:tcBorders>
            <w:shd w:val="clear" w:color="auto" w:fill="auto"/>
            <w:tcMar>
              <w:top w:w="15" w:type="dxa"/>
              <w:left w:w="42" w:type="dxa"/>
              <w:bottom w:w="0" w:type="dxa"/>
              <w:right w:w="15" w:type="dxa"/>
            </w:tcMar>
            <w:vAlign w:val="center"/>
            <w:hideMark/>
          </w:tcPr>
          <w:p w:rsidR="00A573F7" w:rsidRPr="00E12A06" w:rsidRDefault="00E12A06" w:rsidP="00A573F7">
            <w:pPr>
              <w:textAlignment w:val="center"/>
              <w:rPr>
                <w:rFonts w:ascii="Segoe UI" w:eastAsia="Times New Roman" w:hAnsi="Segoe UI" w:cs="Segoe UI"/>
                <w:b/>
                <w:sz w:val="14"/>
                <w:szCs w:val="14"/>
                <w:lang w:eastAsia="el-GR"/>
              </w:rPr>
            </w:pPr>
            <w:r>
              <w:rPr>
                <w:rFonts w:ascii="Segoe UI" w:eastAsia="Segoe UI" w:hAnsi="Segoe UI" w:cs="Segoe UI"/>
                <w:b/>
                <w:color w:val="000000"/>
                <w:kern w:val="24"/>
                <w:sz w:val="14"/>
                <w:szCs w:val="14"/>
                <w:lang w:eastAsia="el-GR"/>
              </w:rPr>
              <w:t>Καταθέσεις</w:t>
            </w:r>
          </w:p>
        </w:tc>
        <w:tc>
          <w:tcPr>
            <w:tcW w:w="530" w:type="pct"/>
            <w:tcBorders>
              <w:top w:val="nil"/>
              <w:left w:val="nil"/>
              <w:bottom w:val="nil"/>
              <w:right w:val="nil"/>
            </w:tcBorders>
          </w:tcPr>
          <w:p w:rsidR="00A573F7" w:rsidRPr="00A573F7" w:rsidRDefault="00A573F7" w:rsidP="00A573F7">
            <w:pPr>
              <w:ind w:right="148"/>
              <w:jc w:val="right"/>
              <w:rPr>
                <w:rFonts w:ascii="Segoe UI" w:eastAsia="Times New Roman" w:hAnsi="Segoe UI" w:cs="Segoe UI"/>
                <w:b/>
                <w:bCs/>
                <w:color w:val="000000" w:themeColor="text1"/>
                <w:kern w:val="24"/>
                <w:sz w:val="14"/>
                <w:szCs w:val="16"/>
                <w:lang w:eastAsia="el-GR"/>
              </w:rPr>
            </w:pPr>
            <w:r w:rsidRPr="00A573F7">
              <w:rPr>
                <w:rFonts w:ascii="Segoe UI" w:eastAsia="Times New Roman" w:hAnsi="Segoe UI" w:cs="Segoe UI"/>
                <w:b/>
                <w:bCs/>
                <w:color w:val="000000" w:themeColor="text1"/>
                <w:kern w:val="24"/>
                <w:sz w:val="14"/>
                <w:szCs w:val="16"/>
                <w:lang w:eastAsia="el-GR"/>
              </w:rPr>
              <w:t>48</w:t>
            </w:r>
            <w:r>
              <w:rPr>
                <w:rFonts w:ascii="Segoe UI" w:eastAsia="Times New Roman" w:hAnsi="Segoe UI" w:cs="Segoe UI"/>
                <w:b/>
                <w:bCs/>
                <w:color w:val="000000" w:themeColor="text1"/>
                <w:kern w:val="24"/>
                <w:sz w:val="14"/>
                <w:szCs w:val="16"/>
                <w:lang w:eastAsia="el-GR"/>
              </w:rPr>
              <w:t>.</w:t>
            </w:r>
            <w:r w:rsidRPr="00A573F7">
              <w:rPr>
                <w:rFonts w:ascii="Segoe UI" w:eastAsia="Times New Roman" w:hAnsi="Segoe UI" w:cs="Segoe UI"/>
                <w:b/>
                <w:bCs/>
                <w:color w:val="000000" w:themeColor="text1"/>
                <w:kern w:val="24"/>
                <w:sz w:val="14"/>
                <w:szCs w:val="16"/>
                <w:lang w:eastAsia="el-GR"/>
              </w:rPr>
              <w:t>504</w:t>
            </w:r>
          </w:p>
        </w:tc>
        <w:tc>
          <w:tcPr>
            <w:tcW w:w="529" w:type="pct"/>
            <w:tcBorders>
              <w:top w:val="nil"/>
              <w:left w:val="nil"/>
              <w:bottom w:val="nil"/>
              <w:right w:val="nil"/>
            </w:tcBorders>
          </w:tcPr>
          <w:p w:rsidR="00A573F7" w:rsidRPr="009372B8" w:rsidRDefault="00A573F7" w:rsidP="00A573F7">
            <w:pPr>
              <w:ind w:right="148"/>
              <w:jc w:val="right"/>
              <w:rPr>
                <w:rFonts w:ascii="Segoe UI" w:eastAsia="Times New Roman" w:hAnsi="Segoe UI" w:cs="Segoe UI"/>
                <w:b/>
                <w:bCs/>
                <w:color w:val="000000" w:themeColor="text1"/>
                <w:kern w:val="24"/>
                <w:sz w:val="14"/>
                <w:szCs w:val="16"/>
                <w:lang w:eastAsia="el-GR"/>
              </w:rPr>
            </w:pPr>
            <w:r w:rsidRPr="009372B8">
              <w:rPr>
                <w:rFonts w:ascii="Segoe UI" w:eastAsia="Times New Roman" w:hAnsi="Segoe UI" w:cs="Segoe UI"/>
                <w:b/>
                <w:bCs/>
                <w:color w:val="000000" w:themeColor="text1"/>
                <w:kern w:val="24"/>
                <w:sz w:val="14"/>
                <w:szCs w:val="16"/>
                <w:lang w:eastAsia="el-GR"/>
              </w:rPr>
              <w:t xml:space="preserve">45.218 </w:t>
            </w:r>
          </w:p>
        </w:tc>
        <w:tc>
          <w:tcPr>
            <w:tcW w:w="529" w:type="pct"/>
            <w:tcBorders>
              <w:top w:val="nil"/>
              <w:left w:val="nil"/>
              <w:bottom w:val="nil"/>
              <w:right w:val="nil"/>
            </w:tcBorders>
            <w:vAlign w:val="center"/>
          </w:tcPr>
          <w:p w:rsidR="00A573F7" w:rsidRPr="009372B8" w:rsidRDefault="00A573F7" w:rsidP="00A573F7">
            <w:pPr>
              <w:ind w:right="148"/>
              <w:jc w:val="right"/>
              <w:rPr>
                <w:rFonts w:ascii="Segoe UI" w:eastAsia="Times New Roman" w:hAnsi="Segoe UI" w:cs="Segoe UI"/>
                <w:b/>
                <w:bCs/>
                <w:color w:val="000000" w:themeColor="text1"/>
                <w:kern w:val="24"/>
                <w:sz w:val="14"/>
                <w:szCs w:val="16"/>
                <w:lang w:eastAsia="el-GR"/>
              </w:rPr>
            </w:pPr>
            <w:r w:rsidRPr="009372B8">
              <w:rPr>
                <w:rFonts w:ascii="Segoe UI" w:eastAsia="Times New Roman" w:hAnsi="Segoe UI" w:cs="Segoe UI"/>
                <w:b/>
                <w:bCs/>
                <w:color w:val="000000" w:themeColor="text1"/>
                <w:kern w:val="24"/>
                <w:sz w:val="14"/>
                <w:szCs w:val="16"/>
                <w:lang w:eastAsia="el-GR"/>
              </w:rPr>
              <w:t xml:space="preserve">44.763 </w:t>
            </w:r>
          </w:p>
        </w:tc>
        <w:tc>
          <w:tcPr>
            <w:tcW w:w="529" w:type="pct"/>
            <w:tcBorders>
              <w:top w:val="nil"/>
              <w:left w:val="nil"/>
              <w:bottom w:val="nil"/>
              <w:right w:val="nil"/>
            </w:tcBorders>
            <w:vAlign w:val="center"/>
          </w:tcPr>
          <w:p w:rsidR="00A573F7" w:rsidRPr="009372B8" w:rsidRDefault="00A573F7" w:rsidP="00A573F7">
            <w:pPr>
              <w:ind w:right="148"/>
              <w:jc w:val="right"/>
              <w:rPr>
                <w:rFonts w:ascii="Segoe UI" w:eastAsia="Times New Roman" w:hAnsi="Segoe UI" w:cs="Segoe UI"/>
                <w:b/>
                <w:bCs/>
                <w:color w:val="000000" w:themeColor="text1"/>
                <w:kern w:val="24"/>
                <w:sz w:val="14"/>
                <w:szCs w:val="16"/>
                <w:lang w:eastAsia="el-GR"/>
              </w:rPr>
            </w:pPr>
            <w:r w:rsidRPr="009372B8">
              <w:rPr>
                <w:rFonts w:ascii="Segoe UI" w:eastAsia="Times New Roman" w:hAnsi="Segoe UI" w:cs="Segoe UI"/>
                <w:b/>
                <w:bCs/>
                <w:color w:val="000000" w:themeColor="text1"/>
                <w:kern w:val="24"/>
                <w:sz w:val="14"/>
                <w:szCs w:val="16"/>
                <w:lang w:eastAsia="el-GR"/>
              </w:rPr>
              <w:t xml:space="preserve">45.463 </w:t>
            </w:r>
          </w:p>
        </w:tc>
        <w:tc>
          <w:tcPr>
            <w:tcW w:w="527" w:type="pct"/>
            <w:tcBorders>
              <w:top w:val="nil"/>
              <w:left w:val="nil"/>
              <w:bottom w:val="nil"/>
              <w:right w:val="nil"/>
            </w:tcBorders>
            <w:vAlign w:val="center"/>
          </w:tcPr>
          <w:p w:rsidR="00A573F7" w:rsidRPr="009372B8" w:rsidRDefault="00A573F7" w:rsidP="00A573F7">
            <w:pPr>
              <w:ind w:right="148"/>
              <w:jc w:val="right"/>
              <w:rPr>
                <w:rFonts w:ascii="Segoe UI" w:eastAsia="Times New Roman" w:hAnsi="Segoe UI" w:cs="Segoe UI"/>
                <w:b/>
                <w:bCs/>
                <w:color w:val="000000" w:themeColor="text1"/>
                <w:kern w:val="24"/>
                <w:sz w:val="14"/>
                <w:szCs w:val="16"/>
                <w:lang w:eastAsia="el-GR"/>
              </w:rPr>
            </w:pPr>
            <w:r w:rsidRPr="009372B8">
              <w:rPr>
                <w:rFonts w:ascii="Segoe UI" w:eastAsia="Times New Roman" w:hAnsi="Segoe UI" w:cs="Segoe UI"/>
                <w:b/>
                <w:bCs/>
                <w:color w:val="000000" w:themeColor="text1"/>
                <w:kern w:val="24"/>
                <w:sz w:val="14"/>
                <w:szCs w:val="16"/>
                <w:lang w:eastAsia="el-GR"/>
              </w:rPr>
              <w:t xml:space="preserve">43.748 </w:t>
            </w:r>
          </w:p>
        </w:tc>
      </w:tr>
      <w:tr w:rsidR="00A573F7" w:rsidRPr="006B4FB1" w:rsidTr="00A573F7">
        <w:trPr>
          <w:trHeight w:val="227"/>
        </w:trPr>
        <w:tc>
          <w:tcPr>
            <w:tcW w:w="2356" w:type="pct"/>
            <w:tcBorders>
              <w:top w:val="nil"/>
              <w:left w:val="nil"/>
              <w:right w:val="nil"/>
            </w:tcBorders>
            <w:shd w:val="clear" w:color="auto" w:fill="auto"/>
            <w:tcMar>
              <w:top w:w="15" w:type="dxa"/>
              <w:left w:w="42" w:type="dxa"/>
              <w:bottom w:w="0" w:type="dxa"/>
              <w:right w:w="15" w:type="dxa"/>
            </w:tcMar>
            <w:vAlign w:val="center"/>
            <w:hideMark/>
          </w:tcPr>
          <w:p w:rsidR="00A573F7" w:rsidRPr="006B4FB1" w:rsidRDefault="00A573F7" w:rsidP="00A573F7">
            <w:pPr>
              <w:textAlignment w:val="center"/>
              <w:rPr>
                <w:rFonts w:ascii="Segoe UI" w:eastAsia="Times New Roman" w:hAnsi="Segoe UI" w:cs="Segoe UI"/>
                <w:b/>
                <w:sz w:val="14"/>
                <w:szCs w:val="14"/>
                <w:lang w:eastAsia="el-GR"/>
              </w:rPr>
            </w:pPr>
            <w:r w:rsidRPr="006B4FB1">
              <w:rPr>
                <w:rFonts w:ascii="Segoe UI" w:eastAsia="Segoe UI" w:hAnsi="Segoe UI" w:cs="Segoe UI"/>
                <w:b/>
                <w:color w:val="000000"/>
                <w:kern w:val="24"/>
                <w:sz w:val="14"/>
                <w:szCs w:val="14"/>
                <w:lang w:eastAsia="el-GR"/>
              </w:rPr>
              <w:t xml:space="preserve">Ίδια κεφάλαια </w:t>
            </w:r>
          </w:p>
        </w:tc>
        <w:tc>
          <w:tcPr>
            <w:tcW w:w="530" w:type="pct"/>
            <w:tcBorders>
              <w:top w:val="nil"/>
              <w:left w:val="nil"/>
              <w:right w:val="nil"/>
            </w:tcBorders>
          </w:tcPr>
          <w:p w:rsidR="00A573F7" w:rsidRPr="00A573F7" w:rsidRDefault="00A573F7" w:rsidP="00A573F7">
            <w:pPr>
              <w:ind w:right="148"/>
              <w:jc w:val="right"/>
              <w:rPr>
                <w:rFonts w:ascii="Segoe UI" w:eastAsia="Times New Roman" w:hAnsi="Segoe UI" w:cs="Segoe UI"/>
                <w:b/>
                <w:bCs/>
                <w:color w:val="000000" w:themeColor="text1"/>
                <w:kern w:val="24"/>
                <w:sz w:val="14"/>
                <w:szCs w:val="16"/>
                <w:lang w:eastAsia="el-GR"/>
              </w:rPr>
            </w:pPr>
            <w:r>
              <w:rPr>
                <w:rFonts w:ascii="Segoe UI" w:eastAsia="Times New Roman" w:hAnsi="Segoe UI" w:cs="Segoe UI"/>
                <w:b/>
                <w:bCs/>
                <w:color w:val="000000" w:themeColor="text1"/>
                <w:kern w:val="24"/>
                <w:sz w:val="14"/>
                <w:szCs w:val="16"/>
                <w:lang w:eastAsia="el-GR"/>
              </w:rPr>
              <w:t>5.</w:t>
            </w:r>
            <w:r w:rsidRPr="00A573F7">
              <w:rPr>
                <w:rFonts w:ascii="Segoe UI" w:eastAsia="Times New Roman" w:hAnsi="Segoe UI" w:cs="Segoe UI"/>
                <w:b/>
                <w:bCs/>
                <w:color w:val="000000" w:themeColor="text1"/>
                <w:kern w:val="24"/>
                <w:sz w:val="14"/>
                <w:szCs w:val="16"/>
                <w:lang w:eastAsia="el-GR"/>
              </w:rPr>
              <w:t>059</w:t>
            </w:r>
          </w:p>
        </w:tc>
        <w:tc>
          <w:tcPr>
            <w:tcW w:w="529" w:type="pct"/>
            <w:tcBorders>
              <w:top w:val="nil"/>
              <w:left w:val="nil"/>
              <w:right w:val="nil"/>
            </w:tcBorders>
          </w:tcPr>
          <w:p w:rsidR="00A573F7" w:rsidRPr="00134B1E" w:rsidRDefault="00A573F7" w:rsidP="00A573F7">
            <w:pPr>
              <w:ind w:right="148"/>
              <w:jc w:val="right"/>
              <w:rPr>
                <w:rFonts w:ascii="Segoe UI" w:eastAsia="Times New Roman" w:hAnsi="Segoe UI" w:cs="Segoe UI"/>
                <w:b/>
                <w:bCs/>
                <w:color w:val="000000" w:themeColor="text1"/>
                <w:kern w:val="24"/>
                <w:sz w:val="14"/>
                <w:szCs w:val="16"/>
                <w:lang w:eastAsia="el-GR"/>
              </w:rPr>
            </w:pPr>
            <w:r w:rsidRPr="00134B1E">
              <w:rPr>
                <w:rFonts w:ascii="Segoe UI" w:eastAsia="Times New Roman" w:hAnsi="Segoe UI" w:cs="Segoe UI"/>
                <w:b/>
                <w:bCs/>
                <w:color w:val="000000" w:themeColor="text1"/>
                <w:kern w:val="24"/>
                <w:sz w:val="14"/>
                <w:szCs w:val="16"/>
                <w:lang w:eastAsia="el-GR"/>
              </w:rPr>
              <w:t xml:space="preserve">5.426 </w:t>
            </w:r>
          </w:p>
        </w:tc>
        <w:tc>
          <w:tcPr>
            <w:tcW w:w="529" w:type="pct"/>
            <w:tcBorders>
              <w:top w:val="nil"/>
              <w:left w:val="nil"/>
              <w:right w:val="nil"/>
            </w:tcBorders>
            <w:vAlign w:val="center"/>
          </w:tcPr>
          <w:p w:rsidR="00A573F7" w:rsidRPr="00134B1E" w:rsidRDefault="00A573F7" w:rsidP="00A573F7">
            <w:pPr>
              <w:ind w:right="148"/>
              <w:jc w:val="right"/>
              <w:rPr>
                <w:rFonts w:ascii="Segoe UI" w:eastAsia="Times New Roman" w:hAnsi="Segoe UI" w:cs="Segoe UI"/>
                <w:b/>
                <w:bCs/>
                <w:color w:val="000000" w:themeColor="text1"/>
                <w:kern w:val="24"/>
                <w:sz w:val="14"/>
                <w:szCs w:val="16"/>
                <w:lang w:eastAsia="el-GR"/>
              </w:rPr>
            </w:pPr>
            <w:r w:rsidRPr="00134B1E">
              <w:rPr>
                <w:rFonts w:ascii="Segoe UI" w:eastAsia="Times New Roman" w:hAnsi="Segoe UI" w:cs="Segoe UI"/>
                <w:b/>
                <w:bCs/>
                <w:color w:val="000000" w:themeColor="text1"/>
                <w:kern w:val="24"/>
                <w:sz w:val="14"/>
                <w:szCs w:val="16"/>
                <w:lang w:eastAsia="el-GR"/>
              </w:rPr>
              <w:t xml:space="preserve">5.314 </w:t>
            </w:r>
          </w:p>
        </w:tc>
        <w:tc>
          <w:tcPr>
            <w:tcW w:w="529" w:type="pct"/>
            <w:tcBorders>
              <w:top w:val="nil"/>
              <w:left w:val="nil"/>
              <w:right w:val="nil"/>
            </w:tcBorders>
            <w:vAlign w:val="center"/>
          </w:tcPr>
          <w:p w:rsidR="00A573F7" w:rsidRPr="005610B3" w:rsidRDefault="00A573F7" w:rsidP="00A573F7">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140 </w:t>
            </w:r>
          </w:p>
        </w:tc>
        <w:tc>
          <w:tcPr>
            <w:tcW w:w="527" w:type="pct"/>
            <w:tcBorders>
              <w:top w:val="nil"/>
              <w:left w:val="nil"/>
              <w:right w:val="nil"/>
            </w:tcBorders>
            <w:vAlign w:val="center"/>
          </w:tcPr>
          <w:p w:rsidR="00A573F7" w:rsidRPr="005610B3" w:rsidRDefault="00A573F7" w:rsidP="00A573F7">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259 </w:t>
            </w:r>
          </w:p>
        </w:tc>
      </w:tr>
      <w:tr w:rsidR="00A573F7" w:rsidRPr="006B4FB1" w:rsidTr="00A573F7">
        <w:trPr>
          <w:trHeight w:val="227"/>
        </w:trPr>
        <w:tc>
          <w:tcPr>
            <w:tcW w:w="2356" w:type="pct"/>
            <w:tcBorders>
              <w:top w:val="nil"/>
              <w:left w:val="nil"/>
              <w:bottom w:val="single" w:sz="12" w:space="0" w:color="auto"/>
              <w:right w:val="nil"/>
            </w:tcBorders>
            <w:shd w:val="clear" w:color="auto" w:fill="auto"/>
            <w:tcMar>
              <w:top w:w="15" w:type="dxa"/>
              <w:left w:w="42" w:type="dxa"/>
              <w:bottom w:w="0" w:type="dxa"/>
              <w:right w:w="15" w:type="dxa"/>
            </w:tcMar>
            <w:vAlign w:val="center"/>
          </w:tcPr>
          <w:p w:rsidR="00A573F7" w:rsidRPr="006B4FB1" w:rsidRDefault="00A573F7" w:rsidP="00A573F7">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Ενσώματα Ίδια κεφάλαια</w:t>
            </w:r>
          </w:p>
        </w:tc>
        <w:tc>
          <w:tcPr>
            <w:tcW w:w="530" w:type="pct"/>
            <w:tcBorders>
              <w:top w:val="nil"/>
              <w:left w:val="nil"/>
              <w:bottom w:val="single" w:sz="12" w:space="0" w:color="000000"/>
              <w:right w:val="nil"/>
            </w:tcBorders>
          </w:tcPr>
          <w:p w:rsidR="00A573F7" w:rsidRPr="00A573F7" w:rsidRDefault="00A573F7" w:rsidP="0091142F">
            <w:pPr>
              <w:ind w:right="148"/>
              <w:jc w:val="right"/>
              <w:rPr>
                <w:rFonts w:ascii="Segoe UI" w:eastAsia="Times New Roman" w:hAnsi="Segoe UI" w:cs="Segoe UI"/>
                <w:bCs/>
                <w:color w:val="000000" w:themeColor="text1"/>
                <w:kern w:val="24"/>
                <w:sz w:val="14"/>
                <w:szCs w:val="16"/>
                <w:lang w:eastAsia="el-GR"/>
              </w:rPr>
            </w:pPr>
            <w:r w:rsidRPr="00A573F7">
              <w:rPr>
                <w:rFonts w:ascii="Segoe UI" w:eastAsia="Times New Roman" w:hAnsi="Segoe UI" w:cs="Segoe UI"/>
                <w:bCs/>
                <w:color w:val="000000" w:themeColor="text1"/>
                <w:kern w:val="24"/>
                <w:sz w:val="14"/>
                <w:szCs w:val="16"/>
                <w:lang w:eastAsia="el-GR"/>
              </w:rPr>
              <w:t>4</w:t>
            </w:r>
            <w:r w:rsidR="0091142F">
              <w:rPr>
                <w:rFonts w:ascii="Segoe UI" w:eastAsia="Times New Roman" w:hAnsi="Segoe UI" w:cs="Segoe UI"/>
                <w:bCs/>
                <w:color w:val="000000" w:themeColor="text1"/>
                <w:kern w:val="24"/>
                <w:sz w:val="14"/>
                <w:szCs w:val="16"/>
                <w:lang w:eastAsia="el-GR"/>
              </w:rPr>
              <w:t>.</w:t>
            </w:r>
            <w:r w:rsidRPr="00A573F7">
              <w:rPr>
                <w:rFonts w:ascii="Segoe UI" w:eastAsia="Times New Roman" w:hAnsi="Segoe UI" w:cs="Segoe UI"/>
                <w:bCs/>
                <w:color w:val="000000" w:themeColor="text1"/>
                <w:kern w:val="24"/>
                <w:sz w:val="14"/>
                <w:szCs w:val="16"/>
                <w:lang w:eastAsia="el-GR"/>
              </w:rPr>
              <w:t>777</w:t>
            </w:r>
          </w:p>
        </w:tc>
        <w:tc>
          <w:tcPr>
            <w:tcW w:w="529" w:type="pct"/>
            <w:tcBorders>
              <w:top w:val="nil"/>
              <w:left w:val="nil"/>
              <w:bottom w:val="single" w:sz="12" w:space="0" w:color="000000"/>
              <w:right w:val="nil"/>
            </w:tcBorders>
          </w:tcPr>
          <w:p w:rsidR="00A573F7" w:rsidRPr="00026516" w:rsidRDefault="00A573F7" w:rsidP="00A573F7">
            <w:pPr>
              <w:ind w:right="148"/>
              <w:jc w:val="right"/>
              <w:rPr>
                <w:rFonts w:ascii="Segoe UI" w:eastAsia="Times New Roman" w:hAnsi="Segoe UI" w:cs="Segoe UI"/>
                <w:bCs/>
                <w:color w:val="000000" w:themeColor="text1"/>
                <w:kern w:val="24"/>
                <w:sz w:val="14"/>
                <w:szCs w:val="16"/>
                <w:lang w:eastAsia="el-GR"/>
              </w:rPr>
            </w:pPr>
            <w:r w:rsidRPr="00026516">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eastAsia="el-GR"/>
              </w:rPr>
              <w:t>.</w:t>
            </w:r>
            <w:r w:rsidRPr="00026516">
              <w:rPr>
                <w:rFonts w:ascii="Segoe UI" w:eastAsia="Times New Roman" w:hAnsi="Segoe UI" w:cs="Segoe UI"/>
                <w:bCs/>
                <w:color w:val="000000" w:themeColor="text1"/>
                <w:kern w:val="24"/>
                <w:sz w:val="14"/>
                <w:szCs w:val="16"/>
                <w:lang w:eastAsia="el-GR"/>
              </w:rPr>
              <w:t xml:space="preserve">175 </w:t>
            </w:r>
          </w:p>
        </w:tc>
        <w:tc>
          <w:tcPr>
            <w:tcW w:w="529" w:type="pct"/>
            <w:tcBorders>
              <w:top w:val="nil"/>
              <w:left w:val="nil"/>
              <w:bottom w:val="single" w:sz="12" w:space="0" w:color="auto"/>
              <w:right w:val="nil"/>
            </w:tcBorders>
            <w:vAlign w:val="bottom"/>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078</w:t>
            </w:r>
          </w:p>
        </w:tc>
        <w:tc>
          <w:tcPr>
            <w:tcW w:w="529" w:type="pct"/>
            <w:tcBorders>
              <w:top w:val="nil"/>
              <w:left w:val="nil"/>
              <w:bottom w:val="single" w:sz="12" w:space="0" w:color="auto"/>
              <w:right w:val="nil"/>
            </w:tcBorders>
            <w:vAlign w:val="bottom"/>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926 </w:t>
            </w:r>
          </w:p>
        </w:tc>
        <w:tc>
          <w:tcPr>
            <w:tcW w:w="527" w:type="pct"/>
            <w:tcBorders>
              <w:top w:val="nil"/>
              <w:left w:val="nil"/>
              <w:bottom w:val="single" w:sz="12" w:space="0" w:color="auto"/>
              <w:right w:val="nil"/>
            </w:tcBorders>
            <w:vAlign w:val="bottom"/>
          </w:tcPr>
          <w:p w:rsidR="00A573F7" w:rsidRPr="005610B3" w:rsidRDefault="00A573F7" w:rsidP="00A573F7">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057 </w:t>
            </w:r>
          </w:p>
        </w:tc>
      </w:tr>
    </w:tbl>
    <w:p w:rsidR="00B315DE" w:rsidRDefault="00771556" w:rsidP="00A4654D">
      <w:pPr>
        <w:jc w:val="both"/>
        <w:textAlignment w:val="baseline"/>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vertAlign w:val="superscript"/>
        </w:rPr>
        <w:t>1</w:t>
      </w:r>
      <w:r w:rsidR="003B1578" w:rsidRPr="00B315DE">
        <w:rPr>
          <w:rFonts w:ascii="Segoe UI" w:hAnsi="Segoe UI" w:cs="Segoe UI"/>
          <w:color w:val="000000" w:themeColor="text1"/>
          <w:kern w:val="24"/>
          <w:sz w:val="9"/>
          <w:szCs w:val="7"/>
          <w:vertAlign w:val="superscript"/>
        </w:rPr>
        <w:t xml:space="preserve"> </w:t>
      </w:r>
      <w:r w:rsidRPr="00B315DE">
        <w:rPr>
          <w:rFonts w:ascii="Segoe UI" w:hAnsi="Segoe UI" w:cs="Segoe UI"/>
          <w:color w:val="000000" w:themeColor="text1"/>
          <w:kern w:val="24"/>
          <w:sz w:val="9"/>
          <w:szCs w:val="7"/>
        </w:rPr>
        <w:t xml:space="preserve">Η Κατάσταση Χρηματοοικονομικής Θέσης του Ομίλου έχει αναπροσαρμοστεί για τις αποεπενδύσεις της ΕΤΕ σε Κύπρο, Ρουμανία, καθώς και Εθνική Ασφαλιστική, οι οποίες έχουν ταξινομηθεί ως μη κυκλοφορούντα περιουσιακά </w:t>
      </w:r>
    </w:p>
    <w:p w:rsidR="00B315DE" w:rsidRDefault="00771556" w:rsidP="00A4654D">
      <w:pPr>
        <w:jc w:val="both"/>
        <w:textAlignment w:val="baseline"/>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rPr>
        <w:t>στοιχεία προοριζόμενα προς πώληση και υποχρεώσεις σχετιζόμενες με μη κυκλοφορούντα περιουσιακά στοιχεία προοριζόμενα προς πώληση</w:t>
      </w:r>
      <w:r w:rsidR="00DC2500" w:rsidRPr="00B315DE">
        <w:rPr>
          <w:rFonts w:ascii="Segoe UI" w:hAnsi="Segoe UI" w:cs="Segoe UI"/>
          <w:color w:val="000000" w:themeColor="text1"/>
          <w:kern w:val="24"/>
          <w:sz w:val="9"/>
          <w:szCs w:val="7"/>
        </w:rPr>
        <w:t xml:space="preserve"> / </w:t>
      </w:r>
      <w:r w:rsidR="00DC2500" w:rsidRPr="00B315DE">
        <w:rPr>
          <w:rFonts w:ascii="Segoe UI" w:hAnsi="Segoe UI" w:cs="Segoe UI"/>
          <w:color w:val="000000" w:themeColor="text1"/>
          <w:kern w:val="24"/>
          <w:sz w:val="9"/>
          <w:szCs w:val="7"/>
          <w:vertAlign w:val="superscript"/>
        </w:rPr>
        <w:t>2</w:t>
      </w:r>
      <w:r w:rsidR="00DC2500" w:rsidRPr="00B315DE">
        <w:rPr>
          <w:rFonts w:ascii="Segoe UI" w:hAnsi="Segoe UI" w:cs="Segoe UI"/>
          <w:color w:val="000000" w:themeColor="text1"/>
          <w:kern w:val="24"/>
          <w:sz w:val="9"/>
          <w:szCs w:val="7"/>
        </w:rPr>
        <w:t xml:space="preserve"> Εξυπηρετούμενα δάνεια = Δάνεια (προ προβλέψεων) </w:t>
      </w:r>
      <w:r w:rsidR="00F73358" w:rsidRPr="00B315DE">
        <w:rPr>
          <w:rFonts w:ascii="Segoe UI" w:hAnsi="Segoe UI" w:cs="Segoe UI"/>
          <w:color w:val="000000" w:themeColor="text1"/>
          <w:kern w:val="24"/>
          <w:sz w:val="9"/>
          <w:szCs w:val="7"/>
        </w:rPr>
        <w:t>–</w:t>
      </w:r>
      <w:r w:rsidR="00DC2500" w:rsidRPr="00B315DE">
        <w:rPr>
          <w:rFonts w:ascii="Segoe UI" w:hAnsi="Segoe UI" w:cs="Segoe UI"/>
          <w:color w:val="000000" w:themeColor="text1"/>
          <w:kern w:val="24"/>
          <w:sz w:val="9"/>
          <w:szCs w:val="7"/>
        </w:rPr>
        <w:t xml:space="preserve"> </w:t>
      </w:r>
      <w:r w:rsidR="00DC2500" w:rsidRPr="00B315DE">
        <w:rPr>
          <w:rFonts w:ascii="Segoe UI" w:hAnsi="Segoe UI" w:cs="Segoe UI"/>
          <w:color w:val="000000" w:themeColor="text1"/>
          <w:kern w:val="24"/>
          <w:sz w:val="9"/>
          <w:szCs w:val="7"/>
          <w:lang w:val="en-US"/>
        </w:rPr>
        <w:t>MEA</w:t>
      </w:r>
      <w:r w:rsidR="00F73358" w:rsidRPr="00B315DE">
        <w:rPr>
          <w:rFonts w:ascii="Segoe UI" w:hAnsi="Segoe UI" w:cs="Segoe UI"/>
          <w:color w:val="000000" w:themeColor="text1"/>
          <w:kern w:val="24"/>
          <w:sz w:val="9"/>
          <w:szCs w:val="7"/>
        </w:rPr>
        <w:t xml:space="preserve"> / </w:t>
      </w:r>
      <w:r w:rsidR="00F73358" w:rsidRPr="000B17C3">
        <w:rPr>
          <w:rFonts w:ascii="Segoe UI" w:hAnsi="Segoe UI" w:cs="Segoe UI"/>
          <w:color w:val="000000" w:themeColor="text1"/>
          <w:kern w:val="24"/>
          <w:sz w:val="9"/>
          <w:szCs w:val="7"/>
          <w:vertAlign w:val="superscript"/>
        </w:rPr>
        <w:t>3</w:t>
      </w:r>
      <w:r w:rsidR="00F73358" w:rsidRPr="00B315DE">
        <w:rPr>
          <w:rFonts w:ascii="Segoe UI" w:hAnsi="Segoe UI" w:cs="Segoe UI"/>
          <w:color w:val="000000" w:themeColor="text1"/>
          <w:kern w:val="24"/>
          <w:sz w:val="9"/>
          <w:szCs w:val="7"/>
        </w:rPr>
        <w:t xml:space="preserve"> Περιλαμβάνει το </w:t>
      </w:r>
    </w:p>
    <w:p w:rsidR="00771556" w:rsidRPr="00B315DE" w:rsidRDefault="00F73358" w:rsidP="00A4654D">
      <w:pPr>
        <w:jc w:val="both"/>
        <w:textAlignment w:val="baseline"/>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rPr>
        <w:t>χαρτοφυλάκιο επενδύσεων και τα χρηματοοικονομικά περιουσιακή στοιχεία στην εύλογη αξία μέσω αποτελεσμάτων</w:t>
      </w:r>
    </w:p>
    <w:p w:rsidR="00F73358" w:rsidRPr="00F73358" w:rsidRDefault="00B315DE" w:rsidP="00A4654D">
      <w:pPr>
        <w:jc w:val="both"/>
        <w:textAlignment w:val="baseline"/>
        <w:rPr>
          <w:rFonts w:ascii="Segoe UI" w:hAnsi="Segoe UI" w:cs="Segoe UI"/>
          <w:color w:val="000000" w:themeColor="text1"/>
          <w:kern w:val="24"/>
          <w:sz w:val="36"/>
          <w:szCs w:val="32"/>
        </w:rPr>
      </w:pPr>
      <w:r w:rsidRPr="002F2F59">
        <w:rPr>
          <w:rFonts w:ascii="Segoe UI" w:hAnsi="Segoe UI" w:cs="Segoe UI"/>
          <w:noProof/>
          <w:sz w:val="28"/>
          <w:lang w:eastAsia="el-GR"/>
        </w:rPr>
        <mc:AlternateContent>
          <mc:Choice Requires="wps">
            <w:drawing>
              <wp:anchor distT="0" distB="0" distL="114300" distR="114300" simplePos="0" relativeHeight="251660800" behindDoc="0" locked="0" layoutInCell="1" allowOverlap="1" wp14:anchorId="5FCB5095" wp14:editId="15DF4E88">
                <wp:simplePos x="0" y="0"/>
                <wp:positionH relativeFrom="column">
                  <wp:posOffset>2749232</wp:posOffset>
                </wp:positionH>
                <wp:positionV relativeFrom="paragraph">
                  <wp:posOffset>313055</wp:posOffset>
                </wp:positionV>
                <wp:extent cx="611505" cy="2735580"/>
                <wp:effectExtent l="0" t="0" r="17145" b="26670"/>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73558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7FD4649E" id="Rounded Rectangle 18" o:spid="_x0000_s1026" style="position:absolute;margin-left:216.45pt;margin-top:24.65pt;width:48.15pt;height:21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fe1AEAAI4DAAAOAAAAZHJzL2Uyb0RvYy54bWysU8tu2zAQvBfoPxC813q0ShzBcg413EvQ&#10;Bkn7AWuKkojyBS5j2X/fJWO7SXsLciGW3NXszOxqdXswmu1lQOVsx6tFyZm0wvXKjh3/9XP7ackZ&#10;RrA9aGdlx48S+e3644fV7FtZu8npXgZGIBbb2Xd8itG3RYFikgZw4by0lBxcMBDpGsaiDzATutFF&#10;XZZXxexC74MTEpFeN89Jvs74wyBF/DEMKCPTHSduMZ8hn7t0FusVtGMAPylxogFvYGFAWWp6gdpA&#10;BPYU1H9QRong0A1xIZwp3DAoIbMGUlOV/6h5nMDLrIXMQX+xCd8PVnzf3wem+o7XN5xZMDSjB/dk&#10;e9mzB3IP7Kglq5bJqNljS/WP/j4kqejvnPiNlCheZdIFTzWHIZhUS0LZIbt+vLguD5EJeryqqqZs&#10;OBOUqq8/N80yj6WA9vy1Dxi/SWdYCjoeEr9ELjsO+zuMiQS057rU0bqt0jqPV1s2d/ymqVMToCUb&#10;NEQKjSfZaEfOQI+0vSKGjIhOqz59nVWGcfdVB7YH2qDt9vpL1SQvqNurstR6Azg91+XUqUzbBCPz&#10;Lp6Y/nUoRTvXH2kGYMXkaDMTi7OnNPTc6rSgaate3il++Rut/wAAAP//AwBQSwMEFAAGAAgAAAAh&#10;AGkLfFfgAAAACgEAAA8AAABkcnMvZG93bnJldi54bWxMj01OwzAQRvdI3MEaJHbUiUtREuJUiAJC&#10;ICERegA3HpKIeBzFbht6eoYV7Obn6Zs35Xp2gzjgFHpPGtJFAgKp8banVsP24/EqAxGiIWsGT6jh&#10;GwOsq/Oz0hTWH+kdD3VsBYdQKIyGLsaxkDI0HToTFn5E4t2nn5yJ3E6ttJM5crgbpEqSG+lMT3yh&#10;MyPed9h81XunYbPNOrt5CNnr80vzlp/Sp1O9UlpfXsx3tyAizvEPhl99VoeKnXZ+TzaIQcP1UuWM&#10;cpEvQTCwUrkCseNBlqQgq1L+f6H6AQAA//8DAFBLAQItABQABgAIAAAAIQC2gziS/gAAAOEBAAAT&#10;AAAAAAAAAAAAAAAAAAAAAABbQ29udGVudF9UeXBlc10ueG1sUEsBAi0AFAAGAAgAAAAhADj9If/W&#10;AAAAlAEAAAsAAAAAAAAAAAAAAAAALwEAAF9yZWxzLy5yZWxzUEsBAi0AFAAGAAgAAAAhAOuJZ97U&#10;AQAAjgMAAA4AAAAAAAAAAAAAAAAALgIAAGRycy9lMm9Eb2MueG1sUEsBAi0AFAAGAAgAAAAhAGkL&#10;fFfgAAAACgEAAA8AAAAAAAAAAAAAAAAALgQAAGRycy9kb3ducmV2LnhtbFBLBQYAAAAABAAEAPMA&#10;AAA7BQAAAAA=&#10;" filled="f" strokecolor="#ff7415">
                <v:path arrowok="t"/>
              </v:roundrect>
            </w:pict>
          </mc:Fallback>
        </mc:AlternateContent>
      </w:r>
      <w:r w:rsidR="007F463F" w:rsidRPr="006F363E">
        <w:rPr>
          <w:rFonts w:ascii="Segoe UI" w:hAnsi="Segoe UI" w:cs="Segoe UI"/>
          <w:noProof/>
          <w:sz w:val="18"/>
          <w:highlight w:val="yellow"/>
          <w:lang w:eastAsia="el-GR"/>
        </w:rPr>
        <mc:AlternateContent>
          <mc:Choice Requires="wps">
            <w:drawing>
              <wp:anchor distT="0" distB="0" distL="114300" distR="114300" simplePos="0" relativeHeight="251655680" behindDoc="0" locked="0" layoutInCell="1" allowOverlap="1" wp14:anchorId="77374423" wp14:editId="1E3DE356">
                <wp:simplePos x="0" y="0"/>
                <wp:positionH relativeFrom="margin">
                  <wp:posOffset>-10366</wp:posOffset>
                </wp:positionH>
                <wp:positionV relativeFrom="paragraph">
                  <wp:posOffset>48895</wp:posOffset>
                </wp:positionV>
                <wp:extent cx="2092325" cy="296545"/>
                <wp:effectExtent l="0" t="0" r="3175" b="8255"/>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09232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374423" id="Rectangle 5" o:spid="_x0000_s1033" style="position:absolute;left:0;text-align:left;margin-left:-.8pt;margin-top:3.85pt;width:164.75pt;height:2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adsgIAALoFAAAOAAAAZHJzL2Uyb0RvYy54bWysVNtu2zAMfR+wfxD07vpSO4mNOkUbx8OA&#10;bivW7QMUWY6F2ZInKXG6Yf8+Ss61fRm2+UEQJZo6hzzkze2ua9GWKc2lyHF4FWDEBJUVF+scf/1S&#10;ejOMtCGiIq0ULMfPTOPb+ds3N0OfsUg2sq2YQhBE6Gzoc9wY02e+r2nDOqKvZM8EXNZSdcSAqdZ+&#10;pcgA0bvWj4Jg4g9SVb2SlGkNp8V4iecufl0zaj7VtWYGtTkGbMatyq0ru/rzG5KtFekbTvcwyF+g&#10;6AgX8OgxVEEMQRvFX4XqOFVSy9pcUdn5sq45ZY4DsAmDF2yeGtIzxwWSo/tjmvT/C0s/bh8V4lWO&#10;U4wE6aBEnyFpRKxbhhKbnqHXGXg99Y/KEtT9g6TfNBLynYJ6hdbFv/CxhgZvtBo+yAoCko2RLjm7&#10;WnU2BtBGO1eD52MN2M4gCodRkEbXUYIRhbsonSSxQ+GT7PB3r7R5x2SH7CbHCuC66GT7oI1FQ7KD&#10;i31MyJK3ratzKy4OwHE8YU4o498kAySwtZ4WkyvizzRIl7PlLPbiaLL04qAovLtyEXuTMpwmxXWx&#10;WBThL4sijLOGVxUT9tGDoML4zwq2l/YohaOktGx5ZcNZSFqtV4tWoS0BQZfucxWAm5ObfwnDpQS4&#10;vKAURnFwH6VeOZlNvbiMEy+dBjMvCNP7dBLEaVyUl5QeuGD/TgkNoLUEKuzonEC/4Ba47zU3knXc&#10;wMhoeZfj2dGJZA0j1VJUrtCG8Hbcn6XCwj+lAop/KLSTr1XsKHazW+1cR0wP8l/J6hn0rCTIDYYI&#10;jDvYNFL9wGiA0ZFj/X1DFMOofS+gN+NkGk5g1pwb6txYnRtEUAiVY2oURqOxMOOE2vSKrxt4K3TJ&#10;EvIOOqnmTuS2y0Zc+/6DAeHY7YeZnUDntvM6jdz5bwAAAP//AwBQSwMEFAAGAAgAAAAhAD1vdm7c&#10;AAAABwEAAA8AAABkcnMvZG93bnJldi54bWxMjsFOwzAQRO9I/IO1SNxapyHEJWRTQYAjB1p6d2I3&#10;jojXUey26d9jTvQ4mtGbV25mO7CTnnzvCGG1TIBpap3qqUP43n0s1sB8kKTk4EgjXLSHTXV7U8pC&#10;uTN96dM2dCxCyBcSwYQwFpz71mgr/dKNmmJ3cJOVIcap42qS5wi3A0+TJOdW9hQfjBx1bXT7sz1a&#10;hLdD85qaeV/Xu8v+M1+n4j3PBOL93fzyDCzoOfyP4U8/qkMVnRp3JOXZgLBY5XGJIASwWD+k4glY&#10;g/CYZcCrkl/7V78AAAD//wMAUEsBAi0AFAAGAAgAAAAhALaDOJL+AAAA4QEAABMAAAAAAAAAAAAA&#10;AAAAAAAAAFtDb250ZW50X1R5cGVzXS54bWxQSwECLQAUAAYACAAAACEAOP0h/9YAAACUAQAACwAA&#10;AAAAAAAAAAAAAAAvAQAAX3JlbHMvLnJlbHNQSwECLQAUAAYACAAAACEAUGFWnbICAAC6BQAADgAA&#10;AAAAAAAAAAAAAAAuAgAAZHJzL2Uyb0RvYy54bWxQSwECLQAUAAYACAAAACEAPW92btwAAAAHAQAA&#10;DwAAAAAAAAAAAAAAAAAMBQAAZHJzL2Rvd25yZXYueG1sUEsFBgAAAAAEAAQA8wAAABUGAAAAAA==&#10;" filled="f" stroked="f">
                <v:path arrowok="t"/>
                <o:lock v:ext="edit" grouping="t"/>
                <v:textbox inset="1.2699mm,1.2699mm,1.2699mm,1.2699mm">
                  <w:txbxContent>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v:textbox>
                <w10:wrap anchorx="margin"/>
              </v:rect>
            </w:pict>
          </mc:Fallback>
        </mc:AlternateContent>
      </w:r>
    </w:p>
    <w:tbl>
      <w:tblPr>
        <w:tblW w:w="4522" w:type="pct"/>
        <w:tblCellMar>
          <w:left w:w="0" w:type="dxa"/>
          <w:right w:w="0" w:type="dxa"/>
        </w:tblCellMar>
        <w:tblLook w:val="0420" w:firstRow="1" w:lastRow="0" w:firstColumn="0" w:lastColumn="0" w:noHBand="0" w:noVBand="1"/>
      </w:tblPr>
      <w:tblGrid>
        <w:gridCol w:w="4347"/>
        <w:gridCol w:w="976"/>
        <w:gridCol w:w="976"/>
        <w:gridCol w:w="976"/>
        <w:gridCol w:w="976"/>
        <w:gridCol w:w="972"/>
      </w:tblGrid>
      <w:tr w:rsidR="00AE6D40" w:rsidRPr="006B4FB1" w:rsidTr="001C2BAB">
        <w:trPr>
          <w:trHeight w:val="289"/>
        </w:trPr>
        <w:tc>
          <w:tcPr>
            <w:tcW w:w="2357"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rsidR="00AE6D40" w:rsidRPr="006B4FB1" w:rsidRDefault="00AE6D40" w:rsidP="00AE6D40">
            <w:pPr>
              <w:rPr>
                <w:rFonts w:ascii="Segoe UI" w:eastAsia="Times New Roman" w:hAnsi="Segoe UI" w:cs="Segoe UI"/>
                <w:sz w:val="14"/>
                <w:szCs w:val="14"/>
                <w:lang w:eastAsia="el-GR"/>
              </w:rPr>
            </w:pPr>
          </w:p>
        </w:tc>
        <w:tc>
          <w:tcPr>
            <w:tcW w:w="529" w:type="pct"/>
            <w:tcBorders>
              <w:top w:val="single" w:sz="8" w:space="0" w:color="000000"/>
              <w:left w:val="nil"/>
              <w:bottom w:val="single" w:sz="8" w:space="0" w:color="000000"/>
              <w:right w:val="nil"/>
            </w:tcBorders>
          </w:tcPr>
          <w:p w:rsidR="00AE6D40" w:rsidRDefault="001C2BAB"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00AE6D40" w:rsidRPr="006B4FB1">
              <w:rPr>
                <w:rFonts w:ascii="Segoe UI" w:eastAsia="Times New Roman" w:hAnsi="Segoe UI" w:cs="Segoe UI"/>
                <w:b/>
                <w:bCs/>
                <w:color w:val="000000" w:themeColor="text1"/>
                <w:kern w:val="24"/>
                <w:sz w:val="14"/>
                <w:szCs w:val="14"/>
                <w:lang w:eastAsia="el-GR"/>
              </w:rPr>
              <w:t>‘ τρίμηνο 20</w:t>
            </w:r>
            <w:r w:rsidR="00AE6D40">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Default="00AE6D40" w:rsidP="00AE6D4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9" w:type="pct"/>
            <w:tcBorders>
              <w:top w:val="single" w:sz="8" w:space="0" w:color="000000"/>
              <w:left w:val="nil"/>
              <w:bottom w:val="single" w:sz="8" w:space="0" w:color="000000"/>
              <w:right w:val="nil"/>
            </w:tcBorders>
          </w:tcPr>
          <w:p w:rsidR="00AE6D40" w:rsidRPr="006B4FB1" w:rsidRDefault="00AE6D40" w:rsidP="00AE6D4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527" w:type="pct"/>
            <w:tcBorders>
              <w:top w:val="single" w:sz="8" w:space="0" w:color="000000"/>
              <w:left w:val="nil"/>
              <w:bottom w:val="single" w:sz="8" w:space="0" w:color="000000"/>
              <w:right w:val="nil"/>
            </w:tcBorders>
            <w:vAlign w:val="center"/>
          </w:tcPr>
          <w:p w:rsidR="00AE6D40" w:rsidRPr="006B4FB1" w:rsidRDefault="00AE6D40" w:rsidP="00AE6D40">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r>
      <w:tr w:rsidR="00AE6D40" w:rsidRPr="006B4FB1" w:rsidTr="001C2BAB">
        <w:trPr>
          <w:trHeight w:val="227"/>
        </w:trPr>
        <w:tc>
          <w:tcPr>
            <w:tcW w:w="2357"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rsidR="00AE6D40" w:rsidRPr="006B4FB1" w:rsidRDefault="00AE6D40" w:rsidP="00AE6D40">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529" w:type="pct"/>
            <w:tcBorders>
              <w:top w:val="single" w:sz="8" w:space="0" w:color="000000"/>
              <w:left w:val="nil"/>
              <w:bottom w:val="nil"/>
              <w:right w:val="nil"/>
            </w:tcBorders>
            <w:shd w:val="clear" w:color="auto" w:fill="F2F2F2" w:themeFill="background1" w:themeFillShade="F2"/>
            <w:vAlign w:val="center"/>
          </w:tcPr>
          <w:p w:rsidR="00AE6D40" w:rsidRPr="004152D9" w:rsidRDefault="00AE6D40" w:rsidP="00AE6D40">
            <w:pPr>
              <w:ind w:right="148"/>
              <w:jc w:val="right"/>
              <w:rPr>
                <w:rFonts w:ascii="Segoe UI" w:eastAsia="Times New Roman" w:hAnsi="Segoe UI" w:cs="Segoe UI"/>
                <w:b/>
                <w:bCs/>
                <w:color w:val="000000" w:themeColor="text1"/>
                <w:kern w:val="24"/>
                <w:sz w:val="14"/>
                <w:szCs w:val="16"/>
                <w:lang w:eastAsia="el-GR"/>
              </w:rPr>
            </w:pPr>
          </w:p>
        </w:tc>
        <w:tc>
          <w:tcPr>
            <w:tcW w:w="529" w:type="pct"/>
            <w:tcBorders>
              <w:top w:val="single" w:sz="8" w:space="0" w:color="000000"/>
              <w:left w:val="nil"/>
              <w:bottom w:val="nil"/>
              <w:right w:val="nil"/>
            </w:tcBorders>
            <w:shd w:val="clear" w:color="auto" w:fill="F2F2F2" w:themeFill="background1" w:themeFillShade="F2"/>
            <w:vAlign w:val="center"/>
          </w:tcPr>
          <w:p w:rsidR="00AE6D40" w:rsidRPr="004152D9" w:rsidRDefault="00AE6D40" w:rsidP="00AE6D40">
            <w:pPr>
              <w:ind w:right="148"/>
              <w:jc w:val="right"/>
              <w:rPr>
                <w:rFonts w:ascii="Segoe UI" w:eastAsia="Times New Roman" w:hAnsi="Segoe UI" w:cs="Segoe UI"/>
                <w:b/>
                <w:bCs/>
                <w:color w:val="000000" w:themeColor="text1"/>
                <w:kern w:val="24"/>
                <w:sz w:val="14"/>
                <w:szCs w:val="16"/>
                <w:lang w:eastAsia="el-GR"/>
              </w:rPr>
            </w:pPr>
          </w:p>
        </w:tc>
        <w:tc>
          <w:tcPr>
            <w:tcW w:w="529" w:type="pct"/>
            <w:tcBorders>
              <w:top w:val="single" w:sz="8" w:space="0" w:color="000000"/>
              <w:left w:val="nil"/>
              <w:bottom w:val="nil"/>
              <w:right w:val="nil"/>
            </w:tcBorders>
            <w:shd w:val="clear" w:color="auto" w:fill="F2F2F2" w:themeFill="background1" w:themeFillShade="F2"/>
            <w:vAlign w:val="center"/>
          </w:tcPr>
          <w:p w:rsidR="00AE6D40" w:rsidRPr="004152D9" w:rsidRDefault="00AE6D40" w:rsidP="00AE6D40">
            <w:pPr>
              <w:ind w:right="148"/>
              <w:jc w:val="right"/>
              <w:rPr>
                <w:rFonts w:ascii="Segoe UI" w:eastAsia="Times New Roman" w:hAnsi="Segoe UI" w:cs="Segoe UI"/>
                <w:b/>
                <w:bCs/>
                <w:color w:val="000000" w:themeColor="text1"/>
                <w:kern w:val="24"/>
                <w:sz w:val="14"/>
                <w:szCs w:val="16"/>
                <w:lang w:eastAsia="el-GR"/>
              </w:rPr>
            </w:pPr>
          </w:p>
        </w:tc>
        <w:tc>
          <w:tcPr>
            <w:tcW w:w="529" w:type="pct"/>
            <w:tcBorders>
              <w:top w:val="single" w:sz="8" w:space="0" w:color="000000"/>
              <w:left w:val="nil"/>
              <w:bottom w:val="nil"/>
              <w:right w:val="nil"/>
            </w:tcBorders>
            <w:shd w:val="clear" w:color="auto" w:fill="F2F2F2" w:themeFill="background1" w:themeFillShade="F2"/>
          </w:tcPr>
          <w:p w:rsidR="00AE6D40" w:rsidRPr="006B4FB1" w:rsidRDefault="00AE6D40" w:rsidP="00AE6D40">
            <w:pPr>
              <w:ind w:right="126"/>
              <w:jc w:val="right"/>
              <w:rPr>
                <w:rFonts w:ascii="Segoe UI" w:eastAsia="Times New Roman" w:hAnsi="Segoe UI" w:cs="Segoe UI"/>
                <w:kern w:val="24"/>
                <w:sz w:val="14"/>
                <w:szCs w:val="14"/>
                <w:highlight w:val="yellow"/>
                <w:lang w:eastAsia="el-GR"/>
              </w:rPr>
            </w:pPr>
          </w:p>
        </w:tc>
        <w:tc>
          <w:tcPr>
            <w:tcW w:w="527" w:type="pct"/>
            <w:tcBorders>
              <w:top w:val="single" w:sz="8" w:space="0" w:color="000000"/>
              <w:left w:val="nil"/>
              <w:bottom w:val="nil"/>
              <w:right w:val="nil"/>
            </w:tcBorders>
            <w:shd w:val="clear" w:color="auto" w:fill="F2F2F2" w:themeFill="background1" w:themeFillShade="F2"/>
            <w:vAlign w:val="center"/>
          </w:tcPr>
          <w:p w:rsidR="00AE6D40" w:rsidRPr="006B4FB1" w:rsidRDefault="00AE6D40" w:rsidP="00AE6D40">
            <w:pPr>
              <w:ind w:right="126"/>
              <w:jc w:val="right"/>
              <w:rPr>
                <w:rFonts w:ascii="Segoe UI" w:eastAsia="Times New Roman" w:hAnsi="Segoe UI" w:cs="Segoe UI"/>
                <w:kern w:val="24"/>
                <w:sz w:val="14"/>
                <w:szCs w:val="14"/>
                <w:highlight w:val="yellow"/>
                <w:lang w:eastAsia="el-GR"/>
              </w:rPr>
            </w:pP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hideMark/>
          </w:tcPr>
          <w:p w:rsidR="001C2BAB" w:rsidRPr="006B4FB1" w:rsidRDefault="001C2BAB" w:rsidP="001C2BAB">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w:t>
            </w:r>
            <w:r>
              <w:rPr>
                <w:rFonts w:ascii="Segoe UI" w:eastAsia="Times New Roman" w:hAnsi="Segoe UI" w:cs="Segoe UI"/>
                <w:color w:val="000000" w:themeColor="text1"/>
                <w:kern w:val="24"/>
                <w:sz w:val="14"/>
                <w:szCs w:val="14"/>
                <w:lang w:eastAsia="el-GR"/>
              </w:rPr>
              <w:t xml:space="preserve">από </w:t>
            </w:r>
            <w:r w:rsidRPr="006B4FB1">
              <w:rPr>
                <w:rFonts w:ascii="Segoe UI" w:eastAsia="Times New Roman" w:hAnsi="Segoe UI" w:cs="Segoe UI"/>
                <w:color w:val="000000" w:themeColor="text1"/>
                <w:kern w:val="24"/>
                <w:sz w:val="14"/>
                <w:szCs w:val="14"/>
                <w:lang w:eastAsia="el-GR"/>
              </w:rPr>
              <w:t>προβλέψε</w:t>
            </w:r>
            <w:r>
              <w:rPr>
                <w:rFonts w:ascii="Segoe UI" w:eastAsia="Times New Roman" w:hAnsi="Segoe UI" w:cs="Segoe UI"/>
                <w:color w:val="000000" w:themeColor="text1"/>
                <w:kern w:val="24"/>
                <w:sz w:val="14"/>
                <w:szCs w:val="14"/>
                <w:lang w:eastAsia="el-GR"/>
              </w:rPr>
              <w:t>ις</w:t>
            </w:r>
            <w:r w:rsidRPr="006B4FB1">
              <w:rPr>
                <w:rFonts w:ascii="Segoe UI" w:eastAsia="Times New Roman" w:hAnsi="Segoe UI" w:cs="Segoe UI"/>
                <w:color w:val="000000" w:themeColor="text1"/>
                <w:kern w:val="24"/>
                <w:sz w:val="14"/>
                <w:szCs w:val="14"/>
                <w:lang w:eastAsia="el-GR"/>
              </w:rPr>
              <w:t xml:space="preserve">) προς καταθέσεις </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55%</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r w:rsidRPr="001A39BC">
              <w:rPr>
                <w:rFonts w:ascii="Segoe UI" w:eastAsia="Times New Roman" w:hAnsi="Segoe UI" w:cs="Segoe UI"/>
                <w:bCs/>
                <w:color w:val="000000" w:themeColor="text1"/>
                <w:kern w:val="24"/>
                <w:sz w:val="14"/>
                <w:szCs w:val="16"/>
                <w:lang w:eastAsia="el-GR"/>
              </w:rPr>
              <w:t>65%</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65%</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64%</w:t>
            </w:r>
          </w:p>
        </w:tc>
        <w:tc>
          <w:tcPr>
            <w:tcW w:w="527"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67%</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tcPr>
          <w:p w:rsidR="001C2BAB" w:rsidRPr="006B4FB1" w:rsidRDefault="001C2BAB" w:rsidP="001C2BAB">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val="en-US" w:eastAsia="el-GR"/>
              </w:rPr>
              <w:t>232</w:t>
            </w:r>
            <w:r w:rsidRPr="001C2BAB">
              <w:rPr>
                <w:rFonts w:ascii="Segoe UI" w:eastAsia="Times New Roman" w:hAnsi="Segoe UI" w:cs="Segoe UI"/>
                <w:bCs/>
                <w:color w:val="000000" w:themeColor="text1"/>
                <w:kern w:val="24"/>
                <w:sz w:val="14"/>
                <w:szCs w:val="16"/>
                <w:lang w:eastAsia="el-GR"/>
              </w:rPr>
              <w:t>%</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val="en-US" w:eastAsia="el-GR"/>
              </w:rPr>
              <w:t>196</w:t>
            </w:r>
            <w:r w:rsidRPr="001A39BC">
              <w:rPr>
                <w:rFonts w:ascii="Segoe UI" w:eastAsia="Times New Roman" w:hAnsi="Segoe UI" w:cs="Segoe UI"/>
                <w:bCs/>
                <w:color w:val="000000" w:themeColor="text1"/>
                <w:kern w:val="24"/>
                <w:sz w:val="14"/>
                <w:szCs w:val="16"/>
                <w:lang w:eastAsia="el-GR"/>
              </w:rPr>
              <w:t>%</w:t>
            </w:r>
          </w:p>
        </w:tc>
        <w:tc>
          <w:tcPr>
            <w:tcW w:w="529" w:type="pct"/>
            <w:tcBorders>
              <w:top w:val="nil"/>
              <w:left w:val="nil"/>
              <w:bottom w:val="nil"/>
              <w:right w:val="nil"/>
            </w:tcBorders>
            <w:vAlign w:val="center"/>
          </w:tcPr>
          <w:p w:rsidR="001C2BAB" w:rsidRPr="00CC318B" w:rsidRDefault="001C2BAB" w:rsidP="001C2BAB">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val="en-US" w:eastAsia="el-GR"/>
              </w:rPr>
              <w:t>216%</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171%</w:t>
            </w:r>
          </w:p>
        </w:tc>
        <w:tc>
          <w:tcPr>
            <w:tcW w:w="527"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207%</w:t>
            </w:r>
          </w:p>
        </w:tc>
      </w:tr>
      <w:tr w:rsidR="001C2BAB" w:rsidRPr="006B4FB1" w:rsidTr="001C2BAB">
        <w:trPr>
          <w:trHeight w:val="227"/>
        </w:trPr>
        <w:tc>
          <w:tcPr>
            <w:tcW w:w="235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1C2BAB" w:rsidRPr="006B4FB1" w:rsidRDefault="001C2BAB" w:rsidP="001C2BAB">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529" w:type="pct"/>
            <w:tcBorders>
              <w:top w:val="nil"/>
              <w:left w:val="nil"/>
              <w:bottom w:val="nil"/>
              <w:right w:val="nil"/>
            </w:tcBorders>
            <w:shd w:val="clear" w:color="auto" w:fill="F2F2F2" w:themeFill="background1" w:themeFillShade="F2"/>
            <w:vAlign w:val="center"/>
          </w:tcPr>
          <w:p w:rsidR="001C2BAB" w:rsidRPr="001C2BAB" w:rsidRDefault="001C2BAB" w:rsidP="001C2BAB">
            <w:pPr>
              <w:jc w:val="right"/>
              <w:rPr>
                <w:rFonts w:ascii="Segoe UI" w:hAnsi="Segoe UI" w:cs="Segoe UI"/>
                <w:sz w:val="14"/>
                <w:szCs w:val="16"/>
                <w:highlight w:val="yellow"/>
              </w:rPr>
            </w:pPr>
          </w:p>
        </w:tc>
        <w:tc>
          <w:tcPr>
            <w:tcW w:w="529" w:type="pct"/>
            <w:tcBorders>
              <w:top w:val="nil"/>
              <w:left w:val="nil"/>
              <w:bottom w:val="nil"/>
              <w:right w:val="nil"/>
            </w:tcBorders>
            <w:shd w:val="clear" w:color="auto" w:fill="F2F2F2" w:themeFill="background1" w:themeFillShade="F2"/>
            <w:vAlign w:val="center"/>
          </w:tcPr>
          <w:p w:rsidR="001C2BAB" w:rsidRPr="001A39BC" w:rsidRDefault="001C2BAB" w:rsidP="001C2BAB">
            <w:pPr>
              <w:jc w:val="right"/>
              <w:rPr>
                <w:rFonts w:ascii="Segoe UI" w:hAnsi="Segoe UI" w:cs="Segoe UI"/>
                <w:sz w:val="14"/>
                <w:szCs w:val="16"/>
                <w:highlight w:val="yellow"/>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jc w:val="right"/>
              <w:rPr>
                <w:rFonts w:ascii="Segoe UI" w:hAnsi="Segoe UI" w:cs="Segoe UI"/>
                <w:sz w:val="14"/>
                <w:szCs w:val="16"/>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jc w:val="right"/>
              <w:rPr>
                <w:rFonts w:ascii="Segoe UI" w:hAnsi="Segoe UI" w:cs="Segoe UI"/>
                <w:sz w:val="14"/>
                <w:szCs w:val="16"/>
              </w:rPr>
            </w:pPr>
          </w:p>
        </w:tc>
        <w:tc>
          <w:tcPr>
            <w:tcW w:w="527" w:type="pct"/>
            <w:tcBorders>
              <w:top w:val="nil"/>
              <w:left w:val="nil"/>
              <w:bottom w:val="nil"/>
              <w:right w:val="nil"/>
            </w:tcBorders>
            <w:shd w:val="clear" w:color="auto" w:fill="F2F2F2" w:themeFill="background1" w:themeFillShade="F2"/>
            <w:vAlign w:val="center"/>
          </w:tcPr>
          <w:p w:rsidR="001C2BAB" w:rsidRPr="005610B3" w:rsidRDefault="001C2BAB" w:rsidP="001C2BAB">
            <w:pPr>
              <w:jc w:val="right"/>
              <w:rPr>
                <w:rFonts w:ascii="Segoe UI" w:hAnsi="Segoe UI" w:cs="Segoe UI"/>
                <w:sz w:val="14"/>
                <w:szCs w:val="16"/>
              </w:rPr>
            </w:pP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hideMark/>
          </w:tcPr>
          <w:p w:rsidR="001C2BAB" w:rsidRPr="006B4FB1" w:rsidRDefault="001C2BAB" w:rsidP="001C2BAB">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Καθαρό επιτοκιακό περιθώριο</w:t>
            </w:r>
            <w:r w:rsidRPr="00A06532">
              <w:rPr>
                <w:rFonts w:ascii="Segoe UI" w:eastAsia="Segoe UI" w:hAnsi="Segoe UI" w:cs="Segoe UI"/>
                <w:color w:val="000000"/>
                <w:kern w:val="24"/>
                <w:sz w:val="14"/>
                <w:szCs w:val="14"/>
                <w:vertAlign w:val="superscript"/>
                <w:lang w:eastAsia="el-GR"/>
              </w:rPr>
              <w:t>1</w:t>
            </w:r>
            <w:r w:rsidRPr="006B4FB1">
              <w:rPr>
                <w:rFonts w:ascii="Segoe UI" w:eastAsia="Segoe UI" w:hAnsi="Segoe UI" w:cs="Segoe UI"/>
                <w:color w:val="000000"/>
                <w:kern w:val="24"/>
                <w:sz w:val="14"/>
                <w:szCs w:val="14"/>
                <w:lang w:eastAsia="el-GR"/>
              </w:rPr>
              <w:t xml:space="preserve">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 xml:space="preserve">228 </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 xml:space="preserve">222 </w:t>
            </w:r>
          </w:p>
        </w:tc>
        <w:tc>
          <w:tcPr>
            <w:tcW w:w="529" w:type="pct"/>
            <w:tcBorders>
              <w:top w:val="nil"/>
              <w:left w:val="nil"/>
              <w:bottom w:val="nil"/>
              <w:right w:val="nil"/>
            </w:tcBorders>
            <w:vAlign w:val="center"/>
          </w:tcPr>
          <w:p w:rsidR="001C2BAB" w:rsidRPr="00E9061A" w:rsidRDefault="001C2BAB" w:rsidP="001C2BAB">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216 </w:t>
            </w:r>
          </w:p>
        </w:tc>
        <w:tc>
          <w:tcPr>
            <w:tcW w:w="529" w:type="pct"/>
            <w:tcBorders>
              <w:top w:val="nil"/>
              <w:left w:val="nil"/>
              <w:bottom w:val="nil"/>
              <w:right w:val="nil"/>
            </w:tcBorders>
            <w:vAlign w:val="center"/>
          </w:tcPr>
          <w:p w:rsidR="001C2BAB" w:rsidRPr="00E9061A" w:rsidRDefault="001C2BAB" w:rsidP="001C2BAB">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236 </w:t>
            </w:r>
          </w:p>
        </w:tc>
        <w:tc>
          <w:tcPr>
            <w:tcW w:w="527" w:type="pct"/>
            <w:tcBorders>
              <w:top w:val="nil"/>
              <w:left w:val="nil"/>
              <w:bottom w:val="nil"/>
              <w:right w:val="nil"/>
            </w:tcBorders>
            <w:shd w:val="clear" w:color="auto" w:fill="auto"/>
            <w:vAlign w:val="center"/>
          </w:tcPr>
          <w:p w:rsidR="001C2BAB" w:rsidRPr="00E9061A" w:rsidRDefault="001C2BAB" w:rsidP="001C2BAB">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261 </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tcPr>
          <w:p w:rsidR="001C2BAB" w:rsidRPr="006B4FB1" w:rsidRDefault="001C2BAB" w:rsidP="001C2BAB">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55%</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54%</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60%</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60%</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62%</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tcPr>
          <w:p w:rsidR="001C2BAB" w:rsidRPr="006B4FB1" w:rsidRDefault="001C2BAB" w:rsidP="001C2BAB">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244</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236</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181</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188</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189</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hideMark/>
          </w:tcPr>
          <w:p w:rsidR="001C2BAB" w:rsidRPr="006B4FB1" w:rsidRDefault="001C2BAB" w:rsidP="001C2BAB">
            <w:pPr>
              <w:pStyle w:v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proofErr w:type="spellStart"/>
            <w:r w:rsidRPr="006B4FB1">
              <w:rPr>
                <w:rFonts w:ascii="Segoe UI" w:eastAsia="Segoe UI" w:hAnsi="Segoe UI" w:cs="Segoe UI"/>
                <w:color w:val="000000"/>
                <w:kern w:val="24"/>
                <w:sz w:val="14"/>
                <w:szCs w:val="14"/>
                <w:lang w:eastAsia="el-GR"/>
              </w:rPr>
              <w:t>όστος</w:t>
            </w:r>
            <w:proofErr w:type="spellEnd"/>
            <w:r w:rsidRPr="006B4FB1">
              <w:rPr>
                <w:rFonts w:ascii="Segoe UI" w:eastAsia="Segoe UI" w:hAnsi="Segoe UI" w:cs="Segoe UI"/>
                <w:color w:val="000000"/>
                <w:kern w:val="24"/>
                <w:sz w:val="14"/>
                <w:szCs w:val="14"/>
                <w:lang w:eastAsia="el-GR"/>
              </w:rPr>
              <w:t xml:space="preserve"> πιστωτικού κινδύνου (</w:t>
            </w:r>
            <w:proofErr w:type="spellStart"/>
            <w:r w:rsidRPr="006B4FB1">
              <w:rPr>
                <w:rFonts w:ascii="Segoe UI" w:eastAsia="Segoe UI" w:hAnsi="Segoe UI" w:cs="Segoe UI"/>
                <w:color w:val="000000"/>
                <w:kern w:val="24"/>
                <w:sz w:val="14"/>
                <w:szCs w:val="14"/>
                <w:lang w:eastAsia="el-GR"/>
              </w:rPr>
              <w:t>μ.β</w:t>
            </w:r>
            <w:proofErr w:type="spellEnd"/>
            <w:r w:rsidRPr="006B4FB1">
              <w:rPr>
                <w:rFonts w:ascii="Segoe UI" w:eastAsia="Segoe UI" w:hAnsi="Segoe UI" w:cs="Segoe UI"/>
                <w:color w:val="000000"/>
                <w:kern w:val="24"/>
                <w:sz w:val="14"/>
                <w:szCs w:val="14"/>
                <w:lang w:eastAsia="el-GR"/>
              </w:rPr>
              <w:t>.)</w:t>
            </w:r>
          </w:p>
        </w:tc>
        <w:tc>
          <w:tcPr>
            <w:tcW w:w="529" w:type="pct"/>
            <w:tcBorders>
              <w:top w:val="nil"/>
              <w:left w:val="nil"/>
              <w:bottom w:val="nil"/>
              <w:right w:val="nil"/>
            </w:tcBorders>
            <w:vAlign w:val="center"/>
          </w:tcPr>
          <w:p w:rsidR="001C2BAB" w:rsidRPr="00852DA0" w:rsidRDefault="00852DA0"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val="en-US" w:eastAsia="el-GR"/>
              </w:rPr>
              <w:t>242</w:t>
            </w:r>
          </w:p>
        </w:tc>
        <w:tc>
          <w:tcPr>
            <w:tcW w:w="529" w:type="pct"/>
            <w:tcBorders>
              <w:top w:val="nil"/>
              <w:left w:val="nil"/>
              <w:bottom w:val="nil"/>
              <w:right w:val="nil"/>
            </w:tcBorders>
            <w:vAlign w:val="center"/>
          </w:tcPr>
          <w:p w:rsidR="001C2BAB" w:rsidRPr="001A39BC" w:rsidRDefault="001C2BAB" w:rsidP="00852DA0">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10</w:t>
            </w:r>
            <w:r w:rsidR="00852DA0">
              <w:rPr>
                <w:rFonts w:ascii="Segoe UI" w:eastAsia="Times New Roman" w:hAnsi="Segoe UI" w:cs="Segoe UI"/>
                <w:bCs/>
                <w:color w:val="000000" w:themeColor="text1"/>
                <w:kern w:val="24"/>
                <w:sz w:val="14"/>
                <w:szCs w:val="16"/>
                <w:lang w:val="en-US" w:eastAsia="el-GR"/>
              </w:rPr>
              <w:t>4</w:t>
            </w:r>
          </w:p>
        </w:tc>
        <w:tc>
          <w:tcPr>
            <w:tcW w:w="529" w:type="pct"/>
            <w:tcBorders>
              <w:top w:val="nil"/>
              <w:left w:val="nil"/>
              <w:bottom w:val="nil"/>
              <w:right w:val="nil"/>
            </w:tcBorders>
            <w:vAlign w:val="center"/>
          </w:tcPr>
          <w:p w:rsidR="001C2BAB" w:rsidRPr="005610B3" w:rsidRDefault="001C2BAB" w:rsidP="00852DA0">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9</w:t>
            </w:r>
            <w:r w:rsidR="00852DA0">
              <w:rPr>
                <w:rFonts w:ascii="Segoe UI" w:eastAsia="Times New Roman" w:hAnsi="Segoe UI" w:cs="Segoe UI"/>
                <w:bCs/>
                <w:color w:val="000000" w:themeColor="text1"/>
                <w:kern w:val="24"/>
                <w:sz w:val="14"/>
                <w:szCs w:val="16"/>
                <w:lang w:val="en-US" w:eastAsia="el-GR"/>
              </w:rPr>
              <w:t>5</w:t>
            </w:r>
            <w:r w:rsidRPr="005610B3">
              <w:rPr>
                <w:rFonts w:ascii="Segoe UI" w:eastAsia="Times New Roman" w:hAnsi="Segoe UI" w:cs="Segoe UI"/>
                <w:bCs/>
                <w:color w:val="000000" w:themeColor="text1"/>
                <w:kern w:val="24"/>
                <w:sz w:val="14"/>
                <w:szCs w:val="16"/>
                <w:lang w:eastAsia="el-GR"/>
              </w:rPr>
              <w:t xml:space="preserve"> </w:t>
            </w:r>
          </w:p>
        </w:tc>
        <w:tc>
          <w:tcPr>
            <w:tcW w:w="529" w:type="pct"/>
            <w:tcBorders>
              <w:top w:val="nil"/>
              <w:left w:val="nil"/>
              <w:bottom w:val="nil"/>
              <w:right w:val="nil"/>
            </w:tcBorders>
            <w:vAlign w:val="center"/>
          </w:tcPr>
          <w:p w:rsidR="001C2BAB" w:rsidRPr="005610B3" w:rsidRDefault="00852DA0" w:rsidP="00852DA0">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val="en-US" w:eastAsia="el-GR"/>
              </w:rPr>
              <w:t>239</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 xml:space="preserve">147 </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tcPr>
          <w:p w:rsidR="001C2BAB" w:rsidRPr="00852DA0" w:rsidRDefault="001C2BAB" w:rsidP="001C2BAB">
            <w:pPr>
              <w:pStyle w:v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Περιθώριο οργανικού κέρδους (</w:t>
            </w:r>
            <w:proofErr w:type="spellStart"/>
            <w:r>
              <w:rPr>
                <w:rFonts w:ascii="Segoe UI" w:eastAsia="Segoe UI" w:hAnsi="Segoe UI" w:cs="Segoe UI"/>
                <w:color w:val="000000"/>
                <w:kern w:val="24"/>
                <w:sz w:val="14"/>
                <w:szCs w:val="14"/>
                <w:lang w:eastAsia="el-GR"/>
              </w:rPr>
              <w:t>μ.β</w:t>
            </w:r>
            <w:proofErr w:type="spellEnd"/>
            <w:r>
              <w:rPr>
                <w:rFonts w:ascii="Segoe UI" w:eastAsia="Segoe UI" w:hAnsi="Segoe UI" w:cs="Segoe UI"/>
                <w:color w:val="000000"/>
                <w:kern w:val="24"/>
                <w:sz w:val="14"/>
                <w:szCs w:val="14"/>
                <w:lang w:eastAsia="el-GR"/>
              </w:rPr>
              <w:t>.)</w:t>
            </w:r>
            <w:r w:rsidR="00852DA0" w:rsidRPr="00852DA0">
              <w:rPr>
                <w:rFonts w:ascii="Segoe UI" w:eastAsia="Segoe UI" w:hAnsi="Segoe UI" w:cs="Segoe UI"/>
                <w:color w:val="000000"/>
                <w:kern w:val="24"/>
                <w:sz w:val="14"/>
                <w:szCs w:val="14"/>
                <w:vertAlign w:val="superscript"/>
                <w:lang w:eastAsia="el-GR"/>
              </w:rPr>
              <w:t>2</w:t>
            </w:r>
          </w:p>
        </w:tc>
        <w:tc>
          <w:tcPr>
            <w:tcW w:w="529" w:type="pct"/>
            <w:tcBorders>
              <w:top w:val="nil"/>
              <w:left w:val="nil"/>
              <w:bottom w:val="nil"/>
              <w:right w:val="nil"/>
            </w:tcBorders>
            <w:vAlign w:val="center"/>
          </w:tcPr>
          <w:p w:rsidR="001C2BAB" w:rsidRPr="001C2BAB" w:rsidRDefault="001C2BAB" w:rsidP="00852DA0">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137</w:t>
            </w:r>
          </w:p>
        </w:tc>
        <w:tc>
          <w:tcPr>
            <w:tcW w:w="529" w:type="pct"/>
            <w:tcBorders>
              <w:top w:val="nil"/>
              <w:left w:val="nil"/>
              <w:bottom w:val="nil"/>
              <w:right w:val="nil"/>
            </w:tcBorders>
            <w:vAlign w:val="center"/>
          </w:tcPr>
          <w:p w:rsidR="001C2BAB" w:rsidRPr="001A39BC" w:rsidRDefault="001C2BAB" w:rsidP="00852DA0">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133</w:t>
            </w:r>
          </w:p>
        </w:tc>
        <w:tc>
          <w:tcPr>
            <w:tcW w:w="529" w:type="pct"/>
            <w:tcBorders>
              <w:top w:val="nil"/>
              <w:left w:val="nil"/>
              <w:bottom w:val="nil"/>
              <w:right w:val="nil"/>
            </w:tcBorders>
            <w:vAlign w:val="center"/>
          </w:tcPr>
          <w:p w:rsidR="001C2BAB" w:rsidRPr="005610B3" w:rsidRDefault="00E5315C" w:rsidP="00E5315C">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90</w:t>
            </w:r>
          </w:p>
        </w:tc>
        <w:tc>
          <w:tcPr>
            <w:tcW w:w="529" w:type="pct"/>
            <w:tcBorders>
              <w:top w:val="nil"/>
              <w:left w:val="nil"/>
              <w:bottom w:val="nil"/>
              <w:right w:val="nil"/>
            </w:tcBorders>
            <w:vAlign w:val="center"/>
          </w:tcPr>
          <w:p w:rsidR="001C2BAB" w:rsidRPr="005610B3" w:rsidRDefault="001C2BAB" w:rsidP="00852DA0">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92</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42</w:t>
            </w:r>
          </w:p>
        </w:tc>
      </w:tr>
      <w:tr w:rsidR="001C2BAB" w:rsidRPr="006B4FB1" w:rsidTr="001C2BAB">
        <w:trPr>
          <w:trHeight w:val="227"/>
        </w:trPr>
        <w:tc>
          <w:tcPr>
            <w:tcW w:w="235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1C2BAB" w:rsidRPr="001168B2" w:rsidRDefault="001C2BAB" w:rsidP="001C2BAB">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529" w:type="pct"/>
            <w:tcBorders>
              <w:top w:val="nil"/>
              <w:left w:val="nil"/>
              <w:bottom w:val="nil"/>
              <w:right w:val="nil"/>
            </w:tcBorders>
            <w:shd w:val="clear" w:color="auto" w:fill="F2F2F2" w:themeFill="background1" w:themeFillShade="F2"/>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p>
        </w:tc>
        <w:tc>
          <w:tcPr>
            <w:tcW w:w="529" w:type="pct"/>
            <w:tcBorders>
              <w:top w:val="nil"/>
              <w:left w:val="nil"/>
              <w:bottom w:val="nil"/>
              <w:right w:val="nil"/>
            </w:tcBorders>
            <w:shd w:val="clear" w:color="auto" w:fill="F2F2F2" w:themeFill="background1" w:themeFillShade="F2"/>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p>
        </w:tc>
        <w:tc>
          <w:tcPr>
            <w:tcW w:w="527"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hideMark/>
          </w:tcPr>
          <w:p w:rsidR="001C2BAB" w:rsidRPr="00C62FEB" w:rsidRDefault="001C2BAB" w:rsidP="001C2BA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529" w:type="pct"/>
            <w:tcBorders>
              <w:top w:val="nil"/>
              <w:left w:val="nil"/>
              <w:bottom w:val="nil"/>
              <w:right w:val="nil"/>
            </w:tcBorders>
            <w:vAlign w:val="center"/>
          </w:tcPr>
          <w:p w:rsidR="001C2BAB" w:rsidRPr="00852DA0" w:rsidRDefault="001C2BAB" w:rsidP="00852DA0">
            <w:pPr>
              <w:ind w:right="148"/>
              <w:jc w:val="right"/>
              <w:rPr>
                <w:rFonts w:ascii="Segoe UI" w:eastAsia="Times New Roman" w:hAnsi="Segoe UI" w:cs="Segoe UI"/>
                <w:bCs/>
                <w:color w:val="000000" w:themeColor="text1"/>
                <w:kern w:val="24"/>
                <w:sz w:val="14"/>
                <w:szCs w:val="16"/>
                <w:lang w:val="en-US" w:eastAsia="el-GR"/>
              </w:rPr>
            </w:pPr>
            <w:r w:rsidRPr="001C2BAB">
              <w:rPr>
                <w:rFonts w:ascii="Segoe UI" w:eastAsia="Times New Roman" w:hAnsi="Segoe UI" w:cs="Segoe UI"/>
                <w:bCs/>
                <w:color w:val="000000" w:themeColor="text1"/>
                <w:kern w:val="24"/>
                <w:sz w:val="14"/>
                <w:szCs w:val="16"/>
                <w:lang w:eastAsia="el-GR"/>
              </w:rPr>
              <w:t>13</w:t>
            </w:r>
            <w:r>
              <w:rPr>
                <w:rFonts w:ascii="Segoe UI" w:eastAsia="Times New Roman" w:hAnsi="Segoe UI" w:cs="Segoe UI"/>
                <w:bCs/>
                <w:color w:val="000000" w:themeColor="text1"/>
                <w:kern w:val="24"/>
                <w:sz w:val="14"/>
                <w:szCs w:val="16"/>
                <w:lang w:eastAsia="el-GR"/>
              </w:rPr>
              <w:t>,</w:t>
            </w:r>
            <w:r w:rsidRPr="001C2BAB">
              <w:rPr>
                <w:rFonts w:ascii="Segoe UI" w:eastAsia="Times New Roman" w:hAnsi="Segoe UI" w:cs="Segoe UI"/>
                <w:bCs/>
                <w:color w:val="000000" w:themeColor="text1"/>
                <w:kern w:val="24"/>
                <w:sz w:val="14"/>
                <w:szCs w:val="16"/>
                <w:lang w:eastAsia="el-GR"/>
              </w:rPr>
              <w:t>6%</w:t>
            </w:r>
            <w:r w:rsidR="00852DA0">
              <w:rPr>
                <w:rFonts w:ascii="Segoe UI" w:eastAsia="Times New Roman" w:hAnsi="Segoe UI" w:cs="Segoe UI"/>
                <w:bCs/>
                <w:color w:val="000000" w:themeColor="text1"/>
                <w:kern w:val="24"/>
                <w:sz w:val="14"/>
                <w:szCs w:val="16"/>
                <w:vertAlign w:val="superscript"/>
                <w:lang w:val="en-US" w:eastAsia="el-GR"/>
              </w:rPr>
              <w:t>3</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29</w:t>
            </w:r>
            <w:r>
              <w:rPr>
                <w:rFonts w:ascii="Segoe UI" w:eastAsia="Times New Roman" w:hAnsi="Segoe UI" w:cs="Segoe UI"/>
                <w:bCs/>
                <w:color w:val="000000" w:themeColor="text1"/>
                <w:kern w:val="24"/>
                <w:sz w:val="14"/>
                <w:szCs w:val="16"/>
                <w:lang w:eastAsia="el-GR"/>
              </w:rPr>
              <w:t>,</w:t>
            </w:r>
            <w:r w:rsidRPr="001A39BC">
              <w:rPr>
                <w:rFonts w:ascii="Segoe UI" w:eastAsia="Times New Roman" w:hAnsi="Segoe UI" w:cs="Segoe UI"/>
                <w:bCs/>
                <w:color w:val="000000" w:themeColor="text1"/>
                <w:kern w:val="24"/>
                <w:sz w:val="14"/>
                <w:szCs w:val="16"/>
                <w:lang w:eastAsia="el-GR"/>
              </w:rPr>
              <w:t>3%</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val="en-US" w:eastAsia="el-GR"/>
              </w:rPr>
              <w:t>29</w:t>
            </w:r>
            <w:r>
              <w:rPr>
                <w:rFonts w:ascii="Segoe UI" w:eastAsia="Times New Roman" w:hAnsi="Segoe UI" w:cs="Segoe UI"/>
                <w:bCs/>
                <w:color w:val="000000" w:themeColor="text1"/>
                <w:kern w:val="24"/>
                <w:sz w:val="14"/>
                <w:szCs w:val="16"/>
                <w:lang w:eastAsia="el-GR"/>
              </w:rPr>
              <w:t>,</w:t>
            </w:r>
            <w:r>
              <w:rPr>
                <w:rFonts w:ascii="Segoe UI" w:eastAsia="Times New Roman" w:hAnsi="Segoe UI" w:cs="Segoe UI"/>
                <w:bCs/>
                <w:color w:val="000000" w:themeColor="text1"/>
                <w:kern w:val="24"/>
                <w:sz w:val="14"/>
                <w:szCs w:val="16"/>
                <w:lang w:val="en-US" w:eastAsia="el-GR"/>
              </w:rPr>
              <w:t>9</w:t>
            </w:r>
            <w:r w:rsidRPr="005610B3">
              <w:rPr>
                <w:rFonts w:ascii="Segoe UI" w:eastAsia="Times New Roman" w:hAnsi="Segoe UI" w:cs="Segoe UI"/>
                <w:bCs/>
                <w:color w:val="000000" w:themeColor="text1"/>
                <w:kern w:val="24"/>
                <w:sz w:val="14"/>
                <w:szCs w:val="16"/>
                <w:lang w:eastAsia="el-GR"/>
              </w:rPr>
              <w:t>%</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30</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31</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3%</w:t>
            </w:r>
          </w:p>
        </w:tc>
      </w:tr>
      <w:tr w:rsidR="001C2BAB" w:rsidRPr="006B4FB1" w:rsidTr="001C2BAB">
        <w:trPr>
          <w:trHeight w:val="227"/>
        </w:trPr>
        <w:tc>
          <w:tcPr>
            <w:tcW w:w="2357" w:type="pct"/>
            <w:tcBorders>
              <w:top w:val="nil"/>
              <w:left w:val="nil"/>
              <w:bottom w:val="nil"/>
              <w:right w:val="nil"/>
            </w:tcBorders>
            <w:shd w:val="clear" w:color="auto" w:fill="auto"/>
            <w:tcMar>
              <w:top w:w="15" w:type="dxa"/>
              <w:left w:w="41" w:type="dxa"/>
              <w:bottom w:w="0" w:type="dxa"/>
              <w:right w:w="15" w:type="dxa"/>
            </w:tcMar>
            <w:vAlign w:val="center"/>
            <w:hideMark/>
          </w:tcPr>
          <w:p w:rsidR="001C2BAB" w:rsidRPr="00C62FEB" w:rsidRDefault="001C2BAB" w:rsidP="001C2BA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529" w:type="pct"/>
            <w:tcBorders>
              <w:top w:val="nil"/>
              <w:left w:val="nil"/>
              <w:bottom w:val="nil"/>
              <w:right w:val="nil"/>
            </w:tcBorders>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63</w:t>
            </w:r>
            <w:r>
              <w:rPr>
                <w:rFonts w:ascii="Segoe UI" w:eastAsia="Times New Roman" w:hAnsi="Segoe UI" w:cs="Segoe UI"/>
                <w:bCs/>
                <w:color w:val="000000" w:themeColor="text1"/>
                <w:kern w:val="24"/>
                <w:sz w:val="14"/>
                <w:szCs w:val="16"/>
                <w:lang w:eastAsia="el-GR"/>
              </w:rPr>
              <w:t>,</w:t>
            </w:r>
            <w:r w:rsidRPr="001C2BAB">
              <w:rPr>
                <w:rFonts w:ascii="Segoe UI" w:eastAsia="Times New Roman" w:hAnsi="Segoe UI" w:cs="Segoe UI"/>
                <w:bCs/>
                <w:color w:val="000000" w:themeColor="text1"/>
                <w:kern w:val="24"/>
                <w:sz w:val="14"/>
                <w:szCs w:val="16"/>
                <w:lang w:eastAsia="el-GR"/>
              </w:rPr>
              <w:t>3%</w:t>
            </w:r>
          </w:p>
        </w:tc>
        <w:tc>
          <w:tcPr>
            <w:tcW w:w="529" w:type="pct"/>
            <w:tcBorders>
              <w:top w:val="nil"/>
              <w:left w:val="nil"/>
              <w:bottom w:val="nil"/>
              <w:right w:val="nil"/>
            </w:tcBorders>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lang w:eastAsia="el-GR"/>
              </w:rPr>
            </w:pPr>
            <w:r w:rsidRPr="001A39BC">
              <w:rPr>
                <w:rFonts w:ascii="Segoe UI" w:eastAsia="Times New Roman" w:hAnsi="Segoe UI" w:cs="Segoe UI"/>
                <w:bCs/>
                <w:color w:val="000000" w:themeColor="text1"/>
                <w:kern w:val="24"/>
                <w:sz w:val="14"/>
                <w:szCs w:val="16"/>
                <w:lang w:eastAsia="el-GR"/>
              </w:rPr>
              <w:t>56</w:t>
            </w:r>
            <w:r>
              <w:rPr>
                <w:rFonts w:ascii="Segoe UI" w:eastAsia="Times New Roman" w:hAnsi="Segoe UI" w:cs="Segoe UI"/>
                <w:bCs/>
                <w:color w:val="000000" w:themeColor="text1"/>
                <w:kern w:val="24"/>
                <w:sz w:val="14"/>
                <w:szCs w:val="16"/>
                <w:lang w:eastAsia="el-GR"/>
              </w:rPr>
              <w:t>,</w:t>
            </w:r>
            <w:r w:rsidRPr="001A39BC">
              <w:rPr>
                <w:rFonts w:ascii="Segoe UI" w:eastAsia="Times New Roman" w:hAnsi="Segoe UI" w:cs="Segoe UI"/>
                <w:bCs/>
                <w:color w:val="000000" w:themeColor="text1"/>
                <w:kern w:val="24"/>
                <w:sz w:val="14"/>
                <w:szCs w:val="16"/>
                <w:lang w:eastAsia="el-GR"/>
              </w:rPr>
              <w:t>7%</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57</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2%</w:t>
            </w:r>
          </w:p>
        </w:tc>
        <w:tc>
          <w:tcPr>
            <w:tcW w:w="529" w:type="pct"/>
            <w:tcBorders>
              <w:top w:val="nil"/>
              <w:left w:val="nil"/>
              <w:bottom w:val="nil"/>
              <w:right w:val="nil"/>
            </w:tcBorders>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56</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2%</w:t>
            </w:r>
          </w:p>
        </w:tc>
        <w:tc>
          <w:tcPr>
            <w:tcW w:w="527" w:type="pct"/>
            <w:tcBorders>
              <w:top w:val="nil"/>
              <w:left w:val="nil"/>
              <w:bottom w:val="nil"/>
              <w:right w:val="nil"/>
            </w:tcBorders>
            <w:shd w:val="clear" w:color="auto" w:fill="auto"/>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53</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r>
      <w:tr w:rsidR="001C2BAB" w:rsidRPr="006B4FB1" w:rsidTr="001C2BAB">
        <w:trPr>
          <w:trHeight w:val="227"/>
        </w:trPr>
        <w:tc>
          <w:tcPr>
            <w:tcW w:w="2357"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1C2BAB" w:rsidRPr="00FE75EA" w:rsidRDefault="001C2BAB" w:rsidP="001C2BAB">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529" w:type="pct"/>
            <w:tcBorders>
              <w:top w:val="nil"/>
              <w:left w:val="nil"/>
              <w:bottom w:val="nil"/>
              <w:right w:val="nil"/>
            </w:tcBorders>
            <w:shd w:val="clear" w:color="auto" w:fill="F2F2F2" w:themeFill="background1" w:themeFillShade="F2"/>
            <w:vAlign w:val="center"/>
          </w:tcPr>
          <w:p w:rsidR="001C2BAB" w:rsidRPr="001C2BAB" w:rsidRDefault="001C2BAB" w:rsidP="001C2BAB">
            <w:pPr>
              <w:ind w:right="148"/>
              <w:jc w:val="right"/>
              <w:rPr>
                <w:rFonts w:ascii="Segoe UI" w:eastAsia="Times New Roman" w:hAnsi="Segoe UI" w:cs="Segoe UI"/>
                <w:bCs/>
                <w:color w:val="000000" w:themeColor="text1"/>
                <w:kern w:val="24"/>
                <w:sz w:val="14"/>
                <w:szCs w:val="16"/>
                <w:lang w:eastAsia="el-GR"/>
              </w:rPr>
            </w:pPr>
          </w:p>
        </w:tc>
        <w:tc>
          <w:tcPr>
            <w:tcW w:w="529" w:type="pct"/>
            <w:tcBorders>
              <w:top w:val="nil"/>
              <w:left w:val="nil"/>
              <w:bottom w:val="nil"/>
              <w:right w:val="nil"/>
            </w:tcBorders>
            <w:shd w:val="clear" w:color="auto" w:fill="F2F2F2" w:themeFill="background1" w:themeFillShade="F2"/>
            <w:vAlign w:val="center"/>
          </w:tcPr>
          <w:p w:rsidR="001C2BAB" w:rsidRPr="001A39BC"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highlight w:val="yellow"/>
                <w:lang w:eastAsia="el-GR"/>
              </w:rPr>
            </w:pPr>
          </w:p>
        </w:tc>
        <w:tc>
          <w:tcPr>
            <w:tcW w:w="529"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p>
        </w:tc>
        <w:tc>
          <w:tcPr>
            <w:tcW w:w="527" w:type="pct"/>
            <w:tcBorders>
              <w:top w:val="nil"/>
              <w:left w:val="nil"/>
              <w:bottom w:val="nil"/>
              <w:right w:val="nil"/>
            </w:tcBorders>
            <w:shd w:val="clear" w:color="auto" w:fill="F2F2F2" w:themeFill="background1" w:themeFillShade="F2"/>
            <w:vAlign w:val="center"/>
          </w:tcPr>
          <w:p w:rsidR="001C2BAB" w:rsidRPr="005610B3" w:rsidRDefault="001C2BAB" w:rsidP="001C2BAB">
            <w:pPr>
              <w:ind w:right="148"/>
              <w:jc w:val="right"/>
              <w:rPr>
                <w:rFonts w:ascii="Segoe UI" w:eastAsia="Times New Roman" w:hAnsi="Segoe UI" w:cs="Segoe UI"/>
                <w:bCs/>
                <w:color w:val="000000" w:themeColor="text1"/>
                <w:kern w:val="24"/>
                <w:sz w:val="14"/>
                <w:szCs w:val="16"/>
                <w:lang w:eastAsia="el-GR"/>
              </w:rPr>
            </w:pPr>
          </w:p>
        </w:tc>
      </w:tr>
      <w:tr w:rsidR="005255A9" w:rsidRPr="006B4FB1" w:rsidTr="001C2BAB">
        <w:trPr>
          <w:trHeight w:val="227"/>
        </w:trPr>
        <w:tc>
          <w:tcPr>
            <w:tcW w:w="2357" w:type="pct"/>
            <w:tcBorders>
              <w:top w:val="nil"/>
              <w:left w:val="nil"/>
              <w:right w:val="nil"/>
            </w:tcBorders>
            <w:shd w:val="clear" w:color="auto" w:fill="auto"/>
            <w:tcMar>
              <w:top w:w="15" w:type="dxa"/>
              <w:left w:w="41" w:type="dxa"/>
              <w:bottom w:w="0" w:type="dxa"/>
              <w:right w:w="15" w:type="dxa"/>
            </w:tcMar>
            <w:vAlign w:val="center"/>
            <w:hideMark/>
          </w:tcPr>
          <w:p w:rsidR="005255A9" w:rsidRPr="00C62FEB" w:rsidRDefault="005255A9" w:rsidP="005B01F5">
            <w:pPr>
              <w:textAlignment w:val="center"/>
              <w:rPr>
                <w:rFonts w:ascii="Segoe UI" w:eastAsia="Times New Roman" w:hAnsi="Segoe UI" w:cs="Segoe UI"/>
                <w:sz w:val="14"/>
                <w:szCs w:val="14"/>
                <w:lang w:val="en-US"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p>
        </w:tc>
        <w:tc>
          <w:tcPr>
            <w:tcW w:w="529" w:type="pct"/>
            <w:tcBorders>
              <w:top w:val="nil"/>
              <w:left w:val="nil"/>
              <w:right w:val="nil"/>
            </w:tcBorders>
            <w:vAlign w:val="center"/>
          </w:tcPr>
          <w:p w:rsidR="005255A9" w:rsidRPr="001C2BAB" w:rsidRDefault="005255A9" w:rsidP="005255A9">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15,</w:t>
            </w:r>
            <w:r w:rsidRPr="001C2BAB">
              <w:rPr>
                <w:rFonts w:ascii="Segoe UI" w:eastAsia="Times New Roman" w:hAnsi="Segoe UI" w:cs="Segoe UI"/>
                <w:bCs/>
                <w:color w:val="000000" w:themeColor="text1"/>
                <w:kern w:val="24"/>
                <w:sz w:val="14"/>
                <w:szCs w:val="16"/>
                <w:lang w:eastAsia="el-GR"/>
              </w:rPr>
              <w:t>7%</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eastAsia="el-GR"/>
              </w:rPr>
              <w:t>15,</w:t>
            </w:r>
            <w:r w:rsidRPr="005255A9">
              <w:rPr>
                <w:rFonts w:ascii="Segoe UI" w:eastAsia="Times New Roman" w:hAnsi="Segoe UI" w:cs="Segoe UI"/>
                <w:bCs/>
                <w:color w:val="000000" w:themeColor="text1"/>
                <w:kern w:val="24"/>
                <w:sz w:val="14"/>
                <w:szCs w:val="16"/>
                <w:lang w:eastAsia="el-GR"/>
              </w:rPr>
              <w:t>9%</w:t>
            </w:r>
            <w:r w:rsidR="00852DA0">
              <w:rPr>
                <w:rFonts w:ascii="Segoe UI" w:eastAsia="Times New Roman" w:hAnsi="Segoe UI" w:cs="Segoe UI"/>
                <w:bCs/>
                <w:color w:val="000000" w:themeColor="text1"/>
                <w:kern w:val="24"/>
                <w:sz w:val="14"/>
                <w:szCs w:val="16"/>
                <w:vertAlign w:val="superscript"/>
                <w:lang w:val="en-US" w:eastAsia="el-GR"/>
              </w:rPr>
              <w:t>4</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sidRPr="005255A9">
              <w:rPr>
                <w:rFonts w:ascii="Segoe UI" w:eastAsia="Times New Roman" w:hAnsi="Segoe UI" w:cs="Segoe UI"/>
                <w:bCs/>
                <w:color w:val="000000" w:themeColor="text1"/>
                <w:kern w:val="24"/>
                <w:sz w:val="14"/>
                <w:szCs w:val="16"/>
                <w:lang w:eastAsia="el-GR"/>
              </w:rPr>
              <w:t>15</w:t>
            </w:r>
            <w:r>
              <w:rPr>
                <w:rFonts w:ascii="Segoe UI" w:eastAsia="Times New Roman" w:hAnsi="Segoe UI" w:cs="Segoe UI"/>
                <w:bCs/>
                <w:color w:val="000000" w:themeColor="text1"/>
                <w:kern w:val="24"/>
                <w:sz w:val="14"/>
                <w:szCs w:val="16"/>
                <w:lang w:eastAsia="el-GR"/>
              </w:rPr>
              <w:t>,</w:t>
            </w:r>
            <w:r w:rsidRPr="005255A9">
              <w:rPr>
                <w:rFonts w:ascii="Segoe UI" w:eastAsia="Times New Roman" w:hAnsi="Segoe UI" w:cs="Segoe UI"/>
                <w:bCs/>
                <w:color w:val="000000" w:themeColor="text1"/>
                <w:kern w:val="24"/>
                <w:sz w:val="14"/>
                <w:szCs w:val="16"/>
                <w:lang w:eastAsia="el-GR"/>
              </w:rPr>
              <w:t>9%</w:t>
            </w:r>
            <w:r w:rsidR="00852DA0">
              <w:rPr>
                <w:rFonts w:ascii="Segoe UI" w:eastAsia="Times New Roman" w:hAnsi="Segoe UI" w:cs="Segoe UI"/>
                <w:bCs/>
                <w:color w:val="000000" w:themeColor="text1"/>
                <w:kern w:val="24"/>
                <w:sz w:val="14"/>
                <w:szCs w:val="16"/>
                <w:vertAlign w:val="superscript"/>
                <w:lang w:val="en-US" w:eastAsia="el-GR"/>
              </w:rPr>
              <w:t>4</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eastAsia="el-GR"/>
              </w:rPr>
              <w:t>15,</w:t>
            </w:r>
            <w:r w:rsidRPr="005255A9">
              <w:rPr>
                <w:rFonts w:ascii="Segoe UI" w:eastAsia="Times New Roman" w:hAnsi="Segoe UI" w:cs="Segoe UI"/>
                <w:bCs/>
                <w:color w:val="000000" w:themeColor="text1"/>
                <w:kern w:val="24"/>
                <w:sz w:val="14"/>
                <w:szCs w:val="16"/>
                <w:lang w:eastAsia="el-GR"/>
              </w:rPr>
              <w:t>5%</w:t>
            </w:r>
            <w:r w:rsidR="00852DA0">
              <w:rPr>
                <w:rFonts w:ascii="Segoe UI" w:eastAsia="Times New Roman" w:hAnsi="Segoe UI" w:cs="Segoe UI"/>
                <w:bCs/>
                <w:color w:val="000000" w:themeColor="text1"/>
                <w:kern w:val="24"/>
                <w:sz w:val="14"/>
                <w:szCs w:val="16"/>
                <w:vertAlign w:val="superscript"/>
                <w:lang w:val="en-US" w:eastAsia="el-GR"/>
              </w:rPr>
              <w:t>4</w:t>
            </w:r>
          </w:p>
        </w:tc>
        <w:tc>
          <w:tcPr>
            <w:tcW w:w="527" w:type="pct"/>
            <w:tcBorders>
              <w:top w:val="nil"/>
              <w:left w:val="nil"/>
              <w:right w:val="nil"/>
            </w:tcBorders>
            <w:vAlign w:val="center"/>
          </w:tcPr>
          <w:p w:rsidR="005255A9" w:rsidRPr="005610B3" w:rsidRDefault="005255A9" w:rsidP="005255A9">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16</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0%</w:t>
            </w:r>
          </w:p>
        </w:tc>
      </w:tr>
      <w:tr w:rsidR="005255A9" w:rsidRPr="006B4FB1" w:rsidTr="001C2BAB">
        <w:trPr>
          <w:trHeight w:val="227"/>
        </w:trPr>
        <w:tc>
          <w:tcPr>
            <w:tcW w:w="2357" w:type="pct"/>
            <w:tcBorders>
              <w:top w:val="nil"/>
              <w:left w:val="nil"/>
              <w:right w:val="nil"/>
            </w:tcBorders>
            <w:shd w:val="clear" w:color="auto" w:fill="auto"/>
            <w:tcMar>
              <w:top w:w="15" w:type="dxa"/>
              <w:left w:w="41" w:type="dxa"/>
              <w:bottom w:w="0" w:type="dxa"/>
              <w:right w:w="15" w:type="dxa"/>
            </w:tcMar>
            <w:vAlign w:val="center"/>
          </w:tcPr>
          <w:p w:rsidR="005255A9" w:rsidRPr="00C62FEB" w:rsidRDefault="005255A9" w:rsidP="005B01F5">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lang w:val="en-US" w:eastAsia="el-GR"/>
              </w:rPr>
              <w:t>FL</w:t>
            </w:r>
          </w:p>
        </w:tc>
        <w:tc>
          <w:tcPr>
            <w:tcW w:w="529" w:type="pct"/>
            <w:tcBorders>
              <w:top w:val="nil"/>
              <w:left w:val="nil"/>
              <w:right w:val="nil"/>
            </w:tcBorders>
            <w:vAlign w:val="center"/>
          </w:tcPr>
          <w:p w:rsidR="005255A9" w:rsidRPr="001C2BAB" w:rsidRDefault="005255A9" w:rsidP="005255A9">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12,</w:t>
            </w:r>
            <w:r w:rsidR="00852DA0">
              <w:rPr>
                <w:rFonts w:ascii="Segoe UI" w:eastAsia="Times New Roman" w:hAnsi="Segoe UI" w:cs="Segoe UI"/>
                <w:bCs/>
                <w:color w:val="000000" w:themeColor="text1"/>
                <w:kern w:val="24"/>
                <w:sz w:val="14"/>
                <w:szCs w:val="16"/>
                <w:lang w:eastAsia="el-GR"/>
              </w:rPr>
              <w:t>8</w:t>
            </w:r>
            <w:r w:rsidRPr="001C2BAB">
              <w:rPr>
                <w:rFonts w:ascii="Segoe UI" w:eastAsia="Times New Roman" w:hAnsi="Segoe UI" w:cs="Segoe UI"/>
                <w:bCs/>
                <w:color w:val="000000" w:themeColor="text1"/>
                <w:kern w:val="24"/>
                <w:sz w:val="14"/>
                <w:szCs w:val="16"/>
                <w:lang w:eastAsia="el-GR"/>
              </w:rPr>
              <w:t>%</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eastAsia="el-GR"/>
              </w:rPr>
              <w:t>13,</w:t>
            </w:r>
            <w:r w:rsidRPr="005255A9">
              <w:rPr>
                <w:rFonts w:ascii="Segoe UI" w:eastAsia="Times New Roman" w:hAnsi="Segoe UI" w:cs="Segoe UI"/>
                <w:bCs/>
                <w:color w:val="000000" w:themeColor="text1"/>
                <w:kern w:val="24"/>
                <w:sz w:val="14"/>
                <w:szCs w:val="16"/>
                <w:lang w:eastAsia="el-GR"/>
              </w:rPr>
              <w:t>0%</w:t>
            </w:r>
            <w:r w:rsidR="00852DA0">
              <w:rPr>
                <w:rFonts w:ascii="Segoe UI" w:eastAsia="Times New Roman" w:hAnsi="Segoe UI" w:cs="Segoe UI"/>
                <w:bCs/>
                <w:color w:val="000000" w:themeColor="text1"/>
                <w:kern w:val="24"/>
                <w:sz w:val="14"/>
                <w:szCs w:val="16"/>
                <w:vertAlign w:val="superscript"/>
                <w:lang w:val="en-US" w:eastAsia="el-GR"/>
              </w:rPr>
              <w:t>4</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eastAsia="el-GR"/>
              </w:rPr>
              <w:t>13,</w:t>
            </w:r>
            <w:r w:rsidRPr="005255A9">
              <w:rPr>
                <w:rFonts w:ascii="Segoe UI" w:eastAsia="Times New Roman" w:hAnsi="Segoe UI" w:cs="Segoe UI"/>
                <w:bCs/>
                <w:color w:val="000000" w:themeColor="text1"/>
                <w:kern w:val="24"/>
                <w:sz w:val="14"/>
                <w:szCs w:val="16"/>
                <w:lang w:eastAsia="el-GR"/>
              </w:rPr>
              <w:t>0%</w:t>
            </w:r>
            <w:r w:rsidR="00852DA0">
              <w:rPr>
                <w:rFonts w:ascii="Segoe UI" w:eastAsia="Times New Roman" w:hAnsi="Segoe UI" w:cs="Segoe UI"/>
                <w:bCs/>
                <w:color w:val="000000" w:themeColor="text1"/>
                <w:kern w:val="24"/>
                <w:sz w:val="14"/>
                <w:szCs w:val="16"/>
                <w:vertAlign w:val="superscript"/>
                <w:lang w:val="en-US" w:eastAsia="el-GR"/>
              </w:rPr>
              <w:t>4</w:t>
            </w:r>
          </w:p>
        </w:tc>
        <w:tc>
          <w:tcPr>
            <w:tcW w:w="529" w:type="pct"/>
            <w:tcBorders>
              <w:top w:val="nil"/>
              <w:left w:val="nil"/>
              <w:right w:val="nil"/>
            </w:tcBorders>
            <w:vAlign w:val="center"/>
          </w:tcPr>
          <w:p w:rsidR="005255A9" w:rsidRPr="00852DA0" w:rsidRDefault="005255A9" w:rsidP="00852DA0">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eastAsia="el-GR"/>
              </w:rPr>
              <w:t>12,</w:t>
            </w:r>
            <w:r w:rsidRPr="005255A9">
              <w:rPr>
                <w:rFonts w:ascii="Segoe UI" w:eastAsia="Times New Roman" w:hAnsi="Segoe UI" w:cs="Segoe UI"/>
                <w:bCs/>
                <w:color w:val="000000" w:themeColor="text1"/>
                <w:kern w:val="24"/>
                <w:sz w:val="14"/>
                <w:szCs w:val="16"/>
                <w:lang w:eastAsia="el-GR"/>
              </w:rPr>
              <w:t>6%</w:t>
            </w:r>
            <w:r w:rsidR="00852DA0">
              <w:rPr>
                <w:rFonts w:ascii="Segoe UI" w:eastAsia="Times New Roman" w:hAnsi="Segoe UI" w:cs="Segoe UI"/>
                <w:bCs/>
                <w:color w:val="000000" w:themeColor="text1"/>
                <w:kern w:val="24"/>
                <w:sz w:val="14"/>
                <w:szCs w:val="16"/>
                <w:vertAlign w:val="superscript"/>
                <w:lang w:val="en-US" w:eastAsia="el-GR"/>
              </w:rPr>
              <w:t>4</w:t>
            </w:r>
          </w:p>
        </w:tc>
        <w:tc>
          <w:tcPr>
            <w:tcW w:w="527" w:type="pct"/>
            <w:tcBorders>
              <w:top w:val="nil"/>
              <w:left w:val="nil"/>
              <w:right w:val="nil"/>
            </w:tcBorders>
            <w:vAlign w:val="center"/>
          </w:tcPr>
          <w:p w:rsidR="005255A9" w:rsidRPr="005610B3" w:rsidRDefault="005255A9" w:rsidP="005255A9">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r>
      <w:tr w:rsidR="005255A9" w:rsidRPr="006B4FB1" w:rsidTr="001C2BAB">
        <w:trPr>
          <w:trHeight w:val="227"/>
        </w:trPr>
        <w:tc>
          <w:tcPr>
            <w:tcW w:w="2357"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rsidR="005255A9" w:rsidRPr="00C62FEB" w:rsidRDefault="005255A9" w:rsidP="005B01F5">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Σταθμισμένα στοιχεία ενεργητικού (€ δισ.)</w:t>
            </w:r>
          </w:p>
        </w:tc>
        <w:tc>
          <w:tcPr>
            <w:tcW w:w="529" w:type="pct"/>
            <w:tcBorders>
              <w:top w:val="nil"/>
              <w:left w:val="nil"/>
              <w:bottom w:val="single" w:sz="12" w:space="0" w:color="000000"/>
              <w:right w:val="nil"/>
            </w:tcBorders>
            <w:vAlign w:val="center"/>
          </w:tcPr>
          <w:p w:rsidR="005255A9" w:rsidRPr="001C2BAB" w:rsidRDefault="005255A9" w:rsidP="005255A9">
            <w:pPr>
              <w:ind w:right="148"/>
              <w:jc w:val="right"/>
              <w:rPr>
                <w:rFonts w:ascii="Segoe UI" w:eastAsia="Times New Roman" w:hAnsi="Segoe UI" w:cs="Segoe UI"/>
                <w:bCs/>
                <w:color w:val="000000" w:themeColor="text1"/>
                <w:kern w:val="24"/>
                <w:sz w:val="14"/>
                <w:szCs w:val="16"/>
                <w:lang w:eastAsia="el-GR"/>
              </w:rPr>
            </w:pPr>
            <w:r w:rsidRPr="001C2BAB">
              <w:rPr>
                <w:rFonts w:ascii="Segoe UI" w:eastAsia="Times New Roman" w:hAnsi="Segoe UI" w:cs="Segoe UI"/>
                <w:bCs/>
                <w:color w:val="000000" w:themeColor="text1"/>
                <w:kern w:val="24"/>
                <w:sz w:val="14"/>
                <w:szCs w:val="16"/>
                <w:lang w:eastAsia="el-GR"/>
              </w:rPr>
              <w:t>36</w:t>
            </w:r>
            <w:r>
              <w:rPr>
                <w:rFonts w:ascii="Segoe UI" w:eastAsia="Times New Roman" w:hAnsi="Segoe UI" w:cs="Segoe UI"/>
                <w:bCs/>
                <w:color w:val="000000" w:themeColor="text1"/>
                <w:kern w:val="24"/>
                <w:sz w:val="14"/>
                <w:szCs w:val="16"/>
                <w:lang w:eastAsia="el-GR"/>
              </w:rPr>
              <w:t>,</w:t>
            </w:r>
            <w:r w:rsidRPr="001C2BAB">
              <w:rPr>
                <w:rFonts w:ascii="Segoe UI" w:eastAsia="Times New Roman" w:hAnsi="Segoe UI" w:cs="Segoe UI"/>
                <w:bCs/>
                <w:color w:val="000000" w:themeColor="text1"/>
                <w:kern w:val="24"/>
                <w:sz w:val="14"/>
                <w:szCs w:val="16"/>
                <w:lang w:eastAsia="el-GR"/>
              </w:rPr>
              <w:t>6</w:t>
            </w:r>
          </w:p>
        </w:tc>
        <w:tc>
          <w:tcPr>
            <w:tcW w:w="529" w:type="pct"/>
            <w:tcBorders>
              <w:top w:val="nil"/>
              <w:left w:val="nil"/>
              <w:bottom w:val="single" w:sz="12" w:space="0" w:color="000000"/>
              <w:right w:val="nil"/>
            </w:tcBorders>
            <w:vAlign w:val="center"/>
          </w:tcPr>
          <w:p w:rsidR="005255A9" w:rsidRPr="005255A9" w:rsidRDefault="005255A9" w:rsidP="00852DA0">
            <w:pPr>
              <w:ind w:right="148"/>
              <w:jc w:val="right"/>
              <w:rPr>
                <w:rFonts w:ascii="Segoe UI" w:eastAsia="Times New Roman" w:hAnsi="Segoe UI" w:cs="Segoe UI"/>
                <w:bCs/>
                <w:color w:val="000000" w:themeColor="text1"/>
                <w:kern w:val="24"/>
                <w:sz w:val="14"/>
                <w:szCs w:val="16"/>
                <w:lang w:eastAsia="el-GR"/>
              </w:rPr>
            </w:pPr>
            <w:r w:rsidRPr="005255A9">
              <w:rPr>
                <w:rFonts w:ascii="Segoe UI" w:eastAsia="Times New Roman" w:hAnsi="Segoe UI" w:cs="Segoe UI"/>
                <w:bCs/>
                <w:color w:val="000000" w:themeColor="text1"/>
                <w:kern w:val="24"/>
                <w:sz w:val="14"/>
                <w:szCs w:val="16"/>
                <w:lang w:eastAsia="el-GR"/>
              </w:rPr>
              <w:t>36</w:t>
            </w:r>
            <w:r>
              <w:rPr>
                <w:rFonts w:ascii="Segoe UI" w:eastAsia="Times New Roman" w:hAnsi="Segoe UI" w:cs="Segoe UI"/>
                <w:bCs/>
                <w:color w:val="000000" w:themeColor="text1"/>
                <w:kern w:val="24"/>
                <w:sz w:val="14"/>
                <w:szCs w:val="16"/>
                <w:lang w:eastAsia="el-GR"/>
              </w:rPr>
              <w:t>,</w:t>
            </w:r>
            <w:r w:rsidRPr="005255A9">
              <w:rPr>
                <w:rFonts w:ascii="Segoe UI" w:eastAsia="Times New Roman" w:hAnsi="Segoe UI" w:cs="Segoe UI"/>
                <w:bCs/>
                <w:color w:val="000000" w:themeColor="text1"/>
                <w:kern w:val="24"/>
                <w:sz w:val="14"/>
                <w:szCs w:val="16"/>
                <w:lang w:eastAsia="el-GR"/>
              </w:rPr>
              <w:t>2</w:t>
            </w:r>
          </w:p>
        </w:tc>
        <w:tc>
          <w:tcPr>
            <w:tcW w:w="529" w:type="pct"/>
            <w:tcBorders>
              <w:top w:val="nil"/>
              <w:left w:val="nil"/>
              <w:bottom w:val="single" w:sz="12" w:space="0" w:color="000000"/>
              <w:right w:val="nil"/>
            </w:tcBorders>
            <w:vAlign w:val="center"/>
          </w:tcPr>
          <w:p w:rsidR="005255A9" w:rsidRPr="005255A9" w:rsidRDefault="005255A9" w:rsidP="00852DA0">
            <w:pPr>
              <w:ind w:right="148"/>
              <w:jc w:val="right"/>
              <w:rPr>
                <w:rFonts w:ascii="Segoe UI" w:eastAsia="Times New Roman" w:hAnsi="Segoe UI" w:cs="Segoe UI"/>
                <w:bCs/>
                <w:color w:val="000000" w:themeColor="text1"/>
                <w:kern w:val="24"/>
                <w:sz w:val="14"/>
                <w:szCs w:val="16"/>
                <w:highlight w:val="yellow"/>
                <w:lang w:eastAsia="el-GR"/>
              </w:rPr>
            </w:pPr>
            <w:r w:rsidRPr="005255A9">
              <w:rPr>
                <w:rFonts w:ascii="Segoe UI" w:eastAsia="Times New Roman" w:hAnsi="Segoe UI" w:cs="Segoe UI"/>
                <w:bCs/>
                <w:color w:val="000000" w:themeColor="text1"/>
                <w:kern w:val="24"/>
                <w:sz w:val="14"/>
                <w:szCs w:val="16"/>
                <w:lang w:eastAsia="el-GR"/>
              </w:rPr>
              <w:t>36</w:t>
            </w:r>
            <w:r>
              <w:rPr>
                <w:rFonts w:ascii="Segoe UI" w:eastAsia="Times New Roman" w:hAnsi="Segoe UI" w:cs="Segoe UI"/>
                <w:bCs/>
                <w:color w:val="000000" w:themeColor="text1"/>
                <w:kern w:val="24"/>
                <w:sz w:val="14"/>
                <w:szCs w:val="16"/>
                <w:lang w:eastAsia="el-GR"/>
              </w:rPr>
              <w:t>,</w:t>
            </w:r>
            <w:r w:rsidRPr="005255A9">
              <w:rPr>
                <w:rFonts w:ascii="Segoe UI" w:eastAsia="Times New Roman" w:hAnsi="Segoe UI" w:cs="Segoe UI"/>
                <w:bCs/>
                <w:color w:val="000000" w:themeColor="text1"/>
                <w:kern w:val="24"/>
                <w:sz w:val="14"/>
                <w:szCs w:val="16"/>
                <w:lang w:eastAsia="el-GR"/>
              </w:rPr>
              <w:t>1</w:t>
            </w:r>
          </w:p>
        </w:tc>
        <w:tc>
          <w:tcPr>
            <w:tcW w:w="529" w:type="pct"/>
            <w:tcBorders>
              <w:top w:val="nil"/>
              <w:left w:val="nil"/>
              <w:bottom w:val="single" w:sz="12" w:space="0" w:color="000000"/>
              <w:right w:val="nil"/>
            </w:tcBorders>
            <w:vAlign w:val="center"/>
          </w:tcPr>
          <w:p w:rsidR="005255A9" w:rsidRPr="005255A9" w:rsidRDefault="005255A9" w:rsidP="00852DA0">
            <w:pPr>
              <w:ind w:right="148"/>
              <w:jc w:val="right"/>
              <w:rPr>
                <w:rFonts w:ascii="Segoe UI" w:eastAsia="Times New Roman" w:hAnsi="Segoe UI" w:cs="Segoe UI"/>
                <w:bCs/>
                <w:color w:val="000000" w:themeColor="text1"/>
                <w:kern w:val="24"/>
                <w:sz w:val="14"/>
                <w:szCs w:val="16"/>
                <w:lang w:eastAsia="el-GR"/>
              </w:rPr>
            </w:pPr>
            <w:r w:rsidRPr="005255A9">
              <w:rPr>
                <w:rFonts w:ascii="Segoe UI" w:eastAsia="Times New Roman" w:hAnsi="Segoe UI" w:cs="Segoe UI"/>
                <w:bCs/>
                <w:color w:val="000000" w:themeColor="text1"/>
                <w:kern w:val="24"/>
                <w:sz w:val="14"/>
                <w:szCs w:val="16"/>
                <w:lang w:eastAsia="el-GR"/>
              </w:rPr>
              <w:t>36</w:t>
            </w:r>
            <w:r>
              <w:rPr>
                <w:rFonts w:ascii="Segoe UI" w:eastAsia="Times New Roman" w:hAnsi="Segoe UI" w:cs="Segoe UI"/>
                <w:bCs/>
                <w:color w:val="000000" w:themeColor="text1"/>
                <w:kern w:val="24"/>
                <w:sz w:val="14"/>
                <w:szCs w:val="16"/>
                <w:lang w:eastAsia="el-GR"/>
              </w:rPr>
              <w:t>,</w:t>
            </w:r>
            <w:r w:rsidRPr="005255A9">
              <w:rPr>
                <w:rFonts w:ascii="Segoe UI" w:eastAsia="Times New Roman" w:hAnsi="Segoe UI" w:cs="Segoe UI"/>
                <w:bCs/>
                <w:color w:val="000000" w:themeColor="text1"/>
                <w:kern w:val="24"/>
                <w:sz w:val="14"/>
                <w:szCs w:val="16"/>
                <w:lang w:eastAsia="el-GR"/>
              </w:rPr>
              <w:t xml:space="preserve">9 </w:t>
            </w:r>
          </w:p>
        </w:tc>
        <w:tc>
          <w:tcPr>
            <w:tcW w:w="527" w:type="pct"/>
            <w:tcBorders>
              <w:top w:val="nil"/>
              <w:left w:val="nil"/>
              <w:bottom w:val="single" w:sz="12" w:space="0" w:color="000000"/>
              <w:right w:val="nil"/>
            </w:tcBorders>
            <w:vAlign w:val="center"/>
          </w:tcPr>
          <w:p w:rsidR="005255A9" w:rsidRPr="005610B3" w:rsidRDefault="005255A9" w:rsidP="005255A9">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37</w:t>
            </w:r>
            <w:r>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r>
    </w:tbl>
    <w:p w:rsidR="00FE0FCF" w:rsidRDefault="000540A1" w:rsidP="00E55AED">
      <w:pPr>
        <w:jc w:val="both"/>
        <w:textAlignment w:val="baseline"/>
        <w:rPr>
          <w:rFonts w:ascii="Segoe UI" w:hAnsi="Segoe UI" w:cs="Segoe UI"/>
          <w:color w:val="000000" w:themeColor="text1"/>
          <w:kern w:val="24"/>
          <w:sz w:val="9"/>
          <w:szCs w:val="7"/>
        </w:rPr>
      </w:pPr>
      <w:r w:rsidRPr="000915A1">
        <w:rPr>
          <w:rFonts w:ascii="Segoe UI" w:hAnsi="Segoe UI" w:cs="Segoe UI"/>
          <w:color w:val="000000" w:themeColor="text1"/>
          <w:kern w:val="24"/>
          <w:sz w:val="9"/>
          <w:szCs w:val="7"/>
          <w:vertAlign w:val="superscript"/>
        </w:rPr>
        <w:t>1</w:t>
      </w:r>
      <w:r w:rsidRPr="000915A1">
        <w:rPr>
          <w:rFonts w:ascii="Segoe UI" w:hAnsi="Segoe UI" w:cs="Segoe UI"/>
          <w:color w:val="000000" w:themeColor="text1"/>
          <w:kern w:val="24"/>
          <w:sz w:val="9"/>
          <w:szCs w:val="7"/>
        </w:rPr>
        <w:t xml:space="preserve"> </w:t>
      </w:r>
      <w:r w:rsidR="009436A0" w:rsidRPr="000915A1">
        <w:rPr>
          <w:rFonts w:ascii="Segoe UI" w:hAnsi="Segoe UI" w:cs="Segoe UI"/>
          <w:color w:val="000000" w:themeColor="text1"/>
          <w:kern w:val="24"/>
          <w:sz w:val="9"/>
          <w:szCs w:val="7"/>
          <w:lang w:val="en-US"/>
        </w:rPr>
        <w:t>To</w:t>
      </w:r>
      <w:r w:rsidR="009436A0" w:rsidRPr="000915A1">
        <w:rPr>
          <w:rFonts w:ascii="Segoe UI" w:hAnsi="Segoe UI" w:cs="Segoe UI"/>
          <w:color w:val="000000" w:themeColor="text1"/>
          <w:kern w:val="24"/>
          <w:sz w:val="9"/>
          <w:szCs w:val="7"/>
        </w:rPr>
        <w:t xml:space="preserve"> καθαρό επιτοκιακό περιθώριο υπολογίζεται επί του μηνιαίου μέσου όρου τοκοφόρων στοιχείων του Ενεργητικού / </w:t>
      </w:r>
      <w:r w:rsidR="009436A0" w:rsidRPr="000915A1">
        <w:rPr>
          <w:rFonts w:ascii="Segoe UI" w:hAnsi="Segoe UI" w:cs="Segoe UI"/>
          <w:color w:val="000000" w:themeColor="text1"/>
          <w:kern w:val="24"/>
          <w:sz w:val="9"/>
          <w:szCs w:val="7"/>
          <w:vertAlign w:val="superscript"/>
        </w:rPr>
        <w:t>2</w:t>
      </w:r>
      <w:r w:rsidR="00FE0FCF">
        <w:rPr>
          <w:rFonts w:ascii="Segoe UI" w:hAnsi="Segoe UI" w:cs="Segoe UI"/>
          <w:color w:val="000000" w:themeColor="text1"/>
          <w:kern w:val="24"/>
          <w:sz w:val="9"/>
          <w:szCs w:val="7"/>
        </w:rPr>
        <w:t xml:space="preserve"> </w:t>
      </w:r>
      <w:r w:rsidR="006D5764" w:rsidRPr="000915A1">
        <w:rPr>
          <w:rFonts w:ascii="Segoe UI" w:hAnsi="Segoe UI" w:cs="Segoe UI"/>
          <w:color w:val="000000" w:themeColor="text1"/>
          <w:kern w:val="24"/>
          <w:sz w:val="9"/>
          <w:szCs w:val="7"/>
        </w:rPr>
        <w:t>Το περιθώριο</w:t>
      </w:r>
      <w:r w:rsidR="00CA2646" w:rsidRPr="000915A1">
        <w:rPr>
          <w:rFonts w:ascii="Segoe UI" w:hAnsi="Segoe UI" w:cs="Segoe UI"/>
          <w:color w:val="000000" w:themeColor="text1"/>
          <w:kern w:val="24"/>
          <w:sz w:val="9"/>
          <w:szCs w:val="7"/>
        </w:rPr>
        <w:t xml:space="preserve"> </w:t>
      </w:r>
      <w:r w:rsidR="00D77D8A" w:rsidRPr="000915A1">
        <w:rPr>
          <w:rFonts w:ascii="Segoe UI" w:hAnsi="Segoe UI" w:cs="Segoe UI"/>
          <w:color w:val="000000" w:themeColor="text1"/>
          <w:kern w:val="24"/>
          <w:sz w:val="9"/>
          <w:szCs w:val="7"/>
        </w:rPr>
        <w:t xml:space="preserve">οργανικού </w:t>
      </w:r>
      <w:r w:rsidR="006D5764" w:rsidRPr="000915A1">
        <w:rPr>
          <w:rFonts w:ascii="Segoe UI" w:hAnsi="Segoe UI" w:cs="Segoe UI"/>
          <w:color w:val="000000" w:themeColor="text1"/>
          <w:kern w:val="24"/>
          <w:sz w:val="9"/>
          <w:szCs w:val="7"/>
        </w:rPr>
        <w:t xml:space="preserve">κέρδους εξαιρεί </w:t>
      </w:r>
      <w:r w:rsidR="00D77D8A" w:rsidRPr="000915A1">
        <w:rPr>
          <w:rFonts w:ascii="Segoe UI" w:hAnsi="Segoe UI" w:cs="Segoe UI"/>
          <w:color w:val="000000" w:themeColor="text1"/>
          <w:kern w:val="24"/>
          <w:sz w:val="9"/>
          <w:szCs w:val="7"/>
        </w:rPr>
        <w:t xml:space="preserve">τα έσοδα από χρηματοοικονομικές πράξεις και λοιπά </w:t>
      </w:r>
    </w:p>
    <w:p w:rsidR="00FE0FCF" w:rsidRDefault="00D77D8A" w:rsidP="00E55AED">
      <w:pPr>
        <w:jc w:val="both"/>
        <w:textAlignment w:val="baseline"/>
        <w:rPr>
          <w:rFonts w:ascii="Segoe UI" w:hAnsi="Segoe UI" w:cs="Segoe UI"/>
          <w:color w:val="000000" w:themeColor="text1"/>
          <w:kern w:val="24"/>
          <w:sz w:val="9"/>
          <w:szCs w:val="7"/>
        </w:rPr>
      </w:pPr>
      <w:r w:rsidRPr="000915A1">
        <w:rPr>
          <w:rFonts w:ascii="Segoe UI" w:hAnsi="Segoe UI" w:cs="Segoe UI"/>
          <w:color w:val="000000" w:themeColor="text1"/>
          <w:kern w:val="24"/>
          <w:sz w:val="9"/>
          <w:szCs w:val="7"/>
        </w:rPr>
        <w:t>έσοδα και τις προβλέψεις</w:t>
      </w:r>
      <w:r w:rsidR="00C03D52" w:rsidRPr="000915A1">
        <w:rPr>
          <w:rFonts w:ascii="Segoe UI" w:hAnsi="Segoe UI" w:cs="Segoe UI"/>
          <w:color w:val="000000" w:themeColor="text1"/>
          <w:kern w:val="24"/>
          <w:sz w:val="9"/>
          <w:szCs w:val="7"/>
        </w:rPr>
        <w:t xml:space="preserve"> σχετιζόμενες </w:t>
      </w:r>
      <w:r w:rsidR="005255A9" w:rsidRPr="000915A1">
        <w:rPr>
          <w:rFonts w:ascii="Segoe UI" w:hAnsi="Segoe UI" w:cs="Segoe UI"/>
          <w:color w:val="000000" w:themeColor="text1"/>
          <w:kern w:val="24"/>
          <w:sz w:val="9"/>
          <w:szCs w:val="7"/>
        </w:rPr>
        <w:t>με την πανδημία του κορωνοϊού (€0,4 δισ.</w:t>
      </w:r>
      <w:r w:rsidR="00D34399">
        <w:rPr>
          <w:rFonts w:ascii="Segoe UI" w:hAnsi="Segoe UI" w:cs="Segoe UI"/>
          <w:color w:val="000000" w:themeColor="text1"/>
          <w:kern w:val="24"/>
          <w:sz w:val="9"/>
          <w:szCs w:val="7"/>
        </w:rPr>
        <w:t>) και τη συναλλαγή Frontier (€0,</w:t>
      </w:r>
      <w:r w:rsidR="005255A9" w:rsidRPr="000915A1">
        <w:rPr>
          <w:rFonts w:ascii="Segoe UI" w:hAnsi="Segoe UI" w:cs="Segoe UI"/>
          <w:color w:val="000000" w:themeColor="text1"/>
          <w:kern w:val="24"/>
          <w:sz w:val="9"/>
          <w:szCs w:val="7"/>
        </w:rPr>
        <w:t>4 δισ.)</w:t>
      </w:r>
      <w:r w:rsidR="00D333B5" w:rsidRPr="000915A1">
        <w:rPr>
          <w:rFonts w:ascii="Segoe UI" w:hAnsi="Segoe UI" w:cs="Segoe UI"/>
          <w:color w:val="000000" w:themeColor="text1"/>
          <w:kern w:val="24"/>
          <w:sz w:val="9"/>
          <w:szCs w:val="7"/>
        </w:rPr>
        <w:t xml:space="preserve"> </w:t>
      </w:r>
      <w:r w:rsidR="00622798" w:rsidRPr="000915A1">
        <w:rPr>
          <w:rFonts w:ascii="Segoe UI" w:hAnsi="Segoe UI" w:cs="Segoe UI"/>
          <w:color w:val="000000" w:themeColor="text1"/>
          <w:kern w:val="24"/>
          <w:sz w:val="9"/>
          <w:szCs w:val="7"/>
        </w:rPr>
        <w:t xml:space="preserve">/ </w:t>
      </w:r>
      <w:r w:rsidR="00FE0FCF" w:rsidRPr="00FE0FCF">
        <w:rPr>
          <w:rFonts w:ascii="Segoe UI" w:hAnsi="Segoe UI" w:cs="Segoe UI"/>
          <w:color w:val="000000" w:themeColor="text1"/>
          <w:kern w:val="24"/>
          <w:sz w:val="9"/>
          <w:szCs w:val="7"/>
          <w:vertAlign w:val="superscript"/>
        </w:rPr>
        <w:t xml:space="preserve">3 </w:t>
      </w:r>
      <w:r w:rsidR="00D333B5" w:rsidRPr="000915A1">
        <w:rPr>
          <w:rFonts w:ascii="Segoe UI" w:hAnsi="Segoe UI" w:cs="Segoe UI"/>
          <w:color w:val="000000" w:themeColor="text1"/>
          <w:kern w:val="24"/>
          <w:sz w:val="9"/>
          <w:szCs w:val="7"/>
        </w:rPr>
        <w:t>Περιλαμβ</w:t>
      </w:r>
      <w:r w:rsidR="00CA7818" w:rsidRPr="000915A1">
        <w:rPr>
          <w:rFonts w:ascii="Segoe UI" w:hAnsi="Segoe UI" w:cs="Segoe UI"/>
          <w:color w:val="000000" w:themeColor="text1"/>
          <w:kern w:val="24"/>
          <w:sz w:val="9"/>
          <w:szCs w:val="7"/>
        </w:rPr>
        <w:t xml:space="preserve">άνει τα ομόλογα υψηλής διαβάθμισης </w:t>
      </w:r>
      <w:r w:rsidR="00D333B5" w:rsidRPr="000915A1">
        <w:rPr>
          <w:rFonts w:ascii="Segoe UI" w:hAnsi="Segoe UI" w:cs="Segoe UI"/>
          <w:color w:val="000000" w:themeColor="text1"/>
          <w:kern w:val="24"/>
          <w:sz w:val="9"/>
          <w:szCs w:val="7"/>
        </w:rPr>
        <w:t>ύψους περίπου €3</w:t>
      </w:r>
      <w:r w:rsidR="002671C2" w:rsidRPr="002671C2">
        <w:rPr>
          <w:rFonts w:ascii="Segoe UI" w:hAnsi="Segoe UI" w:cs="Segoe UI"/>
          <w:color w:val="000000" w:themeColor="text1"/>
          <w:kern w:val="24"/>
          <w:sz w:val="9"/>
          <w:szCs w:val="7"/>
        </w:rPr>
        <w:t xml:space="preserve"> </w:t>
      </w:r>
      <w:r w:rsidR="00D333B5" w:rsidRPr="000915A1">
        <w:rPr>
          <w:rFonts w:ascii="Segoe UI" w:hAnsi="Segoe UI" w:cs="Segoe UI"/>
          <w:color w:val="000000" w:themeColor="text1"/>
          <w:kern w:val="24"/>
          <w:sz w:val="9"/>
          <w:szCs w:val="7"/>
        </w:rPr>
        <w:t>δισ.</w:t>
      </w:r>
      <w:r w:rsidR="000915A1" w:rsidRPr="000915A1">
        <w:rPr>
          <w:rFonts w:ascii="Segoe UI" w:hAnsi="Segoe UI" w:cs="Segoe UI"/>
          <w:color w:val="000000" w:themeColor="text1"/>
          <w:kern w:val="24"/>
          <w:sz w:val="9"/>
          <w:szCs w:val="7"/>
        </w:rPr>
        <w:t xml:space="preserve"> </w:t>
      </w:r>
      <w:r w:rsidR="00CA7818" w:rsidRPr="000915A1">
        <w:rPr>
          <w:rFonts w:ascii="Segoe UI" w:hAnsi="Segoe UI" w:cs="Segoe UI"/>
          <w:color w:val="000000" w:themeColor="text1"/>
          <w:kern w:val="24"/>
          <w:sz w:val="9"/>
          <w:szCs w:val="7"/>
        </w:rPr>
        <w:t xml:space="preserve">της συναλλαγής </w:t>
      </w:r>
      <w:r w:rsidR="00CA7818" w:rsidRPr="000915A1">
        <w:rPr>
          <w:rFonts w:ascii="Segoe UI" w:hAnsi="Segoe UI" w:cs="Segoe UI"/>
          <w:color w:val="000000" w:themeColor="text1"/>
          <w:kern w:val="24"/>
          <w:sz w:val="9"/>
          <w:szCs w:val="7"/>
          <w:lang w:val="en-US"/>
        </w:rPr>
        <w:t>Frontier</w:t>
      </w:r>
      <w:r w:rsidR="00D333B5" w:rsidRPr="000915A1">
        <w:rPr>
          <w:rFonts w:ascii="Segoe UI" w:hAnsi="Segoe UI" w:cs="Segoe UI"/>
          <w:color w:val="000000" w:themeColor="text1"/>
          <w:kern w:val="24"/>
          <w:sz w:val="9"/>
          <w:szCs w:val="7"/>
        </w:rPr>
        <w:t xml:space="preserve"> /</w:t>
      </w:r>
    </w:p>
    <w:p w:rsidR="00E55AED" w:rsidRPr="00F73358" w:rsidRDefault="00FE0FCF" w:rsidP="00E55AED">
      <w:pPr>
        <w:jc w:val="both"/>
        <w:textAlignment w:val="baseline"/>
        <w:rPr>
          <w:rFonts w:ascii="Segoe UI" w:hAnsi="Segoe UI" w:cs="Segoe UI"/>
          <w:b/>
          <w:sz w:val="7"/>
          <w:szCs w:val="7"/>
        </w:rPr>
      </w:pPr>
      <w:r w:rsidRPr="00377D4B">
        <w:rPr>
          <w:rFonts w:ascii="Segoe UI" w:hAnsi="Segoe UI" w:cs="Segoe UI"/>
          <w:color w:val="000000" w:themeColor="text1"/>
          <w:kern w:val="24"/>
          <w:sz w:val="9"/>
          <w:szCs w:val="7"/>
          <w:vertAlign w:val="superscript"/>
        </w:rPr>
        <w:t>4</w:t>
      </w:r>
      <w:r w:rsidR="00D333B5" w:rsidRPr="000915A1">
        <w:rPr>
          <w:rFonts w:ascii="Segoe UI" w:hAnsi="Segoe UI" w:cs="Segoe UI"/>
          <w:color w:val="000000" w:themeColor="text1"/>
          <w:kern w:val="24"/>
          <w:sz w:val="9"/>
          <w:szCs w:val="7"/>
        </w:rPr>
        <w:t xml:space="preserve"> </w:t>
      </w:r>
      <w:r w:rsidR="0030041E" w:rsidRPr="000915A1">
        <w:rPr>
          <w:rFonts w:ascii="Segoe UI" w:hAnsi="Segoe UI" w:cs="Segoe UI"/>
          <w:color w:val="000000" w:themeColor="text1"/>
          <w:kern w:val="24"/>
          <w:sz w:val="9"/>
          <w:szCs w:val="7"/>
        </w:rPr>
        <w:t xml:space="preserve">Περιλαμβάνονται τα κέρδη </w:t>
      </w:r>
      <w:r w:rsidR="006F363E" w:rsidRPr="000915A1">
        <w:rPr>
          <w:rFonts w:ascii="Segoe UI" w:hAnsi="Segoe UI" w:cs="Segoe UI"/>
          <w:color w:val="000000" w:themeColor="text1"/>
          <w:kern w:val="24"/>
          <w:sz w:val="9"/>
          <w:szCs w:val="7"/>
        </w:rPr>
        <w:t xml:space="preserve">της περιόδου </w:t>
      </w:r>
      <w:r w:rsidR="00E55AED" w:rsidRPr="00F73358">
        <w:rPr>
          <w:rFonts w:ascii="Segoe UI" w:hAnsi="Segoe UI" w:cs="Segoe UI"/>
          <w:b/>
          <w:sz w:val="7"/>
          <w:szCs w:val="7"/>
        </w:rPr>
        <w:br w:type="page"/>
      </w:r>
    </w:p>
    <w:p w:rsidR="00E55AED" w:rsidRPr="0082683D" w:rsidRDefault="00810B16" w:rsidP="00E55AED">
      <w:pPr>
        <w:textAlignment w:val="baseline"/>
        <w:rPr>
          <w:rFonts w:ascii="Segoe UI" w:hAnsi="Segoe UI" w:cs="Segoe UI"/>
          <w:b/>
          <w:sz w:val="20"/>
          <w:szCs w:val="20"/>
        </w:rPr>
      </w:pPr>
      <w:r>
        <w:rPr>
          <w:rFonts w:ascii="Segoe UI" w:hAnsi="Segoe UI" w:cs="Segoe UI"/>
          <w:noProof/>
          <w:sz w:val="28"/>
          <w:vertAlign w:val="superscript"/>
          <w:lang w:eastAsia="el-GR"/>
        </w:rPr>
        <w:lastRenderedPageBreak/>
        <mc:AlternateContent>
          <mc:Choice Requires="wps">
            <w:drawing>
              <wp:anchor distT="0" distB="0" distL="114300" distR="114300" simplePos="0" relativeHeight="251656704" behindDoc="0" locked="0" layoutInCell="1" allowOverlap="1" wp14:anchorId="5DFC282B" wp14:editId="2D9DE645">
                <wp:simplePos x="0" y="0"/>
                <wp:positionH relativeFrom="column">
                  <wp:posOffset>-33655</wp:posOffset>
                </wp:positionH>
                <wp:positionV relativeFrom="paragraph">
                  <wp:posOffset>-96520</wp:posOffset>
                </wp:positionV>
                <wp:extent cx="3312000" cy="313055"/>
                <wp:effectExtent l="0" t="0" r="3175" b="0"/>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1200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20" w:rsidRDefault="00817D20"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xml:space="preserve">| </w:t>
                            </w:r>
                            <w:proofErr w:type="spellStart"/>
                            <w:r w:rsidRPr="0098297F">
                              <w:rPr>
                                <w:rFonts w:ascii="Segoe UI" w:eastAsia="Segoe UI" w:hAnsi="Segoe UI" w:cs="Segoe UI"/>
                                <w:b/>
                                <w:color w:val="008080"/>
                                <w:kern w:val="24"/>
                                <w:sz w:val="20"/>
                                <w:szCs w:val="20"/>
                                <w:lang w:val="en-US"/>
                              </w:rPr>
                              <w:t>Ελλάδ</w:t>
                            </w:r>
                            <w:proofErr w:type="spellEnd"/>
                            <w:r w:rsidRPr="0098297F">
                              <w:rPr>
                                <w:rFonts w:ascii="Segoe UI" w:eastAsia="Segoe UI" w:hAnsi="Segoe UI" w:cs="Segoe UI"/>
                                <w:b/>
                                <w:color w:val="008080"/>
                                <w:kern w:val="24"/>
                                <w:sz w:val="20"/>
                                <w:szCs w:val="20"/>
                                <w:lang w:val="en-US"/>
                              </w:rPr>
                              <w:t>α</w:t>
                            </w:r>
                          </w:p>
                          <w:p w:rsidR="00817D20" w:rsidRPr="00EB1181" w:rsidRDefault="00817D20"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FC282B" id="Rectangle 6" o:spid="_x0000_s1034" style="position:absolute;margin-left:-2.65pt;margin-top:-7.6pt;width:260.8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7uAIAAMIFAAAOAAAAZHJzL2Uyb0RvYy54bWysVFFvmzAQfp+0/2D5nQIJEEAlVRtCNanb&#10;qnX7AQ6YYA1sZjsh3bT/vrNJUtK9TNt4sHz2cffdfZ/v+ubQtWhPpWKCZ9i/8jCivBQV49sMf/lc&#10;ODFGShNekVZwmuFnqvDN8u2b66FP6Uw0oq2oRBCEq3ToM9xo3aeuq8qGdkRdiZ5yuKyF7IgGU27d&#10;SpIBonetO/O8yB2ErHopSqoUnObjJV7a+HVNS/2xrhXVqM0wYNN2lXbdmNVdXpN0K0nfsPIIg/wF&#10;io4wDknPoXKiCdpJ9luojpVSKFHrq1J0rqhrVlJbA1Tje6+qeWpIT20t0BzVn9uk/l/Y8sP+USJW&#10;ZXgRenGw8L0AI046oOoTNI/wbUtRZNo09CoF76f+UZpCVf8gyq8KcXEvgTffuLgXPsZQ4I02w3tR&#10;QUCy08I26VDLzsSA8tHBcvF85oIeNCrhcD73gV+grIS7uT/3wtCmIOnp714qfU9Fh8wmwxLg2uhk&#10;/6C0QUPSk4tJxkXB2tby3fKLA3AcT6gVzPg3SQEJbI2nwWTJ/JF4yTpex4ETzKK1E3h57twWq8CJ&#10;Cn8R5vN8tcr9nwaFH6QNqyrKTdKTsPzgz4g7SnyUxFlaSrSsMuEMJCW3m1Ur0Z6AsAv7HdszcXMv&#10;YdiWQC2vSvJngXc3S5wiihdOUAShkyy82PH85C6JvCAJ8uKypAfG6b+XhIYMJ+EstJxNQL+qDTRg&#10;ZDDyeeHWMQ2jo2VdhuOzE0kbSqo1ryzRmrB23E9aYeC/tALIPxFt5WsUO4pdHzYH+zJik92oeSOq&#10;Z9CzFCA3UCaMPdg0Qn7HaIARkmH1bUckxah9x+GNBuHCj2DmTA05NTZTg/ASQmW41BKj0VjpcVLt&#10;esm2DeTybbO4uIWXVDMr8hdcx/cHg8JWdxxqZhJNbev1MnqXvwAAAP//AwBQSwMEFAAGAAgAAAAh&#10;AAZ7fOzeAAAACQEAAA8AAABkcnMvZG93bnJldi54bWxMj8FOwzAMhu9IvENkJG5b2m7tptJ0ggJH&#10;DmzsnjZeW9E4VZNt3dtjTnCybH/6/bnYzXYQF5x870hBvIxAIDXO9NQq+Dq8L7YgfNBk9OAIFdzQ&#10;w668vyt0btyVPvGyD63gEPK5VtCFMOZS+qZDq/3SjUi8O7nJ6sDt1Eoz6SuH20EmUZRJq3viC50e&#10;seqw+d6frYLXU/2SdPOxqg6340e2TTZv2Xqj1OPD/PwEIuAc/mD41Wd1KNmpdmcyXgwKFumKSa5x&#10;moBgII0zntQKVusYZFnI/x+UPwAAAP//AwBQSwECLQAUAAYACAAAACEAtoM4kv4AAADhAQAAEwAA&#10;AAAAAAAAAAAAAAAAAAAAW0NvbnRlbnRfVHlwZXNdLnhtbFBLAQItABQABgAIAAAAIQA4/SH/1gAA&#10;AJQBAAALAAAAAAAAAAAAAAAAAC8BAABfcmVscy8ucmVsc1BLAQItABQABgAIAAAAIQA+oWP7uAIA&#10;AMIFAAAOAAAAAAAAAAAAAAAAAC4CAABkcnMvZTJvRG9jLnhtbFBLAQItABQABgAIAAAAIQAGe3zs&#10;3gAAAAkBAAAPAAAAAAAAAAAAAAAAABIFAABkcnMvZG93bnJldi54bWxQSwUGAAAAAAQABADzAAAA&#10;HQYAAAAA&#10;" filled="f" stroked="f">
                <v:path arrowok="t"/>
                <o:lock v:ext="edit" grouping="t"/>
                <v:textbox inset="1.2699mm,1.2699mm,1.2699mm,1.2699mm">
                  <w:txbxContent>
                    <w:p w:rsidR="00817D20" w:rsidRDefault="00817D20"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xml:space="preserve">| </w:t>
                      </w:r>
                      <w:proofErr w:type="spellStart"/>
                      <w:r w:rsidRPr="0098297F">
                        <w:rPr>
                          <w:rFonts w:ascii="Segoe UI" w:eastAsia="Segoe UI" w:hAnsi="Segoe UI" w:cs="Segoe UI"/>
                          <w:b/>
                          <w:color w:val="008080"/>
                          <w:kern w:val="24"/>
                          <w:sz w:val="20"/>
                          <w:szCs w:val="20"/>
                          <w:lang w:val="en-US"/>
                        </w:rPr>
                        <w:t>Ελλάδ</w:t>
                      </w:r>
                      <w:proofErr w:type="spellEnd"/>
                      <w:r w:rsidRPr="0098297F">
                        <w:rPr>
                          <w:rFonts w:ascii="Segoe UI" w:eastAsia="Segoe UI" w:hAnsi="Segoe UI" w:cs="Segoe UI"/>
                          <w:b/>
                          <w:color w:val="008080"/>
                          <w:kern w:val="24"/>
                          <w:sz w:val="20"/>
                          <w:szCs w:val="20"/>
                          <w:lang w:val="en-US"/>
                        </w:rPr>
                        <w:t>α</w:t>
                      </w:r>
                    </w:p>
                    <w:p w:rsidR="00817D20" w:rsidRPr="00EB1181" w:rsidRDefault="00817D20"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v:textbox>
              </v:rect>
            </w:pict>
          </mc:Fallback>
        </mc:AlternateContent>
      </w:r>
      <w:r w:rsidR="00BC0FF0">
        <w:rPr>
          <w:rFonts w:ascii="Segoe UI" w:hAnsi="Segoe UI" w:cs="Segoe UI"/>
          <w:noProof/>
          <w:sz w:val="16"/>
          <w:szCs w:val="16"/>
          <w:lang w:eastAsia="el-GR"/>
        </w:rPr>
        <mc:AlternateContent>
          <mc:Choice Requires="wps">
            <w:drawing>
              <wp:anchor distT="0" distB="0" distL="114300" distR="114300" simplePos="0" relativeHeight="251673088" behindDoc="0" locked="0" layoutInCell="1" allowOverlap="1" wp14:anchorId="4C6928BC" wp14:editId="794C8391">
                <wp:simplePos x="0" y="0"/>
                <wp:positionH relativeFrom="column">
                  <wp:posOffset>2736850</wp:posOffset>
                </wp:positionH>
                <wp:positionV relativeFrom="paragraph">
                  <wp:posOffset>165735</wp:posOffset>
                </wp:positionV>
                <wp:extent cx="612000" cy="2700000"/>
                <wp:effectExtent l="0" t="0" r="17145" b="24765"/>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7000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B045087" id="Rounded Rectangle 18" o:spid="_x0000_s1026" style="position:absolute;margin-left:215.5pt;margin-top:13.05pt;width:48.2pt;height:21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lt0AEAAI4DAAAOAAAAZHJzL2Uyb0RvYy54bWysU8tu2zAQvBfoPxC817LcOg/Bcg413EvQ&#10;Bkn7AWuSkojyBS5j2X/fJS07SXsrciGW3NXszOxqdXewhu1VRO1dy+vZnDPlhJfa9S3/9XP76YYz&#10;TOAkGO9Uy48K+d3644fVGBq18IM3UkVGIA6bMbR8SCk0VYViUBZw5oNylOx8tJDoGvtKRhgJ3Zpq&#10;MZ9fVaOPMkQvFCK9bk5Jvi74XadE+tF1qBIzLSduqZyxnLt8VusVNH2EMGgx0YD/YGFBO2p6gdpA&#10;AvYc9T9QVovo0XdpJrytfNdpoYoGUlPP/1LzNEBQRQuZg+FiE74frPi+f4hMy5Z/rjlzYGlGj/7Z&#10;SSXZI7kHrjeK1TfZqDFgQ/VP4SFmqRjuvfiNlKjeZPIFp5pDF22uJaHsUFw/XlxXh8QEPV7VNEia&#10;jaDU4ppCumRQaM5fh4jpm/KW5aDlMfPL5IrjsL/HdKo/1+WOzm+1MfQOjXFsbPntcrGkJkBL1hlI&#10;FNpAstH1nIHpaXtFigURvdEyf11Uxn731US2B9qg7fb6S72c2L0py603gMOprqSmMuMyjCq7ODF9&#10;cShHOy+PNANwYvC0mZnF2VMaejFiWtC8Va/vxfmX32j9BwAA//8DAFBLAwQUAAYACAAAACEA1Ga6&#10;7OEAAAAKAQAADwAAAGRycy9kb3ducmV2LnhtbEyPwU7DMBBE70j8g7VI3KjjtGlDiFMhCgiBVInQ&#10;D3DjJY6I7Sh229CvZznBcTSjmTflerI9O+IYOu8kiFkCDF3jdedaCbuPp5scWIjKadV7hxK+McC6&#10;urwoVaH9yb3jsY4toxIXCiXBxDgUnIfGoFVh5gd05H360apIcmy5HtWJym3P0yRZcqs6RwtGDfhg&#10;sPmqD1bCZpcbvXkM+dvLa7O9PYvnc52lUl5fTfd3wCJO8S8Mv/iEDhUx7f3B6cB6CYu5oC9RQroU&#10;wCiQpasFsD05mZgDr0r+/0L1AwAA//8DAFBLAQItABQABgAIAAAAIQC2gziS/gAAAOEBAAATAAAA&#10;AAAAAAAAAAAAAAAAAABbQ29udGVudF9UeXBlc10ueG1sUEsBAi0AFAAGAAgAAAAhADj9If/WAAAA&#10;lAEAAAsAAAAAAAAAAAAAAAAALwEAAF9yZWxzLy5yZWxzUEsBAi0AFAAGAAgAAAAhAJGgiW3QAQAA&#10;jgMAAA4AAAAAAAAAAAAAAAAALgIAAGRycy9lMm9Eb2MueG1sUEsBAi0AFAAGAAgAAAAhANRmuuzh&#10;AAAACgEAAA8AAAAAAAAAAAAAAAAAKgQAAGRycy9kb3ducmV2LnhtbFBLBQYAAAAABAAEAPMAAAA4&#10;BQAAAAA=&#10;" filled="f" strokecolor="#ff7415">
                <v:path arrowok="t"/>
              </v:roundrect>
            </w:pict>
          </mc:Fallback>
        </mc:AlternateContent>
      </w:r>
    </w:p>
    <w:tbl>
      <w:tblPr>
        <w:tblW w:w="4983" w:type="pct"/>
        <w:tblCellMar>
          <w:left w:w="0" w:type="dxa"/>
          <w:right w:w="0" w:type="dxa"/>
        </w:tblCellMar>
        <w:tblLook w:val="0420" w:firstRow="1" w:lastRow="0" w:firstColumn="0" w:lastColumn="0" w:noHBand="0" w:noVBand="1"/>
      </w:tblPr>
      <w:tblGrid>
        <w:gridCol w:w="4311"/>
        <w:gridCol w:w="976"/>
        <w:gridCol w:w="976"/>
        <w:gridCol w:w="976"/>
        <w:gridCol w:w="976"/>
        <w:gridCol w:w="976"/>
        <w:gridCol w:w="972"/>
      </w:tblGrid>
      <w:tr w:rsidR="00E32984" w:rsidRPr="0098297F" w:rsidTr="00FB7108">
        <w:trPr>
          <w:trHeight w:val="289"/>
        </w:trPr>
        <w:tc>
          <w:tcPr>
            <w:tcW w:w="212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E32984" w:rsidRPr="0098297F" w:rsidRDefault="00E32984" w:rsidP="00E32984">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80"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19</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E32984" w:rsidRPr="00E95FD5" w:rsidRDefault="00E32984" w:rsidP="00E32984">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0"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Δ</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tcMar>
              <w:top w:w="15" w:type="dxa"/>
              <w:left w:w="15" w:type="dxa"/>
              <w:bottom w:w="0" w:type="dxa"/>
              <w:right w:w="82" w:type="dxa"/>
            </w:tcMar>
            <w:vAlign w:val="center"/>
            <w:hideMark/>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78"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E32984" w:rsidRPr="00E95FD5" w:rsidRDefault="00E32984" w:rsidP="00E32984">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F11186" w:rsidRPr="0098297F" w:rsidTr="00E8454D">
        <w:trPr>
          <w:trHeight w:val="113"/>
        </w:trPr>
        <w:tc>
          <w:tcPr>
            <w:tcW w:w="2121"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80" w:type="pct"/>
            <w:tcBorders>
              <w:top w:val="single" w:sz="8" w:space="0" w:color="000000"/>
              <w:bottom w:val="nil"/>
              <w:right w:val="nil"/>
            </w:tcBorders>
            <w:shd w:val="clear" w:color="auto" w:fill="auto"/>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1</w:t>
            </w:r>
            <w:r w:rsidR="008618D2">
              <w:rPr>
                <w:rFonts w:ascii="Segoe UI" w:hAnsi="Segoe UI" w:cs="Segoe UI"/>
                <w:sz w:val="14"/>
                <w:szCs w:val="14"/>
                <w:lang w:val="en-US"/>
              </w:rPr>
              <w:t>.</w:t>
            </w:r>
            <w:r w:rsidRPr="00F11186">
              <w:rPr>
                <w:rFonts w:ascii="Segoe UI" w:hAnsi="Segoe UI" w:cs="Segoe UI"/>
                <w:sz w:val="14"/>
                <w:szCs w:val="14"/>
                <w:lang w:val="en-US"/>
              </w:rPr>
              <w:t xml:space="preserve">107 </w:t>
            </w:r>
          </w:p>
        </w:tc>
        <w:tc>
          <w:tcPr>
            <w:tcW w:w="480" w:type="pct"/>
            <w:tcBorders>
              <w:top w:val="single" w:sz="8" w:space="0" w:color="000000"/>
              <w:left w:val="nil"/>
              <w:bottom w:val="nil"/>
              <w:right w:val="nil"/>
            </w:tcBorders>
            <w:shd w:val="clear" w:color="auto" w:fill="auto"/>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1</w:t>
            </w:r>
            <w:r w:rsidR="008618D2">
              <w:rPr>
                <w:rFonts w:ascii="Segoe UI" w:hAnsi="Segoe UI" w:cs="Segoe UI"/>
                <w:sz w:val="14"/>
                <w:szCs w:val="14"/>
                <w:lang w:val="en-US"/>
              </w:rPr>
              <w:t>.</w:t>
            </w:r>
            <w:r w:rsidRPr="00F11186">
              <w:rPr>
                <w:rFonts w:ascii="Segoe UI" w:hAnsi="Segoe UI" w:cs="Segoe UI"/>
                <w:sz w:val="14"/>
                <w:szCs w:val="14"/>
                <w:lang w:val="en-US"/>
              </w:rPr>
              <w:t xml:space="preserve">123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-1%</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296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290 </w:t>
            </w:r>
          </w:p>
        </w:tc>
        <w:tc>
          <w:tcPr>
            <w:tcW w:w="478" w:type="pct"/>
            <w:tcBorders>
              <w:top w:val="single" w:sz="4" w:space="0" w:color="auto"/>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2%</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244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242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1%</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65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61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5%</w:t>
            </w:r>
          </w:p>
        </w:tc>
      </w:tr>
      <w:tr w:rsidR="00F11186" w:rsidRPr="0098297F" w:rsidTr="00E8454D">
        <w:trPr>
          <w:trHeight w:val="113"/>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80" w:type="pct"/>
            <w:tcBorders>
              <w:top w:val="nil"/>
              <w:bottom w:val="nil"/>
              <w:right w:val="nil"/>
            </w:tcBorders>
            <w:shd w:val="clear" w:color="000000" w:fill="F2F2F2"/>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1</w:t>
            </w:r>
            <w:r w:rsidR="008618D2">
              <w:rPr>
                <w:rFonts w:ascii="Segoe UI" w:hAnsi="Segoe UI" w:cs="Segoe UI"/>
                <w:b/>
                <w:sz w:val="14"/>
                <w:szCs w:val="14"/>
                <w:lang w:val="en-US"/>
              </w:rPr>
              <w:t>.</w:t>
            </w:r>
            <w:r w:rsidRPr="00F11186">
              <w:rPr>
                <w:rFonts w:ascii="Segoe UI" w:hAnsi="Segoe UI" w:cs="Segoe UI"/>
                <w:b/>
                <w:sz w:val="14"/>
                <w:szCs w:val="14"/>
                <w:lang w:val="en-US"/>
              </w:rPr>
              <w:t xml:space="preserve">350 </w:t>
            </w:r>
          </w:p>
        </w:tc>
        <w:tc>
          <w:tcPr>
            <w:tcW w:w="480" w:type="pct"/>
            <w:tcBorders>
              <w:top w:val="nil"/>
              <w:left w:val="nil"/>
              <w:bottom w:val="nil"/>
              <w:right w:val="nil"/>
            </w:tcBorders>
            <w:shd w:val="clear" w:color="000000" w:fill="F2F2F2"/>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1</w:t>
            </w:r>
            <w:r w:rsidR="008618D2">
              <w:rPr>
                <w:rFonts w:ascii="Segoe UI" w:hAnsi="Segoe UI" w:cs="Segoe UI"/>
                <w:b/>
                <w:sz w:val="14"/>
                <w:szCs w:val="14"/>
                <w:lang w:val="en-US"/>
              </w:rPr>
              <w:t>.</w:t>
            </w:r>
            <w:r w:rsidRPr="00F11186">
              <w:rPr>
                <w:rFonts w:ascii="Segoe UI" w:hAnsi="Segoe UI" w:cs="Segoe UI"/>
                <w:b/>
                <w:sz w:val="14"/>
                <w:szCs w:val="14"/>
                <w:lang w:val="en-US"/>
              </w:rPr>
              <w:t xml:space="preserve">365 </w:t>
            </w:r>
          </w:p>
        </w:tc>
        <w:tc>
          <w:tcPr>
            <w:tcW w:w="480" w:type="pct"/>
            <w:tcBorders>
              <w:top w:val="nil"/>
              <w:left w:val="nil"/>
              <w:bottom w:val="nil"/>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-1%</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360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351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3%</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r w:rsidRPr="00F27E7D">
              <w:rPr>
                <w:rFonts w:ascii="Segoe UI" w:eastAsia="Segoe UI" w:hAnsi="Segoe UI" w:cs="Segoe UI"/>
                <w:color w:val="000000"/>
                <w:kern w:val="24"/>
                <w:sz w:val="14"/>
                <w:szCs w:val="14"/>
                <w:vertAlign w:val="superscript"/>
                <w:lang w:eastAsia="el-GR"/>
              </w:rPr>
              <w:t>1</w:t>
            </w:r>
          </w:p>
        </w:tc>
        <w:tc>
          <w:tcPr>
            <w:tcW w:w="480" w:type="pct"/>
            <w:tcBorders>
              <w:top w:val="nil"/>
              <w:bottom w:val="nil"/>
              <w:right w:val="nil"/>
            </w:tcBorders>
            <w:shd w:val="clear" w:color="auto" w:fill="auto"/>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1</w:t>
            </w:r>
            <w:r w:rsidR="008618D2">
              <w:rPr>
                <w:rFonts w:ascii="Segoe UI" w:hAnsi="Segoe UI" w:cs="Segoe UI"/>
                <w:sz w:val="14"/>
                <w:szCs w:val="14"/>
                <w:lang w:val="en-US"/>
              </w:rPr>
              <w:t>.</w:t>
            </w:r>
            <w:r w:rsidRPr="00F11186">
              <w:rPr>
                <w:rFonts w:ascii="Segoe UI" w:hAnsi="Segoe UI" w:cs="Segoe UI"/>
                <w:sz w:val="14"/>
                <w:szCs w:val="14"/>
                <w:lang w:val="en-US"/>
              </w:rPr>
              <w:t xml:space="preserve">098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234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269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45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r>
      <w:tr w:rsidR="00F11186" w:rsidRPr="0098297F" w:rsidTr="00E8454D">
        <w:trPr>
          <w:trHeight w:val="113"/>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80" w:type="pct"/>
            <w:tcBorders>
              <w:top w:val="nil"/>
              <w:bottom w:val="nil"/>
              <w:right w:val="nil"/>
            </w:tcBorders>
            <w:shd w:val="clear" w:color="000000" w:fill="F2F2F2"/>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2</w:t>
            </w:r>
            <w:r w:rsidR="008618D2">
              <w:rPr>
                <w:rFonts w:ascii="Segoe UI" w:hAnsi="Segoe UI" w:cs="Segoe UI"/>
                <w:b/>
                <w:sz w:val="14"/>
                <w:szCs w:val="14"/>
                <w:lang w:val="en-US"/>
              </w:rPr>
              <w:t>.</w:t>
            </w:r>
            <w:r w:rsidRPr="00F11186">
              <w:rPr>
                <w:rFonts w:ascii="Segoe UI" w:hAnsi="Segoe UI" w:cs="Segoe UI"/>
                <w:b/>
                <w:sz w:val="14"/>
                <w:szCs w:val="14"/>
                <w:lang w:val="en-US"/>
              </w:rPr>
              <w:t xml:space="preserve">448 </w:t>
            </w:r>
          </w:p>
        </w:tc>
        <w:tc>
          <w:tcPr>
            <w:tcW w:w="480" w:type="pct"/>
            <w:tcBorders>
              <w:top w:val="nil"/>
              <w:left w:val="nil"/>
              <w:bottom w:val="nil"/>
              <w:right w:val="nil"/>
            </w:tcBorders>
            <w:shd w:val="clear" w:color="000000" w:fill="F2F2F2"/>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1</w:t>
            </w:r>
            <w:r w:rsidR="008618D2">
              <w:rPr>
                <w:rFonts w:ascii="Segoe UI" w:hAnsi="Segoe UI" w:cs="Segoe UI"/>
                <w:b/>
                <w:sz w:val="14"/>
                <w:szCs w:val="14"/>
                <w:lang w:val="en-US"/>
              </w:rPr>
              <w:t>.</w:t>
            </w:r>
            <w:r w:rsidRPr="00F11186">
              <w:rPr>
                <w:rFonts w:ascii="Segoe UI" w:hAnsi="Segoe UI" w:cs="Segoe UI"/>
                <w:b/>
                <w:sz w:val="14"/>
                <w:szCs w:val="14"/>
                <w:lang w:val="en-US"/>
              </w:rPr>
              <w:t xml:space="preserve">599 </w:t>
            </w:r>
          </w:p>
        </w:tc>
        <w:tc>
          <w:tcPr>
            <w:tcW w:w="480" w:type="pct"/>
            <w:tcBorders>
              <w:top w:val="nil"/>
              <w:left w:val="nil"/>
              <w:bottom w:val="nil"/>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53%</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629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396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59%</w:t>
            </w:r>
          </w:p>
        </w:tc>
      </w:tr>
      <w:tr w:rsidR="00F11186" w:rsidRPr="0098297F" w:rsidTr="00E8454D">
        <w:trPr>
          <w:trHeight w:val="113"/>
        </w:trPr>
        <w:tc>
          <w:tcPr>
            <w:tcW w:w="2121" w:type="pct"/>
            <w:tcBorders>
              <w:top w:val="nil"/>
              <w:left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(768)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(804) </w:t>
            </w:r>
          </w:p>
        </w:tc>
        <w:tc>
          <w:tcPr>
            <w:tcW w:w="480" w:type="pct"/>
            <w:tcBorders>
              <w:top w:val="nil"/>
              <w:left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-4%</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(199)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(187)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7%</w:t>
            </w:r>
          </w:p>
        </w:tc>
      </w:tr>
      <w:tr w:rsidR="00F11186" w:rsidRPr="0098297F" w:rsidTr="00E8454D">
        <w:trPr>
          <w:trHeight w:val="113"/>
        </w:trPr>
        <w:tc>
          <w:tcPr>
            <w:tcW w:w="2121"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0" w:type="pct"/>
            <w:tcBorders>
              <w:top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582 </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561 </w:t>
            </w:r>
          </w:p>
        </w:tc>
        <w:tc>
          <w:tcPr>
            <w:tcW w:w="480" w:type="pct"/>
            <w:tcBorders>
              <w:top w:val="nil"/>
              <w:left w:val="nil"/>
              <w:bottom w:val="nil"/>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4%</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161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165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-2%</w:t>
            </w:r>
          </w:p>
        </w:tc>
      </w:tr>
      <w:tr w:rsidR="00F11186" w:rsidRPr="0098297F" w:rsidTr="00E8454D">
        <w:trPr>
          <w:trHeight w:val="113"/>
        </w:trPr>
        <w:tc>
          <w:tcPr>
            <w:tcW w:w="2121"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80" w:type="pct"/>
            <w:tcBorders>
              <w:top w:val="nil"/>
              <w:bottom w:val="nil"/>
              <w:right w:val="nil"/>
            </w:tcBorders>
            <w:shd w:val="clear" w:color="000000" w:fill="F2F2F2"/>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1</w:t>
            </w:r>
            <w:r w:rsidR="008618D2">
              <w:rPr>
                <w:rFonts w:ascii="Segoe UI" w:hAnsi="Segoe UI" w:cs="Segoe UI"/>
                <w:b/>
                <w:sz w:val="14"/>
                <w:szCs w:val="14"/>
                <w:lang w:val="en-US"/>
              </w:rPr>
              <w:t>.</w:t>
            </w:r>
            <w:r w:rsidRPr="00F11186">
              <w:rPr>
                <w:rFonts w:ascii="Segoe UI" w:hAnsi="Segoe UI" w:cs="Segoe UI"/>
                <w:b/>
                <w:sz w:val="14"/>
                <w:szCs w:val="14"/>
                <w:lang w:val="en-US"/>
              </w:rPr>
              <w:t xml:space="preserve">680 </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795 </w:t>
            </w:r>
          </w:p>
        </w:tc>
        <w:tc>
          <w:tcPr>
            <w:tcW w:w="480" w:type="pct"/>
            <w:tcBorders>
              <w:top w:val="nil"/>
              <w:left w:val="nil"/>
              <w:bottom w:val="nil"/>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&gt;100%</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430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210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&gt;100%</w:t>
            </w:r>
          </w:p>
        </w:tc>
      </w:tr>
      <w:tr w:rsidR="00F11186" w:rsidRPr="0098297F" w:rsidTr="00E8454D">
        <w:trPr>
          <w:trHeight w:val="113"/>
        </w:trPr>
        <w:tc>
          <w:tcPr>
            <w:tcW w:w="2121" w:type="pct"/>
            <w:tcBorders>
              <w:top w:val="nil"/>
              <w:left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p>
        </w:tc>
        <w:tc>
          <w:tcPr>
            <w:tcW w:w="480" w:type="pct"/>
            <w:tcBorders>
              <w:top w:val="nil"/>
              <w:bottom w:val="nil"/>
              <w:right w:val="nil"/>
            </w:tcBorders>
            <w:shd w:val="clear" w:color="auto" w:fill="auto"/>
            <w:vAlign w:val="center"/>
          </w:tcPr>
          <w:p w:rsidR="00F11186" w:rsidRPr="00F11186" w:rsidRDefault="00F11186" w:rsidP="008618D2">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(1</w:t>
            </w:r>
            <w:r w:rsidR="008618D2">
              <w:rPr>
                <w:rFonts w:ascii="Segoe UI" w:hAnsi="Segoe UI" w:cs="Segoe UI"/>
                <w:sz w:val="14"/>
                <w:szCs w:val="14"/>
                <w:lang w:val="en-US"/>
              </w:rPr>
              <w:t>.</w:t>
            </w:r>
            <w:r w:rsidRPr="00F11186">
              <w:rPr>
                <w:rFonts w:ascii="Segoe UI" w:hAnsi="Segoe UI" w:cs="Segoe UI"/>
                <w:sz w:val="14"/>
                <w:szCs w:val="14"/>
                <w:lang w:val="en-US"/>
              </w:rPr>
              <w:t xml:space="preserve">060)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(330) </w:t>
            </w:r>
          </w:p>
        </w:tc>
        <w:tc>
          <w:tcPr>
            <w:tcW w:w="480" w:type="pct"/>
            <w:tcBorders>
              <w:top w:val="nil"/>
              <w:left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(425)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(75)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620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465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33%</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5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135 </w:t>
            </w:r>
          </w:p>
        </w:tc>
        <w:tc>
          <w:tcPr>
            <w:tcW w:w="478" w:type="pct"/>
            <w:tcBorders>
              <w:top w:val="nil"/>
              <w:left w:val="nil"/>
              <w:bottom w:val="nil"/>
              <w:right w:val="nil"/>
            </w:tcBorders>
            <w:shd w:val="clear" w:color="auto" w:fill="auto"/>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-96%</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tcPr>
          <w:p w:rsidR="00F11186" w:rsidRPr="0098297F" w:rsidRDefault="00F11186" w:rsidP="00F11186">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Οργανικά κέρδη / (ζημίες)</w:t>
            </w:r>
            <w:r w:rsidRPr="003A4DE4">
              <w:rPr>
                <w:rFonts w:ascii="Segoe UI" w:eastAsia="Segoe UI" w:hAnsi="Segoe UI" w:cs="Segoe UI"/>
                <w:b/>
                <w:bCs/>
                <w:color w:val="000000"/>
                <w:kern w:val="24"/>
                <w:sz w:val="14"/>
                <w:szCs w:val="14"/>
                <w:vertAlign w:val="superscript"/>
                <w:lang w:eastAsia="el-GR"/>
              </w:rPr>
              <w:t xml:space="preserve">2 </w:t>
            </w:r>
          </w:p>
        </w:tc>
        <w:tc>
          <w:tcPr>
            <w:tcW w:w="480" w:type="pct"/>
            <w:tcBorders>
              <w:top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311 </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231 </w:t>
            </w:r>
          </w:p>
        </w:tc>
        <w:tc>
          <w:tcPr>
            <w:tcW w:w="480" w:type="pct"/>
            <w:tcBorders>
              <w:top w:val="nil"/>
              <w:left w:val="nil"/>
              <w:bottom w:val="nil"/>
              <w:right w:val="nil"/>
            </w:tcBorders>
            <w:shd w:val="clear" w:color="auto" w:fill="F2F2F2" w:themeFill="background1" w:themeFillShade="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34%</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96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93 </w:t>
            </w:r>
          </w:p>
        </w:tc>
        <w:tc>
          <w:tcPr>
            <w:tcW w:w="478" w:type="pct"/>
            <w:tcBorders>
              <w:top w:val="nil"/>
              <w:left w:val="nil"/>
              <w:bottom w:val="nil"/>
              <w:right w:val="nil"/>
            </w:tcBorders>
            <w:shd w:val="clear" w:color="000000" w:fill="F2F2F2"/>
            <w:tcMar>
              <w:top w:w="15" w:type="dxa"/>
              <w:left w:w="15" w:type="dxa"/>
              <w:bottom w:w="0" w:type="dxa"/>
              <w:right w:w="78"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3%</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8F3901">
              <w:rPr>
                <w:rFonts w:ascii="Segoe UI" w:eastAsia="Segoe UI" w:hAnsi="Segoe UI" w:cs="Segoe UI"/>
                <w:color w:val="000000"/>
                <w:kern w:val="24"/>
                <w:sz w:val="14"/>
                <w:szCs w:val="14"/>
                <w:lang w:eastAsia="el-GR"/>
              </w:rPr>
              <w:t>Λοιπές προβλέψεις / αντιλογισμός προβλέψεων</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(35)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23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Pr>
                <w:rFonts w:ascii="Segoe UI" w:hAnsi="Segoe UI" w:cs="Segoe UI"/>
                <w:i/>
                <w:sz w:val="14"/>
                <w:szCs w:val="14"/>
                <w:lang w:val="en-US"/>
              </w:rPr>
              <w:t>--</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(18)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3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Pr>
                <w:rFonts w:ascii="Segoe UI" w:hAnsi="Segoe UI" w:cs="Segoe UI"/>
                <w:i/>
                <w:sz w:val="14"/>
                <w:szCs w:val="14"/>
                <w:lang w:val="en-US"/>
              </w:rPr>
              <w:t>--</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b/>
                <w:sz w:val="14"/>
                <w:szCs w:val="14"/>
                <w:lang w:eastAsia="el-GR"/>
              </w:rPr>
            </w:pPr>
            <w:r w:rsidRPr="0098297F">
              <w:rPr>
                <w:rFonts w:ascii="Segoe UI" w:eastAsia="Segoe UI" w:hAnsi="Segoe UI" w:cs="Segoe UI"/>
                <w:b/>
                <w:color w:val="000000"/>
                <w:kern w:val="24"/>
                <w:sz w:val="14"/>
                <w:szCs w:val="14"/>
                <w:lang w:eastAsia="el-GR"/>
              </w:rPr>
              <w:t>Κέρδη / (ζημίες) προ φόρων</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585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488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20%</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(13)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138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Pr>
                <w:rFonts w:ascii="Segoe UI" w:hAnsi="Segoe UI" w:cs="Segoe UI"/>
                <w:b/>
                <w:i/>
                <w:sz w:val="14"/>
                <w:szCs w:val="14"/>
                <w:lang w:val="en-US"/>
              </w:rPr>
              <w:t>--</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(5)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(11)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-58%</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-100%</w:t>
            </w:r>
          </w:p>
        </w:tc>
      </w:tr>
      <w:tr w:rsidR="00F11186" w:rsidRPr="0098297F" w:rsidTr="00E8454D">
        <w:trPr>
          <w:trHeight w:val="113"/>
        </w:trPr>
        <w:tc>
          <w:tcPr>
            <w:tcW w:w="2121" w:type="pct"/>
            <w:tcBorders>
              <w:top w:val="nil"/>
              <w:left w:val="nil"/>
              <w:bottom w:val="nil"/>
              <w:right w:val="nil"/>
            </w:tcBorders>
            <w:shd w:val="clear" w:color="auto" w:fill="F2F2F2"/>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Κέρδη / (ζημίες) </w:t>
            </w:r>
            <w:r w:rsidRPr="00B4445A">
              <w:rPr>
                <w:rFonts w:ascii="Segoe UI" w:eastAsia="Segoe UI" w:hAnsi="Segoe UI" w:cs="Segoe UI"/>
                <w:b/>
                <w:bCs/>
                <w:color w:val="000000"/>
                <w:kern w:val="24"/>
                <w:sz w:val="14"/>
                <w:szCs w:val="14"/>
                <w:lang w:eastAsia="el-GR"/>
              </w:rPr>
              <w:t xml:space="preserve">μετά από φόρους </w:t>
            </w:r>
            <w:r w:rsidRPr="0098297F">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συνεχ</w:t>
            </w:r>
            <w:proofErr w:type="spellEnd"/>
            <w:r>
              <w:rPr>
                <w:rFonts w:ascii="Segoe UI" w:eastAsia="Segoe UI" w:hAnsi="Segoe UI" w:cs="Segoe UI"/>
                <w:b/>
                <w:bCs/>
                <w:color w:val="000000"/>
                <w:kern w:val="24"/>
                <w:sz w:val="14"/>
                <w:szCs w:val="14"/>
                <w:lang w:eastAsia="el-GR"/>
              </w:rPr>
              <w:t>/</w:t>
            </w:r>
            <w:proofErr w:type="spellStart"/>
            <w:r>
              <w:rPr>
                <w:rFonts w:ascii="Segoe UI" w:eastAsia="Segoe UI" w:hAnsi="Segoe UI" w:cs="Segoe UI"/>
                <w:b/>
                <w:bCs/>
                <w:color w:val="000000"/>
                <w:kern w:val="24"/>
                <w:sz w:val="14"/>
                <w:szCs w:val="14"/>
                <w:lang w:eastAsia="el-GR"/>
              </w:rPr>
              <w:t>μ</w:t>
            </w:r>
            <w:r w:rsidRPr="0098297F">
              <w:rPr>
                <w:rFonts w:ascii="Segoe UI" w:eastAsia="Segoe UI" w:hAnsi="Segoe UI" w:cs="Segoe UI"/>
                <w:b/>
                <w:bCs/>
                <w:color w:val="000000"/>
                <w:kern w:val="24"/>
                <w:sz w:val="14"/>
                <w:szCs w:val="14"/>
                <w:lang w:eastAsia="el-GR"/>
              </w:rPr>
              <w:t>ενες</w:t>
            </w:r>
            <w:proofErr w:type="spellEnd"/>
            <w:r w:rsidRPr="0098297F">
              <w:rPr>
                <w:rFonts w:ascii="Segoe UI" w:eastAsia="Segoe UI" w:hAnsi="Segoe UI" w:cs="Segoe UI"/>
                <w:b/>
                <w:bCs/>
                <w:color w:val="000000"/>
                <w:kern w:val="24"/>
                <w:sz w:val="14"/>
                <w:szCs w:val="14"/>
                <w:lang w:eastAsia="el-GR"/>
              </w:rPr>
              <w:t xml:space="preserve"> </w:t>
            </w:r>
            <w:proofErr w:type="spellStart"/>
            <w:r w:rsidRPr="0098297F">
              <w:rPr>
                <w:rFonts w:ascii="Segoe UI" w:eastAsia="Segoe UI" w:hAnsi="Segoe UI" w:cs="Segoe UI"/>
                <w:b/>
                <w:bCs/>
                <w:color w:val="000000"/>
                <w:kern w:val="24"/>
                <w:sz w:val="14"/>
                <w:szCs w:val="14"/>
                <w:lang w:eastAsia="el-GR"/>
              </w:rPr>
              <w:t>δραστ</w:t>
            </w:r>
            <w:proofErr w:type="spellEnd"/>
            <w:r w:rsidRPr="00B473E6">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τητες</w:t>
            </w:r>
            <w:proofErr w:type="spellEnd"/>
            <w:r w:rsidRPr="0098297F">
              <w:rPr>
                <w:rFonts w:ascii="Segoe UI" w:eastAsia="Segoe UI" w:hAnsi="Segoe UI" w:cs="Segoe UI"/>
                <w:b/>
                <w:bCs/>
                <w:color w:val="000000"/>
                <w:kern w:val="24"/>
                <w:sz w:val="14"/>
                <w:szCs w:val="14"/>
                <w:lang w:eastAsia="el-GR"/>
              </w:rPr>
              <w:t>)</w:t>
            </w:r>
          </w:p>
        </w:tc>
        <w:tc>
          <w:tcPr>
            <w:tcW w:w="480" w:type="pct"/>
            <w:tcBorders>
              <w:top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581 </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478 </w:t>
            </w:r>
          </w:p>
        </w:tc>
        <w:tc>
          <w:tcPr>
            <w:tcW w:w="480" w:type="pct"/>
            <w:tcBorders>
              <w:top w:val="nil"/>
              <w:left w:val="nil"/>
              <w:bottom w:val="nil"/>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sidRPr="00F11186">
              <w:rPr>
                <w:rFonts w:ascii="Segoe UI" w:hAnsi="Segoe UI" w:cs="Segoe UI"/>
                <w:b/>
                <w:i/>
                <w:sz w:val="14"/>
                <w:szCs w:val="14"/>
                <w:lang w:val="en-US"/>
              </w:rPr>
              <w:t>22%</w:t>
            </w:r>
          </w:p>
        </w:tc>
        <w:tc>
          <w:tcPr>
            <w:tcW w:w="480" w:type="pct"/>
            <w:tcBorders>
              <w:top w:val="nil"/>
              <w:left w:val="nil"/>
              <w:bottom w:val="nil"/>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(13) </w:t>
            </w:r>
          </w:p>
        </w:tc>
        <w:tc>
          <w:tcPr>
            <w:tcW w:w="480" w:type="pct"/>
            <w:tcBorders>
              <w:top w:val="nil"/>
              <w:left w:val="nil"/>
              <w:bottom w:val="nil"/>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136 </w:t>
            </w:r>
          </w:p>
        </w:tc>
        <w:tc>
          <w:tcPr>
            <w:tcW w:w="478" w:type="pct"/>
            <w:tcBorders>
              <w:top w:val="nil"/>
              <w:left w:val="nil"/>
              <w:bottom w:val="nil"/>
              <w:right w:val="nil"/>
            </w:tcBorders>
            <w:shd w:val="clear" w:color="000000" w:fill="F2F2F2"/>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Pr>
                <w:rFonts w:ascii="Segoe UI" w:hAnsi="Segoe UI" w:cs="Segoe UI"/>
                <w:b/>
                <w:i/>
                <w:sz w:val="14"/>
                <w:szCs w:val="14"/>
                <w:lang w:val="en-US"/>
              </w:rPr>
              <w:t>--</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bCs/>
                <w:color w:val="000000"/>
                <w:kern w:val="24"/>
                <w:sz w:val="14"/>
                <w:szCs w:val="14"/>
                <w:lang w:eastAsia="el-GR"/>
              </w:rPr>
              <w:t xml:space="preserve">Κέρδη / (ζημίες) </w:t>
            </w:r>
            <w:r w:rsidRPr="00B4445A">
              <w:rPr>
                <w:rFonts w:ascii="Segoe UI" w:eastAsia="Segoe UI" w:hAnsi="Segoe UI" w:cs="Segoe UI"/>
                <w:bCs/>
                <w:color w:val="000000"/>
                <w:kern w:val="24"/>
                <w:sz w:val="14"/>
                <w:szCs w:val="14"/>
                <w:lang w:eastAsia="el-GR"/>
              </w:rPr>
              <w:t xml:space="preserve">μετά από φόρους </w:t>
            </w:r>
            <w:r w:rsidRPr="0098297F">
              <w:rPr>
                <w:rFonts w:ascii="Segoe UI" w:eastAsia="Segoe UI" w:hAnsi="Segoe UI" w:cs="Segoe UI"/>
                <w:bCs/>
                <w:color w:val="000000"/>
                <w:kern w:val="24"/>
                <w:sz w:val="14"/>
                <w:szCs w:val="14"/>
                <w:lang w:eastAsia="el-GR"/>
              </w:rPr>
              <w:t>(διακοπείσες δραστηριότητες)</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(358)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(403)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-11%</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(356)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(20)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r>
      <w:tr w:rsidR="00F11186" w:rsidRPr="0098297F" w:rsidTr="00E8454D">
        <w:trPr>
          <w:trHeight w:val="113"/>
        </w:trPr>
        <w:tc>
          <w:tcPr>
            <w:tcW w:w="2121" w:type="pct"/>
            <w:tcBorders>
              <w:top w:val="nil"/>
              <w:left w:val="nil"/>
              <w:bottom w:val="nil"/>
              <w:right w:val="nil"/>
            </w:tcBorders>
            <w:shd w:val="clear" w:color="auto" w:fill="auto"/>
            <w:tcMar>
              <w:top w:w="15" w:type="dxa"/>
              <w:left w:w="42" w:type="dxa"/>
              <w:bottom w:w="0" w:type="dxa"/>
              <w:right w:w="15" w:type="dxa"/>
            </w:tcMar>
            <w:vAlign w:val="center"/>
            <w:hideMark/>
          </w:tcPr>
          <w:p w:rsidR="00F11186" w:rsidRPr="0098297F" w:rsidRDefault="00F11186" w:rsidP="00431B10">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Pr="00E95FD5">
              <w:rPr>
                <w:rFonts w:ascii="Segoe UI" w:eastAsia="Segoe UI" w:hAnsi="Segoe UI" w:cs="Segoe UI"/>
                <w:color w:val="000000"/>
                <w:kern w:val="24"/>
                <w:sz w:val="14"/>
                <w:szCs w:val="14"/>
                <w:lang w:eastAsia="el-GR"/>
              </w:rPr>
              <w:t xml:space="preserve">κόστη </w:t>
            </w:r>
            <w:proofErr w:type="spellStart"/>
            <w:r w:rsidRPr="00E95FD5">
              <w:rPr>
                <w:rFonts w:ascii="Segoe UI" w:eastAsia="Segoe UI" w:hAnsi="Segoe UI" w:cs="Segoe UI"/>
                <w:color w:val="000000"/>
                <w:kern w:val="24"/>
                <w:sz w:val="14"/>
                <w:szCs w:val="14"/>
                <w:lang w:eastAsia="el-GR"/>
              </w:rPr>
              <w:t>αναδ</w:t>
            </w:r>
            <w:proofErr w:type="spellEnd"/>
            <w:r>
              <w:rPr>
                <w:rFonts w:ascii="Segoe UI" w:eastAsia="Segoe UI" w:hAnsi="Segoe UI" w:cs="Segoe UI"/>
                <w:color w:val="000000"/>
                <w:kern w:val="24"/>
                <w:sz w:val="14"/>
                <w:szCs w:val="14"/>
                <w:lang w:eastAsia="el-GR"/>
              </w:rPr>
              <w:t>/</w:t>
            </w:r>
            <w:proofErr w:type="spellStart"/>
            <w:r>
              <w:rPr>
                <w:rFonts w:ascii="Segoe UI" w:eastAsia="Segoe UI" w:hAnsi="Segoe UI" w:cs="Segoe UI"/>
                <w:color w:val="000000"/>
                <w:kern w:val="24"/>
                <w:sz w:val="14"/>
                <w:szCs w:val="14"/>
                <w:lang w:eastAsia="el-GR"/>
              </w:rPr>
              <w:t>σης</w:t>
            </w:r>
            <w:proofErr w:type="spellEnd"/>
            <w:r>
              <w:rPr>
                <w:rFonts w:ascii="Segoe UI" w:eastAsia="Segoe UI" w:hAnsi="Segoe UI" w:cs="Segoe UI"/>
                <w:color w:val="000000"/>
                <w:kern w:val="24"/>
                <w:sz w:val="14"/>
                <w:szCs w:val="14"/>
                <w:lang w:eastAsia="el-GR"/>
              </w:rPr>
              <w:t xml:space="preserve"> κ λοιπά έκτακτα κόστη</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(189)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(226) </w:t>
            </w:r>
          </w:p>
        </w:tc>
        <w:tc>
          <w:tcPr>
            <w:tcW w:w="480" w:type="pct"/>
            <w:tcBorders>
              <w:top w:val="nil"/>
              <w:left w:val="nil"/>
              <w:bottom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-16%</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(58)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(15)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sidRPr="00F11186">
              <w:rPr>
                <w:rFonts w:ascii="Segoe UI" w:hAnsi="Segoe UI" w:cs="Segoe UI"/>
                <w:i/>
                <w:sz w:val="14"/>
                <w:szCs w:val="14"/>
                <w:lang w:val="en-US"/>
              </w:rPr>
              <w:t>&gt;100%</w:t>
            </w:r>
          </w:p>
        </w:tc>
      </w:tr>
      <w:tr w:rsidR="00F11186" w:rsidRPr="0098297F" w:rsidTr="00E8454D">
        <w:trPr>
          <w:trHeight w:val="113"/>
        </w:trPr>
        <w:tc>
          <w:tcPr>
            <w:tcW w:w="2121" w:type="pct"/>
            <w:tcBorders>
              <w:top w:val="nil"/>
              <w:left w:val="nil"/>
              <w:right w:val="nil"/>
            </w:tcBorders>
            <w:shd w:val="clear" w:color="auto" w:fill="auto"/>
            <w:tcMar>
              <w:top w:w="15" w:type="dxa"/>
              <w:left w:w="42" w:type="dxa"/>
              <w:bottom w:w="0" w:type="dxa"/>
              <w:right w:w="15" w:type="dxa"/>
            </w:tcMar>
            <w:vAlign w:val="center"/>
          </w:tcPr>
          <w:p w:rsidR="00F11186" w:rsidRPr="0098297F" w:rsidRDefault="00F11186" w:rsidP="00F11186">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Δικαιώματα μειοψηφίας</w:t>
            </w:r>
          </w:p>
        </w:tc>
        <w:tc>
          <w:tcPr>
            <w:tcW w:w="480" w:type="pct"/>
            <w:tcBorders>
              <w:top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 </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(16) </w:t>
            </w:r>
          </w:p>
        </w:tc>
        <w:tc>
          <w:tcPr>
            <w:tcW w:w="480" w:type="pct"/>
            <w:tcBorders>
              <w:top w:val="nil"/>
              <w:left w:val="nil"/>
              <w:right w:val="nil"/>
            </w:tcBorders>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Pr>
                <w:rFonts w:ascii="Segoe UI" w:hAnsi="Segoe UI" w:cs="Segoe UI"/>
                <w:i/>
                <w:sz w:val="14"/>
                <w:szCs w:val="14"/>
                <w:lang w:val="en-US"/>
              </w:rPr>
              <w:t>--</w:t>
            </w:r>
          </w:p>
        </w:tc>
        <w:tc>
          <w:tcPr>
            <w:tcW w:w="480" w:type="pct"/>
            <w:tcBorders>
              <w:top w:val="nil"/>
              <w:left w:val="nil"/>
              <w:bottom w:val="nil"/>
              <w:right w:val="nil"/>
            </w:tcBorders>
            <w:shd w:val="clear" w:color="auto" w:fill="auto"/>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sz w:val="14"/>
                <w:szCs w:val="14"/>
                <w:lang w:val="en-US"/>
              </w:rPr>
            </w:pPr>
            <w:r w:rsidRPr="00F11186">
              <w:rPr>
                <w:rFonts w:ascii="Segoe UI" w:hAnsi="Segoe UI" w:cs="Segoe UI"/>
                <w:sz w:val="14"/>
                <w:szCs w:val="14"/>
                <w:lang w:val="en-US"/>
              </w:rPr>
              <w:t xml:space="preserve">- </w:t>
            </w:r>
          </w:p>
        </w:tc>
        <w:tc>
          <w:tcPr>
            <w:tcW w:w="478" w:type="pct"/>
            <w:tcBorders>
              <w:top w:val="nil"/>
              <w:left w:val="nil"/>
              <w:bottom w:val="nil"/>
              <w:right w:val="nil"/>
            </w:tcBorders>
            <w:shd w:val="clear" w:color="auto" w:fill="auto"/>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i/>
                <w:sz w:val="14"/>
                <w:szCs w:val="14"/>
                <w:lang w:val="en-US"/>
              </w:rPr>
            </w:pPr>
            <w:r>
              <w:rPr>
                <w:rFonts w:ascii="Segoe UI" w:hAnsi="Segoe UI" w:cs="Segoe UI"/>
                <w:i/>
                <w:sz w:val="14"/>
                <w:szCs w:val="14"/>
                <w:lang w:val="en-US"/>
              </w:rPr>
              <w:t>--</w:t>
            </w:r>
          </w:p>
        </w:tc>
      </w:tr>
      <w:tr w:rsidR="00F11186" w:rsidRPr="0098297F" w:rsidTr="00E8454D">
        <w:trPr>
          <w:trHeight w:val="113"/>
        </w:trPr>
        <w:tc>
          <w:tcPr>
            <w:tcW w:w="2121"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F11186" w:rsidRPr="0098297F" w:rsidRDefault="00F11186" w:rsidP="00F11186">
            <w:pPr>
              <w:jc w:val="both"/>
              <w:textAlignment w:val="center"/>
              <w:rPr>
                <w:rFonts w:ascii="Segoe UI" w:eastAsia="Segoe UI" w:hAnsi="Segoe UI" w:cs="Segoe UI"/>
                <w:color w:val="000000"/>
                <w:kern w:val="24"/>
                <w:sz w:val="14"/>
                <w:szCs w:val="14"/>
                <w:lang w:eastAsia="el-GR"/>
              </w:rPr>
            </w:pPr>
            <w:r w:rsidRPr="0098297F">
              <w:rPr>
                <w:rFonts w:ascii="Segoe UI" w:eastAsia="Segoe UI" w:hAnsi="Segoe UI" w:cs="Segoe UI"/>
                <w:b/>
                <w:color w:val="000000"/>
                <w:kern w:val="24"/>
                <w:sz w:val="14"/>
                <w:szCs w:val="14"/>
                <w:lang w:eastAsia="el-GR"/>
              </w:rPr>
              <w:t xml:space="preserve">Κέρδη / (ζημίες) μετά </w:t>
            </w:r>
            <w:r w:rsidRPr="00976026">
              <w:rPr>
                <w:rFonts w:ascii="Segoe UI" w:eastAsia="Segoe UI" w:hAnsi="Segoe UI" w:cs="Segoe UI"/>
                <w:b/>
                <w:color w:val="000000"/>
                <w:kern w:val="24"/>
                <w:sz w:val="14"/>
                <w:szCs w:val="14"/>
                <w:lang w:eastAsia="el-GR"/>
              </w:rPr>
              <w:t xml:space="preserve">από φόρους </w:t>
            </w:r>
            <w:r w:rsidRPr="0098297F">
              <w:rPr>
                <w:rFonts w:ascii="Segoe UI" w:eastAsia="Segoe UI" w:hAnsi="Segoe UI" w:cs="Segoe UI"/>
                <w:b/>
                <w:color w:val="000000"/>
                <w:kern w:val="24"/>
                <w:sz w:val="14"/>
                <w:szCs w:val="14"/>
                <w:lang w:eastAsia="el-GR"/>
              </w:rPr>
              <w:t>περιόδου</w:t>
            </w:r>
          </w:p>
        </w:tc>
        <w:tc>
          <w:tcPr>
            <w:tcW w:w="480" w:type="pct"/>
            <w:tcBorders>
              <w:top w:val="nil"/>
              <w:bottom w:val="single" w:sz="8" w:space="0" w:color="auto"/>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34 </w:t>
            </w:r>
          </w:p>
        </w:tc>
        <w:tc>
          <w:tcPr>
            <w:tcW w:w="480" w:type="pct"/>
            <w:tcBorders>
              <w:top w:val="nil"/>
              <w:left w:val="nil"/>
              <w:bottom w:val="single" w:sz="8" w:space="0" w:color="auto"/>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(167) </w:t>
            </w:r>
          </w:p>
        </w:tc>
        <w:tc>
          <w:tcPr>
            <w:tcW w:w="480" w:type="pct"/>
            <w:tcBorders>
              <w:top w:val="nil"/>
              <w:left w:val="nil"/>
              <w:bottom w:val="single" w:sz="12" w:space="0" w:color="000000"/>
              <w:right w:val="nil"/>
            </w:tcBorders>
            <w:shd w:val="clear" w:color="000000" w:fill="F2F2F2"/>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Pr>
                <w:rFonts w:ascii="Segoe UI" w:hAnsi="Segoe UI" w:cs="Segoe UI"/>
                <w:b/>
                <w:i/>
                <w:sz w:val="14"/>
                <w:szCs w:val="14"/>
                <w:lang w:val="en-US"/>
              </w:rPr>
              <w:t>--</w:t>
            </w:r>
          </w:p>
        </w:tc>
        <w:tc>
          <w:tcPr>
            <w:tcW w:w="480" w:type="pct"/>
            <w:tcBorders>
              <w:top w:val="nil"/>
              <w:left w:val="nil"/>
              <w:bottom w:val="single" w:sz="8" w:space="0" w:color="auto"/>
              <w:right w:val="nil"/>
            </w:tcBorders>
            <w:shd w:val="clear" w:color="000000" w:fill="F2F2F2"/>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(427) </w:t>
            </w:r>
          </w:p>
        </w:tc>
        <w:tc>
          <w:tcPr>
            <w:tcW w:w="480" w:type="pct"/>
            <w:tcBorders>
              <w:top w:val="nil"/>
              <w:left w:val="nil"/>
              <w:bottom w:val="single" w:sz="8" w:space="0" w:color="auto"/>
              <w:right w:val="nil"/>
            </w:tcBorders>
            <w:shd w:val="clear" w:color="000000" w:fill="F2F2F2"/>
            <w:tcMar>
              <w:top w:w="15" w:type="dxa"/>
              <w:left w:w="15" w:type="dxa"/>
              <w:bottom w:w="0" w:type="dxa"/>
              <w:right w:w="78" w:type="dxa"/>
            </w:tcMar>
            <w:vAlign w:val="center"/>
          </w:tcPr>
          <w:p w:rsidR="00F11186" w:rsidRPr="00F11186" w:rsidRDefault="00F11186" w:rsidP="00F11186">
            <w:pPr>
              <w:pStyle w:val="Web"/>
              <w:spacing w:before="0" w:beforeAutospacing="0" w:after="0" w:afterAutospacing="0"/>
              <w:ind w:right="148"/>
              <w:jc w:val="right"/>
              <w:textAlignment w:val="center"/>
              <w:rPr>
                <w:rFonts w:ascii="Segoe UI" w:hAnsi="Segoe UI" w:cs="Segoe UI"/>
                <w:b/>
                <w:sz w:val="14"/>
                <w:szCs w:val="14"/>
                <w:lang w:val="en-US"/>
              </w:rPr>
            </w:pPr>
            <w:r w:rsidRPr="00F11186">
              <w:rPr>
                <w:rFonts w:ascii="Segoe UI" w:hAnsi="Segoe UI" w:cs="Segoe UI"/>
                <w:b/>
                <w:sz w:val="14"/>
                <w:szCs w:val="14"/>
                <w:lang w:val="en-US"/>
              </w:rPr>
              <w:t xml:space="preserve">102 </w:t>
            </w:r>
          </w:p>
        </w:tc>
        <w:tc>
          <w:tcPr>
            <w:tcW w:w="478" w:type="pct"/>
            <w:tcBorders>
              <w:top w:val="nil"/>
              <w:left w:val="nil"/>
              <w:bottom w:val="single" w:sz="8" w:space="0" w:color="auto"/>
              <w:right w:val="nil"/>
            </w:tcBorders>
            <w:shd w:val="clear" w:color="000000" w:fill="F2F2F2"/>
            <w:tcMar>
              <w:top w:w="15" w:type="dxa"/>
              <w:left w:w="15" w:type="dxa"/>
              <w:bottom w:w="0" w:type="dxa"/>
              <w:right w:w="84" w:type="dxa"/>
            </w:tcMar>
            <w:vAlign w:val="bottom"/>
          </w:tcPr>
          <w:p w:rsidR="00F11186" w:rsidRPr="00F11186" w:rsidRDefault="00F11186" w:rsidP="00F11186">
            <w:pPr>
              <w:pStyle w:val="Web"/>
              <w:spacing w:before="0" w:beforeAutospacing="0" w:after="0" w:afterAutospacing="0"/>
              <w:ind w:right="148"/>
              <w:jc w:val="right"/>
              <w:textAlignment w:val="center"/>
              <w:rPr>
                <w:rFonts w:ascii="Segoe UI" w:hAnsi="Segoe UI" w:cs="Segoe UI"/>
                <w:b/>
                <w:i/>
                <w:sz w:val="14"/>
                <w:szCs w:val="14"/>
                <w:lang w:val="en-US"/>
              </w:rPr>
            </w:pPr>
            <w:r>
              <w:rPr>
                <w:rFonts w:ascii="Segoe UI" w:hAnsi="Segoe UI" w:cs="Segoe UI"/>
                <w:b/>
                <w:i/>
                <w:sz w:val="14"/>
                <w:szCs w:val="14"/>
                <w:lang w:val="en-US"/>
              </w:rPr>
              <w:t>--</w:t>
            </w:r>
          </w:p>
        </w:tc>
      </w:tr>
    </w:tbl>
    <w:p w:rsidR="00474522" w:rsidRPr="00B315DE" w:rsidRDefault="00474522" w:rsidP="00474522">
      <w:pPr>
        <w:jc w:val="both"/>
        <w:textAlignment w:val="baseline"/>
        <w:rPr>
          <w:rFonts w:ascii="Segoe UI" w:hAnsi="Segoe UI" w:cs="Segoe UI"/>
          <w:b/>
          <w:sz w:val="9"/>
          <w:szCs w:val="7"/>
        </w:rPr>
      </w:pPr>
      <w:r w:rsidRPr="00B315DE">
        <w:rPr>
          <w:rFonts w:ascii="Segoe UI" w:hAnsi="Segoe UI" w:cs="Segoe UI"/>
          <w:color w:val="000000" w:themeColor="text1"/>
          <w:kern w:val="24"/>
          <w:sz w:val="9"/>
          <w:szCs w:val="7"/>
          <w:vertAlign w:val="superscript"/>
        </w:rPr>
        <w:t xml:space="preserve">1 </w:t>
      </w:r>
      <w:r w:rsidR="002739ED" w:rsidRPr="002739ED">
        <w:rPr>
          <w:rFonts w:ascii="Segoe UI" w:hAnsi="Segoe UI" w:cs="Segoe UI"/>
          <w:color w:val="000000" w:themeColor="text1"/>
          <w:kern w:val="24"/>
          <w:sz w:val="9"/>
          <w:szCs w:val="7"/>
        </w:rPr>
        <w:t xml:space="preserve">Περιλαμβάνουν μη επαναλαμβανόμενα κέρδη σχετιζόμενα με την ανταλλαγή και πώληση ΟΕΔ συνολικού ύψους €1 δισ. το 2020 </w:t>
      </w:r>
      <w:r w:rsidRPr="00B315DE">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vertAlign w:val="superscript"/>
        </w:rPr>
        <w:t xml:space="preserve">2 </w:t>
      </w:r>
      <w:r w:rsidRPr="00B315DE">
        <w:rPr>
          <w:rFonts w:ascii="Segoe UI" w:hAnsi="Segoe UI" w:cs="Segoe UI"/>
          <w:color w:val="000000" w:themeColor="text1"/>
          <w:kern w:val="24"/>
          <w:sz w:val="9"/>
          <w:szCs w:val="7"/>
        </w:rPr>
        <w:t xml:space="preserve">Εξαιρούν τα έσοδα από χρηματοοικονομικές πράξεις και λοιπά έσοδα, καθώς και τις προβλέψεις σχετιζόμενες με την πανδημία του κορωνοϊού (€0,4 δισ.) και τη συναλλαγή </w:t>
      </w:r>
      <w:r w:rsidRPr="00B315DE">
        <w:rPr>
          <w:rFonts w:ascii="Segoe UI" w:hAnsi="Segoe UI" w:cs="Segoe UI"/>
          <w:color w:val="000000" w:themeColor="text1"/>
          <w:kern w:val="24"/>
          <w:sz w:val="9"/>
          <w:szCs w:val="7"/>
          <w:lang w:val="en-US"/>
        </w:rPr>
        <w:t>Frontier</w:t>
      </w:r>
      <w:r w:rsidR="00904303">
        <w:rPr>
          <w:rFonts w:ascii="Segoe UI" w:hAnsi="Segoe UI" w:cs="Segoe UI"/>
          <w:color w:val="000000" w:themeColor="text1"/>
          <w:kern w:val="24"/>
          <w:sz w:val="9"/>
          <w:szCs w:val="7"/>
        </w:rPr>
        <w:t xml:space="preserve"> (€0,</w:t>
      </w:r>
      <w:r w:rsidRPr="00B315DE">
        <w:rPr>
          <w:rFonts w:ascii="Segoe UI" w:hAnsi="Segoe UI" w:cs="Segoe UI"/>
          <w:color w:val="000000" w:themeColor="text1"/>
          <w:kern w:val="24"/>
          <w:sz w:val="9"/>
          <w:szCs w:val="7"/>
        </w:rPr>
        <w:t>4 δισ.)</w:t>
      </w:r>
    </w:p>
    <w:p w:rsidR="00E55AED" w:rsidRPr="001B37BC" w:rsidRDefault="00810B16" w:rsidP="00E55AED">
      <w:pPr>
        <w:textAlignment w:val="baseline"/>
        <w:rPr>
          <w:rFonts w:ascii="Segoe UI" w:eastAsia="Times New Roman" w:hAnsi="Segoe UI" w:cs="Segoe UI"/>
          <w:color w:val="000000" w:themeColor="text1"/>
          <w:kern w:val="24"/>
          <w:sz w:val="28"/>
          <w:szCs w:val="10"/>
          <w:lang w:eastAsia="el-GR"/>
        </w:rPr>
      </w:pPr>
      <w:r>
        <w:rPr>
          <w:rFonts w:ascii="Segoe UI" w:hAnsi="Segoe UI" w:cs="Segoe UI"/>
          <w:noProof/>
          <w:sz w:val="28"/>
          <w:vertAlign w:val="superscript"/>
          <w:lang w:eastAsia="el-GR"/>
        </w:rPr>
        <mc:AlternateContent>
          <mc:Choice Requires="wps">
            <w:drawing>
              <wp:anchor distT="0" distB="0" distL="114300" distR="114300" simplePos="0" relativeHeight="251657728" behindDoc="0" locked="0" layoutInCell="1" allowOverlap="1" wp14:anchorId="4529919F" wp14:editId="66C46563">
                <wp:simplePos x="0" y="0"/>
                <wp:positionH relativeFrom="column">
                  <wp:posOffset>-45085</wp:posOffset>
                </wp:positionH>
                <wp:positionV relativeFrom="paragraph">
                  <wp:posOffset>77552</wp:posOffset>
                </wp:positionV>
                <wp:extent cx="4274185" cy="329565"/>
                <wp:effectExtent l="0" t="0" r="0" b="0"/>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7418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D20" w:rsidRPr="00705BB6" w:rsidRDefault="00817D20"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r w:rsidRPr="00705BB6">
                              <w:rPr>
                                <w:rFonts w:ascii="Segoe UI" w:eastAsia="Segoe UI" w:hAnsi="Segoe UI" w:cs="Segoe UI"/>
                                <w:b/>
                                <w:color w:val="008080"/>
                                <w:kern w:val="24"/>
                                <w:sz w:val="20"/>
                                <w:vertAlign w:val="superscript"/>
                                <w:lang w:val="en-US"/>
                              </w:rPr>
                              <w:t>1</w:t>
                            </w: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29919F" id="Rectangle 7" o:spid="_x0000_s1035" style="position:absolute;margin-left:-3.55pt;margin-top:6.1pt;width:336.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ZMtwIAAMIFAAAOAAAAZHJzL2Uyb0RvYy54bWysVNtu2zAMfR+wfxD07vpSO76gTtHGcTGg&#10;24p1+wDFlmNhtuRJSpx22L+PkpM0aV+GbX4QRIkmzyGPeHW96zu0pVIxwXPsX3gYUV6JmvF1jr99&#10;LZ0EI6UJr0knOM3xE1X4ev7+3dU4ZDQQrehqKhEE4Sobhxy3Wg+Z66qqpT1RF2KgHC4bIXuiwZRr&#10;t5ZkhOh95waeN3NHIetBiooqBafFdInnNn7T0Ep/bhpFNepyDNi0XaVdV2Z151ckW0sytKzawyB/&#10;gaInjEPSY6iCaII2kr0J1bNKCiUafVGJ3hVNwypqOQAb33vF5rElA7VcoDhqOJZJ/b+w1aftg0Ss&#10;znEceUkY+94MI056aNUXKB7h646i2JRpHFQG3o/DgzRE1XAvqu8KcXEnoW++cXHPfIyhwButxo+i&#10;hoBko4Ut0q6RvYkB9NHO9uLp2Au606iCwzCIQz+JMKrg7jJIo1lkU5Ds8Pcglb6jokdmk2MJcG10&#10;sr1X2qAh2cHFJOOiZF1n+93xswNwnE6oFcz0N8kACWyNp8Fkm/kz9dJlskxCJwxmSyf0isK5KReh&#10;Myv9OCoui8Wi8H8ZFH6YtayuKTdJD8Lywz9r3F7ikySO0lKiY7UJZyApuV4tOom2BIRd2m9fnhM3&#10;9xyGLQlweUXJD0LvNkidcpbETliGkZPGXuJ4fnqbzrwwDYvynNI94/TfKaExx2kURLZnJ6BfcfPs&#10;95YbyXqmYXR0rM9xcnQiWUtJveS1bbQmrJv2J6Uw8F9KAc0/NNrK1yh2ErverXb2ZaQmu1HzStRP&#10;oGcpQG4wTGDswaYV8hmjEUZIjtWPDZEUo+4DhzcaRrEPr0mfGvLUWJ0ahFcQKseVlhhNxkJPk2oz&#10;SLZuIZdvi8XFDbykhlmRv+Davz8YFJbdfqiZSXRqW6+X0Tv/DQAA//8DAFBLAwQUAAYACAAAACEA&#10;+RQiTNwAAAAIAQAADwAAAGRycy9kb3ducmV2LnhtbEyPwU7DMBBE70j8g7VI3FonVuVUIU4FAY4c&#10;aOndibdxRGxHsdumf89ygtvuzmj2TbVb3MguOMcheAX5OgOGvgtm8L2Cr8P7agssJu2NHoNHBTeM&#10;sKvv7ypdmnD1n3jZp55RiI+lVmBTmkrOY2fR6bgOE3rSTmF2OtE699zM+krhbuQiyyR3evD0weoJ&#10;G4vd9/7sFLye2hdhl2PTHG7HD7kVxZvcFEo9PizPT8ASLunPDL/4hA41MbXh7E1ko4JVkZOT7kIA&#10;I11KSd1aGjY58Lri/wvUPwAAAP//AwBQSwECLQAUAAYACAAAACEAtoM4kv4AAADhAQAAEwAAAAAA&#10;AAAAAAAAAAAAAAAAW0NvbnRlbnRfVHlwZXNdLnhtbFBLAQItABQABgAIAAAAIQA4/SH/1gAAAJQB&#10;AAALAAAAAAAAAAAAAAAAAC8BAABfcmVscy8ucmVsc1BLAQItABQABgAIAAAAIQCbXuZMtwIAAMIF&#10;AAAOAAAAAAAAAAAAAAAAAC4CAABkcnMvZTJvRG9jLnhtbFBLAQItABQABgAIAAAAIQD5FCJM3AAA&#10;AAgBAAAPAAAAAAAAAAAAAAAAABEFAABkcnMvZG93bnJldi54bWxQSwUGAAAAAAQABADzAAAAGgYA&#10;AAAA&#10;" filled="f" stroked="f">
                <v:path arrowok="t"/>
                <o:lock v:ext="edit" grouping="t"/>
                <v:textbox inset="1.2699mm,1.2699mm,1.2699mm,1.2699mm">
                  <w:txbxContent>
                    <w:p w:rsidR="00817D20" w:rsidRPr="00705BB6" w:rsidRDefault="00817D20"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r w:rsidRPr="00705BB6">
                        <w:rPr>
                          <w:rFonts w:ascii="Segoe UI" w:eastAsia="Segoe UI" w:hAnsi="Segoe UI" w:cs="Segoe UI"/>
                          <w:b/>
                          <w:color w:val="008080"/>
                          <w:kern w:val="24"/>
                          <w:sz w:val="20"/>
                          <w:vertAlign w:val="superscript"/>
                          <w:lang w:val="en-US"/>
                        </w:rPr>
                        <w:t>1</w:t>
                      </w: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E335A" w:rsidRDefault="00817D20" w:rsidP="00E55AED">
                      <w:pPr>
                        <w:kinsoku w:val="0"/>
                        <w:overflowPunct w:val="0"/>
                        <w:spacing w:before="40"/>
                        <w:ind w:left="547" w:hanging="547"/>
                        <w:textAlignment w:val="baseline"/>
                        <w:rPr>
                          <w:rFonts w:ascii="Segoe UI" w:eastAsia="Segoe UI" w:hAnsi="Segoe UI" w:cs="Segoe UI"/>
                          <w:b/>
                          <w:color w:val="008080"/>
                          <w:kern w:val="24"/>
                          <w:sz w:val="18"/>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D46FEC" w:rsidRDefault="00817D20" w:rsidP="00E55AED">
                      <w:pPr>
                        <w:kinsoku w:val="0"/>
                        <w:overflowPunct w:val="0"/>
                        <w:spacing w:before="40"/>
                        <w:ind w:left="547" w:hanging="547"/>
                        <w:textAlignment w:val="baseline"/>
                        <w:rPr>
                          <w:rFonts w:ascii="Segoe UI" w:eastAsia="Segoe UI" w:hAnsi="Segoe UI" w:cs="Segoe UI"/>
                          <w:b/>
                          <w:color w:val="008080"/>
                          <w:kern w:val="24"/>
                          <w:sz w:val="16"/>
                        </w:rPr>
                      </w:pPr>
                    </w:p>
                    <w:p w:rsidR="00817D20" w:rsidRPr="00FE1137" w:rsidRDefault="00817D20" w:rsidP="00E55AED">
                      <w:pPr>
                        <w:kinsoku w:val="0"/>
                        <w:overflowPunct w:val="0"/>
                        <w:spacing w:before="40"/>
                        <w:ind w:left="547" w:hanging="547"/>
                        <w:textAlignment w:val="baseline"/>
                        <w:rPr>
                          <w:b/>
                          <w:color w:val="008080"/>
                          <w:sz w:val="16"/>
                        </w:rPr>
                      </w:pPr>
                    </w:p>
                  </w:txbxContent>
                </v:textbox>
              </v:rect>
            </w:pict>
          </mc:Fallback>
        </mc:AlternateContent>
      </w:r>
    </w:p>
    <w:p w:rsidR="00E55AED" w:rsidRPr="0098297F" w:rsidRDefault="00346A53" w:rsidP="00E55AED">
      <w:pPr>
        <w:textAlignment w:val="baseline"/>
        <w:rPr>
          <w:rFonts w:ascii="Segoe UI" w:eastAsia="Times New Roman" w:hAnsi="Segoe UI" w:cs="Segoe UI"/>
          <w:color w:val="000000" w:themeColor="text1"/>
          <w:kern w:val="24"/>
          <w:sz w:val="12"/>
          <w:szCs w:val="10"/>
          <w:lang w:eastAsia="el-GR"/>
        </w:rPr>
      </w:pPr>
      <w:r>
        <w:rPr>
          <w:rFonts w:ascii="Segoe UI" w:hAnsi="Segoe UI" w:cs="Segoe UI"/>
          <w:noProof/>
          <w:lang w:eastAsia="el-GR"/>
        </w:rPr>
        <mc:AlternateContent>
          <mc:Choice Requires="wps">
            <w:drawing>
              <wp:anchor distT="0" distB="0" distL="114300" distR="114300" simplePos="0" relativeHeight="251658752" behindDoc="0" locked="0" layoutInCell="1" allowOverlap="1" wp14:anchorId="7BCFF7FD" wp14:editId="7469ABA1">
                <wp:simplePos x="0" y="0"/>
                <wp:positionH relativeFrom="column">
                  <wp:posOffset>2735580</wp:posOffset>
                </wp:positionH>
                <wp:positionV relativeFrom="paragraph">
                  <wp:posOffset>98425</wp:posOffset>
                </wp:positionV>
                <wp:extent cx="612000" cy="2574000"/>
                <wp:effectExtent l="0" t="0" r="17145" b="17145"/>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5740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4E26D3B9" id="Rounded Rectangle 18" o:spid="_x0000_s1026" style="position:absolute;margin-left:215.4pt;margin-top:7.75pt;width:48.2pt;height:20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QG0QEAAI4DAAAOAAAAZHJzL2Uyb0RvYy54bWysU8tu2zAQvBfoPxC817IMOw/Bcg413EvQ&#10;Bkn7AWuSkojyBS5j2X/fJS07TXsreiG43NHszuxq/XC0hh1URO1dy+vZnDPlhJfa9S3/8X336Y4z&#10;TOAkGO9Uy08K+cPm44f1GBq18IM3UkVGJA6bMbR8SCk0VYViUBZw5oNylOx8tJAojH0lI4zEbk21&#10;mM9vqtFHGaIXCpFet+ck3xT+rlMifes6VImZllNvqZyxnPt8Vps1NH2EMGgxtQH/0IUF7ajolWoL&#10;Cdhr1H9RWS2iR9+lmfC28l2nhSoaSE09/0PNywBBFS1kDoarTfj/aMXXw1NkWrZ8ec+ZA0szevav&#10;TirJnsk9cL1RrL7LRo0BG8K/hKeYpWJ49OInUqJ6l8kBTphjF23GklB2LK6frq6rY2KCHm9qGiTN&#10;RlBqsbpd5iCTQnP5OkRMX5S3LF9aHnN/ubniOBweMZ3xF1yu6PxOG0Pv0BjHxpbfrxYrKgK0ZJ2B&#10;RFcbSDa6njMwPW2vSLEwojda5q+LytjvP5vIDkAbtNvdLuvV1N07WC69BRzOuJKaYMZlGlV2cer0&#10;zaF823t5ohmAE4OnzcxdXDyloRcjpgXNW/V7XJx/+402vwAAAP//AwBQSwMEFAAGAAgAAAAhAOdO&#10;nAvgAAAACgEAAA8AAABkcnMvZG93bnJldi54bWxMj0FOwzAQRfdI3MEaJHbUriGQhjgVooAQSEhN&#10;ewA3NnFEPI5itw09PcMKlqP39f+bcjn5nh3sGLuACuYzAcxiE0yHrYLt5vkqBxaTRqP7gFbBt42w&#10;rM7PSl2YcMS1PdSpZVSCsdAKXEpDwXlsnPU6zsJgkdhnGL1OdI4tN6M+UrnvuRTilnvdIS04PdhH&#10;Z5uveu8VrLa5M6unmL+/vjUfi9P85VRnUqnLi+nhHliyU/oLw68+qUNFTruwRxNZr+DmWpB6IpBl&#10;wCiQyTsJbEdEigXwquT/X6h+AAAA//8DAFBLAQItABQABgAIAAAAIQC2gziS/gAAAOEBAAATAAAA&#10;AAAAAAAAAAAAAAAAAABbQ29udGVudF9UeXBlc10ueG1sUEsBAi0AFAAGAAgAAAAhADj9If/WAAAA&#10;lAEAAAsAAAAAAAAAAAAAAAAALwEAAF9yZWxzLy5yZWxzUEsBAi0AFAAGAAgAAAAhAKJvtAbRAQAA&#10;jgMAAA4AAAAAAAAAAAAAAAAALgIAAGRycy9lMm9Eb2MueG1sUEsBAi0AFAAGAAgAAAAhAOdOnAvg&#10;AAAACgEAAA8AAAAAAAAAAAAAAAAAKwQAAGRycy9kb3ducmV2LnhtbFBLBQYAAAAABAAEAPMAAAA4&#10;BQAAAAA=&#10;" filled="f" strokecolor="#ff7415">
                <v:path arrowok="t"/>
              </v:roundrect>
            </w:pict>
          </mc:Fallback>
        </mc:AlternateContent>
      </w:r>
    </w:p>
    <w:tbl>
      <w:tblPr>
        <w:tblW w:w="4998" w:type="pct"/>
        <w:tblCellMar>
          <w:left w:w="0" w:type="dxa"/>
          <w:right w:w="0" w:type="dxa"/>
        </w:tblCellMar>
        <w:tblLook w:val="0420" w:firstRow="1" w:lastRow="0" w:firstColumn="0" w:lastColumn="0" w:noHBand="0" w:noVBand="1"/>
      </w:tblPr>
      <w:tblGrid>
        <w:gridCol w:w="4310"/>
        <w:gridCol w:w="981"/>
        <w:gridCol w:w="981"/>
        <w:gridCol w:w="981"/>
        <w:gridCol w:w="981"/>
        <w:gridCol w:w="981"/>
        <w:gridCol w:w="979"/>
      </w:tblGrid>
      <w:tr w:rsidR="00E32984" w:rsidRPr="0098297F" w:rsidTr="0000442E">
        <w:trPr>
          <w:trHeight w:val="289"/>
        </w:trPr>
        <w:tc>
          <w:tcPr>
            <w:tcW w:w="2114"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E32984" w:rsidRPr="0098297F" w:rsidRDefault="00E32984" w:rsidP="00E32984">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81"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1"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Οικονομικό Έτος</w:t>
            </w:r>
            <w:r w:rsidRPr="00E95FD5">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19</w:t>
            </w:r>
            <w:r w:rsidRPr="00E95FD5">
              <w:rPr>
                <w:rFonts w:ascii="Segoe UI" w:eastAsia="Times New Roman" w:hAnsi="Segoe UI" w:cs="Segoe UI"/>
                <w:b/>
                <w:bCs/>
                <w:color w:val="000000" w:themeColor="text1"/>
                <w:kern w:val="24"/>
                <w:sz w:val="14"/>
                <w:szCs w:val="14"/>
                <w:lang w:eastAsia="el-GR"/>
              </w:rPr>
              <w:t xml:space="preserve"> </w:t>
            </w:r>
          </w:p>
        </w:tc>
        <w:tc>
          <w:tcPr>
            <w:tcW w:w="481" w:type="pct"/>
            <w:tcBorders>
              <w:top w:val="single" w:sz="8" w:space="0" w:color="000000"/>
              <w:left w:val="nil"/>
              <w:bottom w:val="single" w:sz="8" w:space="0" w:color="000000"/>
              <w:right w:val="nil"/>
            </w:tcBorders>
            <w:vAlign w:val="center"/>
          </w:tcPr>
          <w:p w:rsidR="00E32984" w:rsidRPr="00E95FD5" w:rsidRDefault="00E32984" w:rsidP="00E32984">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1"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Δ</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1" w:type="pct"/>
            <w:tcBorders>
              <w:top w:val="single" w:sz="8" w:space="0" w:color="000000"/>
              <w:left w:val="nil"/>
              <w:bottom w:val="single" w:sz="8" w:space="0" w:color="000000"/>
              <w:right w:val="nil"/>
            </w:tcBorders>
            <w:vAlign w:val="center"/>
          </w:tcPr>
          <w:p w:rsidR="00E32984" w:rsidRPr="00E95FD5" w:rsidRDefault="00E32984" w:rsidP="00E32984">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Γ</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E32984" w:rsidRPr="00E95FD5" w:rsidRDefault="00E32984" w:rsidP="00E32984">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377D4B" w:rsidRPr="0098297F" w:rsidTr="00E8454D">
        <w:trPr>
          <w:trHeight w:val="113"/>
        </w:trPr>
        <w:tc>
          <w:tcPr>
            <w:tcW w:w="2114"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81" w:type="pct"/>
            <w:tcBorders>
              <w:top w:val="single" w:sz="8" w:space="0" w:color="000000"/>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62 </w:t>
            </w:r>
          </w:p>
        </w:tc>
        <w:tc>
          <w:tcPr>
            <w:tcW w:w="481" w:type="pct"/>
            <w:tcBorders>
              <w:top w:val="single" w:sz="8" w:space="0" w:color="000000"/>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67 </w:t>
            </w:r>
          </w:p>
        </w:tc>
        <w:tc>
          <w:tcPr>
            <w:tcW w:w="481" w:type="pct"/>
            <w:tcBorders>
              <w:top w:val="single" w:sz="8" w:space="0" w:color="000000"/>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-7%</w:t>
            </w:r>
          </w:p>
        </w:tc>
        <w:tc>
          <w:tcPr>
            <w:tcW w:w="481" w:type="pct"/>
            <w:tcBorders>
              <w:top w:val="single" w:sz="8" w:space="0" w:color="000000"/>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18 </w:t>
            </w:r>
          </w:p>
        </w:tc>
        <w:tc>
          <w:tcPr>
            <w:tcW w:w="481" w:type="pct"/>
            <w:tcBorders>
              <w:top w:val="single" w:sz="8" w:space="0" w:color="000000"/>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15 </w:t>
            </w:r>
          </w:p>
        </w:tc>
        <w:tc>
          <w:tcPr>
            <w:tcW w:w="480" w:type="pct"/>
            <w:tcBorders>
              <w:top w:val="single" w:sz="8" w:space="0" w:color="000000"/>
              <w:left w:val="nil"/>
              <w:bottom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25%</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12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14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-14%</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3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3 </w:t>
            </w:r>
          </w:p>
        </w:tc>
        <w:tc>
          <w:tcPr>
            <w:tcW w:w="480" w:type="pct"/>
            <w:tcBorders>
              <w:top w:val="nil"/>
              <w:left w:val="nil"/>
              <w:bottom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3%</w:t>
            </w:r>
          </w:p>
        </w:tc>
      </w:tr>
      <w:tr w:rsidR="00377D4B" w:rsidRPr="0098297F" w:rsidTr="00E8454D">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74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81 </w:t>
            </w:r>
          </w:p>
        </w:tc>
        <w:tc>
          <w:tcPr>
            <w:tcW w:w="481" w:type="pct"/>
            <w:tcBorders>
              <w:top w:val="nil"/>
              <w:left w:val="nil"/>
              <w:bottom w:val="nil"/>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-8%</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21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18 </w:t>
            </w:r>
          </w:p>
        </w:tc>
        <w:tc>
          <w:tcPr>
            <w:tcW w:w="480" w:type="pct"/>
            <w:tcBorders>
              <w:top w:val="nil"/>
              <w:left w:val="nil"/>
              <w:bottom w:val="nil"/>
            </w:tcBorders>
            <w:shd w:val="clear" w:color="000000" w:fill="F2F2F2"/>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21%</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πράξεις και λοιπά έσοδα</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(0)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(5)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-91%</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0" w:type="pct"/>
            <w:tcBorders>
              <w:top w:val="nil"/>
              <w:left w:val="nil"/>
              <w:bottom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-69%</w:t>
            </w:r>
          </w:p>
        </w:tc>
      </w:tr>
      <w:tr w:rsidR="00377D4B" w:rsidRPr="0098297F" w:rsidTr="00E8454D">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74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77 </w:t>
            </w:r>
          </w:p>
        </w:tc>
        <w:tc>
          <w:tcPr>
            <w:tcW w:w="481" w:type="pct"/>
            <w:tcBorders>
              <w:top w:val="nil"/>
              <w:left w:val="nil"/>
              <w:bottom w:val="nil"/>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-4%</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21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16 </w:t>
            </w:r>
          </w:p>
        </w:tc>
        <w:tc>
          <w:tcPr>
            <w:tcW w:w="480" w:type="pct"/>
            <w:tcBorders>
              <w:top w:val="nil"/>
              <w:left w:val="nil"/>
              <w:bottom w:val="nil"/>
            </w:tcBorders>
            <w:shd w:val="clear" w:color="000000" w:fill="F2F2F2"/>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30%</w:t>
            </w:r>
          </w:p>
        </w:tc>
      </w:tr>
      <w:tr w:rsidR="00377D4B" w:rsidRPr="0098297F" w:rsidTr="00E8454D">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(46)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(42) </w:t>
            </w:r>
          </w:p>
        </w:tc>
        <w:tc>
          <w:tcPr>
            <w:tcW w:w="481" w:type="pct"/>
            <w:tcBorders>
              <w:top w:val="nil"/>
              <w:left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9%</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(11)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(11) </w:t>
            </w:r>
          </w:p>
        </w:tc>
        <w:tc>
          <w:tcPr>
            <w:tcW w:w="480" w:type="pct"/>
            <w:tcBorders>
              <w:top w:val="nil"/>
              <w:left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3%</w:t>
            </w:r>
          </w:p>
        </w:tc>
      </w:tr>
      <w:tr w:rsidR="00377D4B" w:rsidRPr="0098297F" w:rsidTr="00E8454D">
        <w:trPr>
          <w:trHeight w:val="113"/>
        </w:trPr>
        <w:tc>
          <w:tcPr>
            <w:tcW w:w="2114"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28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39 </w:t>
            </w:r>
          </w:p>
        </w:tc>
        <w:tc>
          <w:tcPr>
            <w:tcW w:w="481" w:type="pct"/>
            <w:tcBorders>
              <w:top w:val="nil"/>
              <w:left w:val="nil"/>
              <w:bottom w:val="nil"/>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-27%</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10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7 </w:t>
            </w:r>
          </w:p>
        </w:tc>
        <w:tc>
          <w:tcPr>
            <w:tcW w:w="480" w:type="pct"/>
            <w:tcBorders>
              <w:top w:val="nil"/>
              <w:left w:val="nil"/>
              <w:bottom w:val="nil"/>
            </w:tcBorders>
            <w:shd w:val="clear" w:color="000000" w:fill="F2F2F2"/>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51%</w:t>
            </w:r>
          </w:p>
        </w:tc>
      </w:tr>
      <w:tr w:rsidR="00377D4B" w:rsidRPr="0098297F" w:rsidTr="00E8454D">
        <w:trPr>
          <w:trHeight w:val="113"/>
        </w:trPr>
        <w:tc>
          <w:tcPr>
            <w:tcW w:w="2114"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28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34 </w:t>
            </w:r>
          </w:p>
        </w:tc>
        <w:tc>
          <w:tcPr>
            <w:tcW w:w="481" w:type="pct"/>
            <w:tcBorders>
              <w:top w:val="nil"/>
              <w:left w:val="nil"/>
              <w:bottom w:val="nil"/>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-18%</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10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5 </w:t>
            </w:r>
          </w:p>
        </w:tc>
        <w:tc>
          <w:tcPr>
            <w:tcW w:w="480" w:type="pct"/>
            <w:tcBorders>
              <w:top w:val="nil"/>
              <w:left w:val="nil"/>
              <w:bottom w:val="nil"/>
            </w:tcBorders>
            <w:shd w:val="clear" w:color="000000" w:fill="F2F2F2"/>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88%</w:t>
            </w:r>
          </w:p>
        </w:tc>
      </w:tr>
      <w:tr w:rsidR="00377D4B" w:rsidRPr="0098297F" w:rsidTr="00E8454D">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(11)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(37) </w:t>
            </w:r>
          </w:p>
        </w:tc>
        <w:tc>
          <w:tcPr>
            <w:tcW w:w="481" w:type="pct"/>
            <w:tcBorders>
              <w:top w:val="nil"/>
              <w:left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-71%</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(6)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(3) </w:t>
            </w:r>
          </w:p>
        </w:tc>
        <w:tc>
          <w:tcPr>
            <w:tcW w:w="480" w:type="pct"/>
            <w:tcBorders>
              <w:top w:val="nil"/>
              <w:left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100%</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17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(3) </w:t>
            </w:r>
          </w:p>
        </w:tc>
        <w:tc>
          <w:tcPr>
            <w:tcW w:w="481" w:type="pct"/>
            <w:tcBorders>
              <w:top w:val="nil"/>
              <w:left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3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 </w:t>
            </w:r>
          </w:p>
        </w:tc>
        <w:tc>
          <w:tcPr>
            <w:tcW w:w="480" w:type="pct"/>
            <w:tcBorders>
              <w:top w:val="nil"/>
              <w:left w:val="nil"/>
            </w:tcBorders>
            <w:tcMar>
              <w:top w:w="15" w:type="dxa"/>
              <w:left w:w="15" w:type="dxa"/>
              <w:bottom w:w="0" w:type="dxa"/>
              <w:right w:w="78"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70%</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tcPr>
          <w:p w:rsidR="00377D4B" w:rsidRPr="00C62FEB" w:rsidRDefault="00377D4B" w:rsidP="00377D4B">
            <w:pPr>
              <w:textAlignment w:val="center"/>
              <w:rPr>
                <w:rFonts w:ascii="Segoe UI" w:eastAsia="Segoe UI" w:hAnsi="Segoe UI" w:cs="Segoe UI"/>
                <w:b/>
                <w:bCs/>
                <w:color w:val="000000"/>
                <w:kern w:val="24"/>
                <w:sz w:val="14"/>
                <w:szCs w:val="14"/>
                <w:lang w:eastAsia="el-GR"/>
              </w:rPr>
            </w:pPr>
            <w:r w:rsidRPr="00AF683D">
              <w:rPr>
                <w:rFonts w:ascii="Segoe UI" w:eastAsia="Segoe UI" w:hAnsi="Segoe UI" w:cs="Segoe UI"/>
                <w:b/>
                <w:bCs/>
                <w:color w:val="000000"/>
                <w:kern w:val="24"/>
                <w:sz w:val="14"/>
                <w:szCs w:val="14"/>
                <w:lang w:eastAsia="el-GR"/>
              </w:rPr>
              <w:t>Οργανικά κέρδη / (ζημίες)</w:t>
            </w:r>
          </w:p>
        </w:tc>
        <w:tc>
          <w:tcPr>
            <w:tcW w:w="481" w:type="pct"/>
            <w:tcBorders>
              <w:top w:val="nil"/>
              <w:bottom w:val="nil"/>
            </w:tcBorders>
            <w:shd w:val="clear" w:color="auto" w:fill="F2F2F2" w:themeFill="background1" w:themeFillShade="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(11) </w:t>
            </w:r>
          </w:p>
        </w:tc>
        <w:tc>
          <w:tcPr>
            <w:tcW w:w="481" w:type="pct"/>
            <w:tcBorders>
              <w:top w:val="nil"/>
              <w:bottom w:val="nil"/>
            </w:tcBorders>
            <w:shd w:val="clear" w:color="auto" w:fill="F2F2F2" w:themeFill="background1" w:themeFillShade="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(80) </w:t>
            </w:r>
          </w:p>
        </w:tc>
        <w:tc>
          <w:tcPr>
            <w:tcW w:w="481" w:type="pct"/>
            <w:tcBorders>
              <w:top w:val="nil"/>
              <w:bottom w:val="nil"/>
            </w:tcBorders>
            <w:shd w:val="clear" w:color="auto" w:fill="F2F2F2" w:themeFill="background1" w:themeFillShade="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-86%</w:t>
            </w:r>
          </w:p>
        </w:tc>
        <w:tc>
          <w:tcPr>
            <w:tcW w:w="481" w:type="pct"/>
            <w:tcBorders>
              <w:top w:val="nil"/>
              <w:bottom w:val="nil"/>
            </w:tcBorders>
            <w:shd w:val="clear" w:color="auto" w:fill="F2F2F2" w:themeFill="background1" w:themeFillShade="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4 </w:t>
            </w:r>
          </w:p>
        </w:tc>
        <w:tc>
          <w:tcPr>
            <w:tcW w:w="481" w:type="pct"/>
            <w:tcBorders>
              <w:top w:val="nil"/>
              <w:bottom w:val="nil"/>
            </w:tcBorders>
            <w:shd w:val="clear" w:color="auto" w:fill="F2F2F2" w:themeFill="background1" w:themeFillShade="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4 </w:t>
            </w:r>
          </w:p>
        </w:tc>
        <w:tc>
          <w:tcPr>
            <w:tcW w:w="480" w:type="pct"/>
            <w:tcBorders>
              <w:top w:val="nil"/>
              <w:bottom w:val="nil"/>
            </w:tcBorders>
            <w:shd w:val="clear" w:color="auto" w:fill="F2F2F2" w:themeFill="background1" w:themeFillShade="F2"/>
            <w:tcMar>
              <w:top w:w="15" w:type="dxa"/>
              <w:left w:w="15" w:type="dxa"/>
              <w:bottom w:w="0" w:type="dxa"/>
              <w:right w:w="78" w:type="dxa"/>
            </w:tcMar>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8%</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8F3901">
              <w:rPr>
                <w:rFonts w:ascii="Segoe UI" w:eastAsia="Segoe UI" w:hAnsi="Segoe UI" w:cs="Segoe UI"/>
                <w:color w:val="000000"/>
                <w:kern w:val="24"/>
                <w:sz w:val="14"/>
                <w:szCs w:val="14"/>
                <w:lang w:eastAsia="el-GR"/>
              </w:rPr>
              <w:t>Λοιπές προβλέψεις / αντιλογισμός προβλέψεων</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(0)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-95%</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(0) </w:t>
            </w:r>
          </w:p>
        </w:tc>
        <w:tc>
          <w:tcPr>
            <w:tcW w:w="480" w:type="pct"/>
            <w:tcBorders>
              <w:top w:val="nil"/>
              <w:left w:val="nil"/>
              <w:bottom w:val="nil"/>
            </w:tcBorders>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&gt;100%</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1153F" w:rsidRDefault="00377D4B" w:rsidP="00377D4B">
            <w:pPr>
              <w:textAlignment w:val="center"/>
              <w:rPr>
                <w:rFonts w:ascii="Segoe UI" w:eastAsia="Times New Roman" w:hAnsi="Segoe UI" w:cs="Segoe UI"/>
                <w:b/>
                <w:sz w:val="14"/>
                <w:szCs w:val="14"/>
                <w:lang w:eastAsia="el-GR"/>
              </w:rPr>
            </w:pPr>
            <w:r w:rsidRPr="00C1153F">
              <w:rPr>
                <w:rFonts w:ascii="Segoe UI" w:eastAsia="Segoe UI" w:hAnsi="Segoe UI" w:cs="Segoe UI"/>
                <w:b/>
                <w:color w:val="000000"/>
                <w:kern w:val="24"/>
                <w:sz w:val="14"/>
                <w:szCs w:val="14"/>
                <w:lang w:eastAsia="el-GR"/>
              </w:rPr>
              <w:t>Κέρδη / (ζημίες) προ φόρων</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17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(5)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3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 </w:t>
            </w:r>
          </w:p>
        </w:tc>
        <w:tc>
          <w:tcPr>
            <w:tcW w:w="480" w:type="pct"/>
            <w:tcBorders>
              <w:top w:val="nil"/>
              <w:left w:val="nil"/>
              <w:bottom w:val="nil"/>
            </w:tcBorders>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56%</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(6)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&gt;100%</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 </w:t>
            </w:r>
          </w:p>
        </w:tc>
        <w:tc>
          <w:tcPr>
            <w:tcW w:w="480" w:type="pct"/>
            <w:tcBorders>
              <w:top w:val="nil"/>
              <w:left w:val="nil"/>
              <w:bottom w:val="nil"/>
            </w:tcBorders>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-55%</w:t>
            </w:r>
          </w:p>
        </w:tc>
      </w:tr>
      <w:tr w:rsidR="00377D4B" w:rsidRPr="0098297F" w:rsidTr="00E8454D">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Κέρδη / (ζημίες) </w:t>
            </w:r>
            <w:r w:rsidRPr="00F5406B">
              <w:rPr>
                <w:rFonts w:ascii="Segoe UI" w:eastAsia="Segoe UI" w:hAnsi="Segoe UI" w:cs="Segoe UI"/>
                <w:b/>
                <w:bCs/>
                <w:color w:val="000000"/>
                <w:kern w:val="24"/>
                <w:sz w:val="14"/>
                <w:szCs w:val="14"/>
                <w:lang w:eastAsia="el-GR"/>
              </w:rPr>
              <w:t xml:space="preserve">μετά από φόρους </w:t>
            </w:r>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συνεχ</w:t>
            </w:r>
            <w:proofErr w:type="spellEnd"/>
            <w:r>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μενες</w:t>
            </w:r>
            <w:proofErr w:type="spellEnd"/>
            <w:r w:rsidRPr="00C62FEB">
              <w:rPr>
                <w:rFonts w:ascii="Segoe UI" w:eastAsia="Segoe UI" w:hAnsi="Segoe UI" w:cs="Segoe UI"/>
                <w:b/>
                <w:bCs/>
                <w:color w:val="000000"/>
                <w:kern w:val="24"/>
                <w:sz w:val="14"/>
                <w:szCs w:val="14"/>
                <w:lang w:eastAsia="el-GR"/>
              </w:rPr>
              <w:t xml:space="preserve"> </w:t>
            </w:r>
            <w:proofErr w:type="spellStart"/>
            <w:r w:rsidRPr="00C62FEB">
              <w:rPr>
                <w:rFonts w:ascii="Segoe UI" w:eastAsia="Segoe UI" w:hAnsi="Segoe UI" w:cs="Segoe UI"/>
                <w:b/>
                <w:bCs/>
                <w:color w:val="000000"/>
                <w:kern w:val="24"/>
                <w:sz w:val="14"/>
                <w:szCs w:val="14"/>
                <w:lang w:eastAsia="el-GR"/>
              </w:rPr>
              <w:t>δραστ</w:t>
            </w:r>
            <w:proofErr w:type="spellEnd"/>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τητες</w:t>
            </w:r>
            <w:proofErr w:type="spellEnd"/>
            <w:r w:rsidRPr="00C62FEB">
              <w:rPr>
                <w:rFonts w:ascii="Segoe UI" w:eastAsia="Segoe UI" w:hAnsi="Segoe UI" w:cs="Segoe UI"/>
                <w:b/>
                <w:bCs/>
                <w:color w:val="000000"/>
                <w:kern w:val="24"/>
                <w:sz w:val="14"/>
                <w:szCs w:val="14"/>
                <w:lang w:eastAsia="el-GR"/>
              </w:rPr>
              <w:t>)</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11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(8) </w:t>
            </w:r>
          </w:p>
        </w:tc>
        <w:tc>
          <w:tcPr>
            <w:tcW w:w="481" w:type="pct"/>
            <w:tcBorders>
              <w:top w:val="nil"/>
              <w:left w:val="nil"/>
              <w:bottom w:val="nil"/>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 </w:t>
            </w:r>
          </w:p>
        </w:tc>
        <w:tc>
          <w:tcPr>
            <w:tcW w:w="481" w:type="pct"/>
            <w:tcBorders>
              <w:top w:val="nil"/>
              <w:left w:val="nil"/>
              <w:bottom w:val="nil"/>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1 </w:t>
            </w:r>
          </w:p>
        </w:tc>
        <w:tc>
          <w:tcPr>
            <w:tcW w:w="480" w:type="pct"/>
            <w:tcBorders>
              <w:top w:val="nil"/>
              <w:left w:val="nil"/>
              <w:bottom w:val="nil"/>
            </w:tcBorders>
            <w:shd w:val="clear" w:color="000000" w:fill="F2F2F2"/>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sidRPr="00377D4B">
              <w:rPr>
                <w:rFonts w:ascii="Segoe UI" w:hAnsi="Segoe UI" w:cs="Segoe UI"/>
                <w:b/>
                <w:i/>
                <w:sz w:val="14"/>
                <w:szCs w:val="16"/>
                <w:lang w:val="en-US"/>
              </w:rPr>
              <w:t>&gt;100%</w:t>
            </w:r>
          </w:p>
        </w:tc>
      </w:tr>
      <w:tr w:rsidR="00377D4B" w:rsidRPr="0098297F" w:rsidTr="00E8454D">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77D4B" w:rsidRPr="00C62FEB" w:rsidRDefault="00377D4B" w:rsidP="00680A05">
            <w:pPr>
              <w:textAlignment w:val="center"/>
              <w:rPr>
                <w:rFonts w:ascii="Segoe UI" w:eastAsia="Times New Roman" w:hAnsi="Segoe UI" w:cs="Segoe UI"/>
                <w:sz w:val="14"/>
                <w:szCs w:val="14"/>
                <w:lang w:eastAsia="el-GR"/>
              </w:rPr>
            </w:pPr>
            <w:r w:rsidRPr="00C62FEB">
              <w:rPr>
                <w:rFonts w:ascii="Segoe UI" w:eastAsia="Segoe UI" w:hAnsi="Segoe UI" w:cs="Segoe UI"/>
                <w:bCs/>
                <w:color w:val="000000"/>
                <w:kern w:val="24"/>
                <w:sz w:val="14"/>
                <w:szCs w:val="14"/>
                <w:lang w:eastAsia="el-GR"/>
              </w:rPr>
              <w:t xml:space="preserve">Κέρδη / (ζημίες) </w:t>
            </w:r>
            <w:r w:rsidRPr="00F5406B">
              <w:rPr>
                <w:rFonts w:ascii="Segoe UI" w:eastAsia="Segoe UI" w:hAnsi="Segoe UI" w:cs="Segoe UI"/>
                <w:bCs/>
                <w:color w:val="000000"/>
                <w:kern w:val="24"/>
                <w:sz w:val="14"/>
                <w:szCs w:val="14"/>
                <w:lang w:eastAsia="el-GR"/>
              </w:rPr>
              <w:t xml:space="preserve">μετά από φόρους </w:t>
            </w:r>
            <w:r w:rsidRPr="00C62FEB">
              <w:rPr>
                <w:rFonts w:ascii="Segoe UI" w:eastAsia="Segoe UI" w:hAnsi="Segoe UI" w:cs="Segoe UI"/>
                <w:bCs/>
                <w:color w:val="000000"/>
                <w:kern w:val="24"/>
                <w:sz w:val="14"/>
                <w:szCs w:val="14"/>
                <w:lang w:eastAsia="el-GR"/>
              </w:rPr>
              <w:t>(διακοπείσες δραστηριότητες)</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(5)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(78) </w:t>
            </w:r>
          </w:p>
        </w:tc>
        <w:tc>
          <w:tcPr>
            <w:tcW w:w="481" w:type="pct"/>
            <w:tcBorders>
              <w:top w:val="nil"/>
              <w:left w:val="nil"/>
              <w:bottom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-94%</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1" w:type="pct"/>
            <w:tcBorders>
              <w:top w:val="nil"/>
              <w:left w:val="nil"/>
              <w:bottom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0" w:type="pct"/>
            <w:tcBorders>
              <w:top w:val="nil"/>
              <w:left w:val="nil"/>
              <w:bottom w:val="nil"/>
            </w:tcBorders>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Pr>
                <w:rFonts w:ascii="Segoe UI" w:hAnsi="Segoe UI" w:cs="Segoe UI"/>
                <w:i/>
                <w:sz w:val="14"/>
                <w:szCs w:val="16"/>
                <w:lang w:val="en-US"/>
              </w:rPr>
              <w:t>--</w:t>
            </w:r>
          </w:p>
        </w:tc>
      </w:tr>
      <w:tr w:rsidR="00377D4B" w:rsidRPr="0098297F" w:rsidTr="00E8454D">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77D4B" w:rsidRPr="00C62FEB" w:rsidRDefault="00377D4B" w:rsidP="00377D4B">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Δικαιώματα μειοψηφίας</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(2) </w:t>
            </w:r>
          </w:p>
        </w:tc>
        <w:tc>
          <w:tcPr>
            <w:tcW w:w="481" w:type="pct"/>
            <w:tcBorders>
              <w:top w:val="nil"/>
              <w:left w:val="nil"/>
              <w:right w:val="nil"/>
            </w:tcBorders>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-10%</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(1) </w:t>
            </w:r>
          </w:p>
        </w:tc>
        <w:tc>
          <w:tcPr>
            <w:tcW w:w="481" w:type="pct"/>
            <w:tcBorders>
              <w:top w:val="nil"/>
              <w:left w:val="nil"/>
              <w:right w:val="nil"/>
            </w:tcBorders>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sz w:val="14"/>
                <w:szCs w:val="16"/>
                <w:lang w:val="en-US"/>
              </w:rPr>
            </w:pPr>
            <w:r w:rsidRPr="00377D4B">
              <w:rPr>
                <w:rFonts w:ascii="Segoe UI" w:hAnsi="Segoe UI" w:cs="Segoe UI"/>
                <w:sz w:val="14"/>
                <w:szCs w:val="16"/>
                <w:lang w:val="en-US"/>
              </w:rPr>
              <w:t xml:space="preserve">(0) </w:t>
            </w:r>
          </w:p>
        </w:tc>
        <w:tc>
          <w:tcPr>
            <w:tcW w:w="480" w:type="pct"/>
            <w:tcBorders>
              <w:top w:val="nil"/>
              <w:left w:val="nil"/>
            </w:tcBorders>
            <w:tcMar>
              <w:top w:w="15" w:type="dxa"/>
              <w:left w:w="15" w:type="dxa"/>
              <w:bottom w:w="0" w:type="dxa"/>
              <w:right w:w="84" w:type="dxa"/>
            </w:tcMar>
            <w:vAlign w:val="bottom"/>
            <w:hideMark/>
          </w:tcPr>
          <w:p w:rsidR="00377D4B" w:rsidRPr="00377D4B" w:rsidRDefault="00377D4B" w:rsidP="00377D4B">
            <w:pPr>
              <w:pStyle w:val="Web"/>
              <w:spacing w:before="0" w:beforeAutospacing="0" w:after="0" w:afterAutospacing="0"/>
              <w:ind w:right="148"/>
              <w:jc w:val="right"/>
              <w:textAlignment w:val="center"/>
              <w:rPr>
                <w:rFonts w:ascii="Segoe UI" w:hAnsi="Segoe UI" w:cs="Segoe UI"/>
                <w:i/>
                <w:sz w:val="14"/>
                <w:szCs w:val="16"/>
                <w:lang w:val="en-US"/>
              </w:rPr>
            </w:pPr>
            <w:r w:rsidRPr="00377D4B">
              <w:rPr>
                <w:rFonts w:ascii="Segoe UI" w:hAnsi="Segoe UI" w:cs="Segoe UI"/>
                <w:i/>
                <w:sz w:val="14"/>
                <w:szCs w:val="16"/>
                <w:lang w:val="en-US"/>
              </w:rPr>
              <w:t>25%</w:t>
            </w:r>
          </w:p>
        </w:tc>
      </w:tr>
      <w:tr w:rsidR="00377D4B" w:rsidRPr="0098297F" w:rsidTr="00E8454D">
        <w:trPr>
          <w:trHeight w:val="113"/>
        </w:trPr>
        <w:tc>
          <w:tcPr>
            <w:tcW w:w="2114" w:type="pct"/>
            <w:tcBorders>
              <w:top w:val="nil"/>
              <w:left w:val="nil"/>
              <w:bottom w:val="single" w:sz="12" w:space="0" w:color="auto"/>
              <w:right w:val="nil"/>
            </w:tcBorders>
            <w:shd w:val="clear" w:color="auto" w:fill="F2F2F2" w:themeFill="background1" w:themeFillShade="F2"/>
            <w:tcMar>
              <w:top w:w="15" w:type="dxa"/>
              <w:left w:w="42" w:type="dxa"/>
              <w:bottom w:w="0" w:type="dxa"/>
              <w:right w:w="15" w:type="dxa"/>
            </w:tcMar>
            <w:vAlign w:val="center"/>
          </w:tcPr>
          <w:p w:rsidR="00377D4B" w:rsidRPr="00AB591B" w:rsidRDefault="00377D4B" w:rsidP="00377D4B">
            <w:pPr>
              <w:jc w:val="both"/>
              <w:textAlignment w:val="center"/>
              <w:rPr>
                <w:rFonts w:ascii="Segoe UI" w:eastAsia="Segoe UI" w:hAnsi="Segoe UI" w:cs="Segoe UI"/>
                <w:color w:val="000000"/>
                <w:kern w:val="24"/>
                <w:sz w:val="14"/>
                <w:szCs w:val="14"/>
                <w:lang w:eastAsia="el-GR"/>
              </w:rPr>
            </w:pPr>
            <w:r w:rsidRPr="00AB591B">
              <w:rPr>
                <w:rFonts w:ascii="Segoe UI" w:eastAsia="Segoe UI" w:hAnsi="Segoe UI" w:cs="Segoe UI"/>
                <w:b/>
                <w:color w:val="000000"/>
                <w:kern w:val="24"/>
                <w:sz w:val="14"/>
                <w:szCs w:val="14"/>
                <w:lang w:eastAsia="el-GR"/>
              </w:rPr>
              <w:t xml:space="preserve">Κέρδη / (ζημίες) </w:t>
            </w:r>
            <w:r>
              <w:rPr>
                <w:rFonts w:ascii="Segoe UI" w:eastAsia="Segoe UI" w:hAnsi="Segoe UI" w:cs="Segoe UI"/>
                <w:b/>
                <w:color w:val="000000"/>
                <w:kern w:val="24"/>
                <w:sz w:val="14"/>
                <w:szCs w:val="14"/>
                <w:lang w:eastAsia="el-GR"/>
              </w:rPr>
              <w:t xml:space="preserve">μετά </w:t>
            </w:r>
            <w:r w:rsidRPr="00976026">
              <w:rPr>
                <w:rFonts w:ascii="Segoe UI" w:eastAsia="Segoe UI" w:hAnsi="Segoe UI" w:cs="Segoe UI"/>
                <w:b/>
                <w:color w:val="000000"/>
                <w:kern w:val="24"/>
                <w:sz w:val="14"/>
                <w:szCs w:val="14"/>
                <w:lang w:eastAsia="el-GR"/>
              </w:rPr>
              <w:t xml:space="preserve">από φόρους </w:t>
            </w:r>
            <w:r w:rsidRPr="00AB591B">
              <w:rPr>
                <w:rFonts w:ascii="Segoe UI" w:eastAsia="Segoe UI" w:hAnsi="Segoe UI" w:cs="Segoe UI"/>
                <w:b/>
                <w:color w:val="000000"/>
                <w:kern w:val="24"/>
                <w:sz w:val="14"/>
                <w:szCs w:val="14"/>
                <w:lang w:eastAsia="el-GR"/>
              </w:rPr>
              <w:t>περιόδου</w:t>
            </w:r>
          </w:p>
        </w:tc>
        <w:tc>
          <w:tcPr>
            <w:tcW w:w="481" w:type="pct"/>
            <w:tcBorders>
              <w:top w:val="nil"/>
              <w:left w:val="nil"/>
              <w:bottom w:val="single" w:sz="8" w:space="0" w:color="000000"/>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4 </w:t>
            </w:r>
          </w:p>
        </w:tc>
        <w:tc>
          <w:tcPr>
            <w:tcW w:w="481" w:type="pct"/>
            <w:tcBorders>
              <w:top w:val="nil"/>
              <w:left w:val="nil"/>
              <w:bottom w:val="single" w:sz="8" w:space="0" w:color="000000"/>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(87) </w:t>
            </w:r>
          </w:p>
        </w:tc>
        <w:tc>
          <w:tcPr>
            <w:tcW w:w="481" w:type="pct"/>
            <w:tcBorders>
              <w:top w:val="nil"/>
              <w:left w:val="nil"/>
              <w:bottom w:val="single" w:sz="8" w:space="0" w:color="000000"/>
              <w:right w:val="nil"/>
            </w:tcBorders>
            <w:shd w:val="clear" w:color="000000" w:fill="F2F2F2"/>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c>
          <w:tcPr>
            <w:tcW w:w="481" w:type="pct"/>
            <w:tcBorders>
              <w:top w:val="nil"/>
              <w:left w:val="nil"/>
              <w:bottom w:val="single" w:sz="8" w:space="0" w:color="000000"/>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4 </w:t>
            </w:r>
          </w:p>
        </w:tc>
        <w:tc>
          <w:tcPr>
            <w:tcW w:w="481" w:type="pct"/>
            <w:tcBorders>
              <w:top w:val="nil"/>
              <w:left w:val="nil"/>
              <w:bottom w:val="single" w:sz="8" w:space="0" w:color="000000"/>
              <w:right w:val="nil"/>
            </w:tcBorders>
            <w:shd w:val="clear" w:color="000000" w:fill="F2F2F2"/>
            <w:vAlign w:val="center"/>
          </w:tcPr>
          <w:p w:rsidR="00377D4B" w:rsidRPr="00377D4B" w:rsidRDefault="00377D4B" w:rsidP="00377D4B">
            <w:pPr>
              <w:pStyle w:val="Web"/>
              <w:spacing w:before="0" w:beforeAutospacing="0" w:after="0" w:afterAutospacing="0"/>
              <w:ind w:right="148"/>
              <w:jc w:val="right"/>
              <w:textAlignment w:val="center"/>
              <w:rPr>
                <w:rFonts w:ascii="Segoe UI" w:hAnsi="Segoe UI" w:cs="Segoe UI"/>
                <w:b/>
                <w:sz w:val="14"/>
                <w:szCs w:val="16"/>
                <w:lang w:val="en-US"/>
              </w:rPr>
            </w:pPr>
            <w:r w:rsidRPr="00377D4B">
              <w:rPr>
                <w:rFonts w:ascii="Segoe UI" w:hAnsi="Segoe UI" w:cs="Segoe UI"/>
                <w:b/>
                <w:sz w:val="14"/>
                <w:szCs w:val="16"/>
                <w:lang w:val="en-US"/>
              </w:rPr>
              <w:t xml:space="preserve">(2) </w:t>
            </w:r>
          </w:p>
        </w:tc>
        <w:tc>
          <w:tcPr>
            <w:tcW w:w="480" w:type="pct"/>
            <w:tcBorders>
              <w:top w:val="nil"/>
              <w:left w:val="nil"/>
              <w:bottom w:val="single" w:sz="8" w:space="0" w:color="000000"/>
            </w:tcBorders>
            <w:shd w:val="clear" w:color="000000" w:fill="F2F2F2"/>
            <w:tcMar>
              <w:top w:w="15" w:type="dxa"/>
              <w:left w:w="15" w:type="dxa"/>
              <w:bottom w:w="0" w:type="dxa"/>
              <w:right w:w="84" w:type="dxa"/>
            </w:tcMar>
            <w:vAlign w:val="bottom"/>
          </w:tcPr>
          <w:p w:rsidR="00377D4B" w:rsidRPr="00377D4B" w:rsidRDefault="00377D4B" w:rsidP="00377D4B">
            <w:pPr>
              <w:pStyle w:val="Web"/>
              <w:spacing w:before="0" w:beforeAutospacing="0" w:after="0" w:afterAutospacing="0"/>
              <w:ind w:right="148"/>
              <w:jc w:val="right"/>
              <w:textAlignment w:val="center"/>
              <w:rPr>
                <w:rFonts w:ascii="Segoe UI" w:hAnsi="Segoe UI" w:cs="Segoe UI"/>
                <w:b/>
                <w:i/>
                <w:sz w:val="14"/>
                <w:szCs w:val="16"/>
                <w:lang w:val="en-US"/>
              </w:rPr>
            </w:pPr>
            <w:r>
              <w:rPr>
                <w:rFonts w:ascii="Segoe UI" w:hAnsi="Segoe UI" w:cs="Segoe UI"/>
                <w:b/>
                <w:i/>
                <w:sz w:val="14"/>
                <w:szCs w:val="16"/>
                <w:lang w:val="en-US"/>
              </w:rPr>
              <w:t>--</w:t>
            </w:r>
          </w:p>
        </w:tc>
      </w:tr>
    </w:tbl>
    <w:p w:rsidR="00E55AED" w:rsidRPr="00F73358" w:rsidRDefault="00DE335A" w:rsidP="00E55AED">
      <w:pPr>
        <w:jc w:val="both"/>
        <w:textAlignment w:val="baseline"/>
        <w:rPr>
          <w:rFonts w:ascii="Segoe UI" w:hAnsi="Segoe UI" w:cs="Segoe UI"/>
          <w:color w:val="000000" w:themeColor="text1"/>
          <w:kern w:val="24"/>
          <w:sz w:val="7"/>
          <w:szCs w:val="7"/>
        </w:rPr>
      </w:pPr>
      <w:r w:rsidRPr="00F11186">
        <w:rPr>
          <w:rFonts w:ascii="Segoe UI" w:hAnsi="Segoe UI" w:cs="Segoe UI"/>
          <w:color w:val="000000" w:themeColor="text1"/>
          <w:kern w:val="24"/>
          <w:sz w:val="9"/>
          <w:szCs w:val="7"/>
          <w:vertAlign w:val="superscript"/>
        </w:rPr>
        <w:t>1</w:t>
      </w:r>
      <w:r w:rsidR="00767DA0" w:rsidRPr="00F11186">
        <w:rPr>
          <w:rFonts w:ascii="Segoe UI" w:hAnsi="Segoe UI" w:cs="Segoe UI"/>
          <w:color w:val="000000" w:themeColor="text1"/>
          <w:kern w:val="24"/>
          <w:sz w:val="9"/>
          <w:szCs w:val="7"/>
        </w:rPr>
        <w:t xml:space="preserve">Οι διεθνείς (συνεχιζόμενες) δραστηριότητες </w:t>
      </w:r>
      <w:r w:rsidR="000F1FBE" w:rsidRPr="00F11186">
        <w:rPr>
          <w:rFonts w:ascii="Segoe UI" w:hAnsi="Segoe UI" w:cs="Segoe UI"/>
          <w:color w:val="000000" w:themeColor="text1"/>
          <w:kern w:val="24"/>
          <w:sz w:val="9"/>
          <w:szCs w:val="7"/>
        </w:rPr>
        <w:t>περιλαμβάνουν</w:t>
      </w:r>
      <w:r w:rsidRPr="00F11186">
        <w:rPr>
          <w:rFonts w:ascii="Segoe UI" w:hAnsi="Segoe UI" w:cs="Segoe UI"/>
          <w:color w:val="000000" w:themeColor="text1"/>
          <w:kern w:val="24"/>
          <w:sz w:val="9"/>
          <w:szCs w:val="7"/>
        </w:rPr>
        <w:t xml:space="preserve"> τις δραστηριότητες του Ομίλου στη Βόρεια Μακεδονία (Stopanska)</w:t>
      </w:r>
      <w:r w:rsidR="007870D7" w:rsidRPr="00F11186">
        <w:rPr>
          <w:rFonts w:ascii="Segoe UI" w:hAnsi="Segoe UI" w:cs="Segoe UI"/>
          <w:color w:val="000000" w:themeColor="text1"/>
          <w:kern w:val="24"/>
          <w:sz w:val="9"/>
          <w:szCs w:val="7"/>
        </w:rPr>
        <w:t xml:space="preserve">, </w:t>
      </w:r>
      <w:r w:rsidRPr="00F11186">
        <w:rPr>
          <w:rFonts w:ascii="Segoe UI" w:hAnsi="Segoe UI" w:cs="Segoe UI"/>
          <w:color w:val="000000" w:themeColor="text1"/>
          <w:kern w:val="24"/>
          <w:sz w:val="9"/>
          <w:szCs w:val="7"/>
        </w:rPr>
        <w:t xml:space="preserve">Μάλτα (NBG </w:t>
      </w:r>
      <w:proofErr w:type="spellStart"/>
      <w:r w:rsidRPr="00F11186">
        <w:rPr>
          <w:rFonts w:ascii="Segoe UI" w:hAnsi="Segoe UI" w:cs="Segoe UI"/>
          <w:color w:val="000000" w:themeColor="text1"/>
          <w:kern w:val="24"/>
          <w:sz w:val="9"/>
          <w:szCs w:val="7"/>
        </w:rPr>
        <w:t>Malta</w:t>
      </w:r>
      <w:proofErr w:type="spellEnd"/>
      <w:r w:rsidRPr="00F11186">
        <w:rPr>
          <w:rFonts w:ascii="Segoe UI" w:hAnsi="Segoe UI" w:cs="Segoe UI"/>
          <w:color w:val="000000" w:themeColor="text1"/>
          <w:kern w:val="24"/>
          <w:sz w:val="9"/>
          <w:szCs w:val="7"/>
        </w:rPr>
        <w:t>)</w:t>
      </w:r>
      <w:r w:rsidR="007870D7" w:rsidRPr="00F11186">
        <w:rPr>
          <w:rFonts w:ascii="Segoe UI" w:hAnsi="Segoe UI" w:cs="Segoe UI"/>
          <w:color w:val="000000" w:themeColor="text1"/>
          <w:kern w:val="24"/>
          <w:sz w:val="9"/>
          <w:szCs w:val="7"/>
        </w:rPr>
        <w:t xml:space="preserve"> και Αίγυπτο (</w:t>
      </w:r>
      <w:r w:rsidR="00DA7E35" w:rsidRPr="00F11186">
        <w:rPr>
          <w:rFonts w:ascii="Segoe UI" w:hAnsi="Segoe UI" w:cs="Segoe UI"/>
          <w:color w:val="000000" w:themeColor="text1"/>
          <w:kern w:val="24"/>
          <w:sz w:val="9"/>
          <w:szCs w:val="7"/>
          <w:lang w:val="en-GB"/>
        </w:rPr>
        <w:t>ETE</w:t>
      </w:r>
      <w:r w:rsidR="00DA7E35" w:rsidRPr="00F11186">
        <w:rPr>
          <w:rFonts w:ascii="Segoe UI" w:hAnsi="Segoe UI" w:cs="Segoe UI"/>
          <w:color w:val="000000" w:themeColor="text1"/>
          <w:kern w:val="24"/>
          <w:sz w:val="9"/>
          <w:szCs w:val="7"/>
        </w:rPr>
        <w:t xml:space="preserve"> Αιγύπτου</w:t>
      </w:r>
      <w:r w:rsidR="007870D7" w:rsidRPr="00F11186">
        <w:rPr>
          <w:rFonts w:ascii="Segoe UI" w:hAnsi="Segoe UI" w:cs="Segoe UI"/>
          <w:color w:val="000000" w:themeColor="text1"/>
          <w:kern w:val="24"/>
          <w:sz w:val="9"/>
          <w:szCs w:val="7"/>
        </w:rPr>
        <w:t>)</w:t>
      </w:r>
      <w:r w:rsidR="00767DA0" w:rsidRPr="00F11186">
        <w:rPr>
          <w:rFonts w:ascii="Segoe UI" w:hAnsi="Segoe UI" w:cs="Segoe UI"/>
          <w:color w:val="000000" w:themeColor="text1"/>
          <w:kern w:val="24"/>
          <w:sz w:val="9"/>
          <w:szCs w:val="7"/>
        </w:rPr>
        <w:t xml:space="preserve"> </w:t>
      </w:r>
      <w:r w:rsidR="00E55AED" w:rsidRPr="00F73358">
        <w:rPr>
          <w:rFonts w:ascii="Segoe UI" w:hAnsi="Segoe UI" w:cs="Segoe UI"/>
          <w:color w:val="000000" w:themeColor="text1"/>
          <w:kern w:val="24"/>
          <w:sz w:val="7"/>
          <w:szCs w:val="7"/>
        </w:rPr>
        <w:br w:type="page"/>
      </w:r>
    </w:p>
    <w:p w:rsidR="00EE40A0" w:rsidRPr="009733C4" w:rsidRDefault="009733C4" w:rsidP="00EE40A0">
      <w:pPr>
        <w:pStyle w:val="TITLEINBODY"/>
        <w:rPr>
          <w:rFonts w:ascii="Segoe UI" w:hAnsi="Segoe UI" w:cs="Segoe UI"/>
          <w:lang w:val="el-GR"/>
        </w:rPr>
      </w:pPr>
      <w:r>
        <w:rPr>
          <w:rFonts w:ascii="Segoe UI" w:hAnsi="Segoe UI" w:cs="Segoe UI"/>
          <w:lang w:val="el-GR"/>
        </w:rPr>
        <w:lastRenderedPageBreak/>
        <w:t>Κερδοφορία</w:t>
      </w:r>
    </w:p>
    <w:p w:rsidR="00EE40A0" w:rsidRPr="009733C4" w:rsidRDefault="009733C4" w:rsidP="00EE40A0">
      <w:pPr>
        <w:pStyle w:val="TITLE2"/>
        <w:rPr>
          <w:sz w:val="24"/>
          <w:szCs w:val="24"/>
          <w:lang w:val="el-GR"/>
        </w:rPr>
      </w:pPr>
      <w:r>
        <w:rPr>
          <w:sz w:val="24"/>
          <w:szCs w:val="24"/>
          <w:lang w:val="el-GR"/>
        </w:rPr>
        <w:t>Ελλάδα</w:t>
      </w:r>
    </w:p>
    <w:p w:rsidR="00DD00CD" w:rsidRDefault="00DD00CD" w:rsidP="00DD00CD">
      <w:pPr>
        <w:autoSpaceDE w:val="0"/>
        <w:autoSpaceDN w:val="0"/>
        <w:adjustRightInd w:val="0"/>
        <w:spacing w:after="160" w:line="320" w:lineRule="atLeast"/>
        <w:jc w:val="both"/>
        <w:rPr>
          <w:rFonts w:ascii="Segoe UI" w:hAnsi="Segoe UI" w:cs="Segoe UI"/>
          <w:sz w:val="20"/>
        </w:rPr>
      </w:pPr>
      <w:r w:rsidRPr="0089052B">
        <w:rPr>
          <w:rFonts w:ascii="Segoe UI" w:hAnsi="Segoe UI" w:cs="Segoe UI"/>
          <w:sz w:val="20"/>
        </w:rPr>
        <w:t xml:space="preserve">Τα </w:t>
      </w:r>
      <w:r>
        <w:rPr>
          <w:rFonts w:ascii="Segoe UI" w:hAnsi="Segoe UI" w:cs="Segoe UI"/>
          <w:b/>
          <w:sz w:val="20"/>
        </w:rPr>
        <w:t xml:space="preserve">κέρδη μετά </w:t>
      </w:r>
      <w:r w:rsidRPr="006F2A9C">
        <w:rPr>
          <w:rFonts w:ascii="Segoe UI" w:hAnsi="Segoe UI" w:cs="Segoe UI"/>
          <w:b/>
          <w:sz w:val="20"/>
        </w:rPr>
        <w:t xml:space="preserve">από φόρους </w:t>
      </w:r>
      <w:r>
        <w:rPr>
          <w:rFonts w:ascii="Segoe UI" w:hAnsi="Segoe UI" w:cs="Segoe UI"/>
          <w:b/>
          <w:sz w:val="20"/>
        </w:rPr>
        <w:t xml:space="preserve">από συνεχιζόμενες δραστηριότητες </w:t>
      </w:r>
      <w:r w:rsidR="00BB04B4">
        <w:rPr>
          <w:rFonts w:ascii="Segoe UI" w:hAnsi="Segoe UI" w:cs="Segoe UI"/>
          <w:sz w:val="20"/>
        </w:rPr>
        <w:t xml:space="preserve">αυξήθηκαν κατά 21,6% σε ετήσια βάση, ανερχόμενα σε </w:t>
      </w:r>
      <w:r w:rsidRPr="0089052B">
        <w:rPr>
          <w:rFonts w:ascii="Segoe UI" w:hAnsi="Segoe UI" w:cs="Segoe UI"/>
          <w:sz w:val="20"/>
        </w:rPr>
        <w:t>€</w:t>
      </w:r>
      <w:r w:rsidR="00BB04B4">
        <w:rPr>
          <w:rFonts w:ascii="Segoe UI" w:hAnsi="Segoe UI" w:cs="Segoe UI"/>
          <w:sz w:val="20"/>
        </w:rPr>
        <w:t>581</w:t>
      </w:r>
      <w:r w:rsidRPr="0089052B">
        <w:rPr>
          <w:rFonts w:ascii="Segoe UI" w:hAnsi="Segoe UI" w:cs="Segoe UI"/>
          <w:sz w:val="20"/>
        </w:rPr>
        <w:t xml:space="preserve"> εκατ. το </w:t>
      </w:r>
      <w:r w:rsidRPr="00FB0379">
        <w:rPr>
          <w:rFonts w:ascii="Segoe UI" w:hAnsi="Segoe UI" w:cs="Segoe UI"/>
          <w:sz w:val="20"/>
        </w:rPr>
        <w:t>2020</w:t>
      </w:r>
      <w:r>
        <w:rPr>
          <w:rFonts w:ascii="Segoe UI" w:hAnsi="Segoe UI" w:cs="Segoe UI"/>
          <w:sz w:val="20"/>
        </w:rPr>
        <w:t xml:space="preserve">, </w:t>
      </w:r>
      <w:r w:rsidRPr="00DD00CD">
        <w:rPr>
          <w:rFonts w:ascii="Segoe UI" w:hAnsi="Segoe UI" w:cs="Segoe UI"/>
          <w:sz w:val="20"/>
        </w:rPr>
        <w:t xml:space="preserve">αντανακλώντας την </w:t>
      </w:r>
      <w:r w:rsidR="00BB04B4">
        <w:rPr>
          <w:rFonts w:ascii="Segoe UI" w:hAnsi="Segoe UI" w:cs="Segoe UI"/>
          <w:sz w:val="20"/>
        </w:rPr>
        <w:t xml:space="preserve">ανθεκτικότητα </w:t>
      </w:r>
      <w:r w:rsidRPr="00DD00CD">
        <w:rPr>
          <w:rFonts w:ascii="Segoe UI" w:hAnsi="Segoe UI" w:cs="Segoe UI"/>
          <w:sz w:val="20"/>
        </w:rPr>
        <w:t>των οργανικών εσόδων</w:t>
      </w:r>
      <w:r w:rsidR="00C32C85">
        <w:rPr>
          <w:rFonts w:ascii="Segoe UI" w:hAnsi="Segoe UI" w:cs="Segoe UI"/>
          <w:sz w:val="20"/>
        </w:rPr>
        <w:t>, παρά τ</w:t>
      </w:r>
      <w:r w:rsidR="00BB04B4" w:rsidRPr="00BB04B4">
        <w:rPr>
          <w:rFonts w:ascii="Segoe UI" w:hAnsi="Segoe UI" w:cs="Segoe UI"/>
          <w:sz w:val="20"/>
        </w:rPr>
        <w:t>ις δυσμενείς συνθήκες λόγω της πανδημίας του κορωνοϊού</w:t>
      </w:r>
      <w:r w:rsidRPr="00DD00CD">
        <w:rPr>
          <w:rFonts w:ascii="Segoe UI" w:hAnsi="Segoe UI" w:cs="Segoe UI"/>
          <w:sz w:val="20"/>
        </w:rPr>
        <w:t xml:space="preserve">, </w:t>
      </w:r>
      <w:r w:rsidR="00C32C85">
        <w:rPr>
          <w:rFonts w:ascii="Segoe UI" w:hAnsi="Segoe UI" w:cs="Segoe UI"/>
          <w:sz w:val="20"/>
        </w:rPr>
        <w:t xml:space="preserve">τα </w:t>
      </w:r>
      <w:r w:rsidR="00454988">
        <w:rPr>
          <w:rFonts w:ascii="Segoe UI" w:hAnsi="Segoe UI" w:cs="Segoe UI"/>
          <w:sz w:val="20"/>
        </w:rPr>
        <w:t>ισχυρά</w:t>
      </w:r>
      <w:r w:rsidR="00C32C85" w:rsidRPr="00C32C85">
        <w:rPr>
          <w:rFonts w:ascii="Segoe UI" w:hAnsi="Segoe UI" w:cs="Segoe UI"/>
          <w:sz w:val="20"/>
        </w:rPr>
        <w:t xml:space="preserve"> κέρδη από χρηματοοικονομικές πράξεις</w:t>
      </w:r>
      <w:r w:rsidR="0035647D">
        <w:rPr>
          <w:rFonts w:ascii="Segoe UI" w:hAnsi="Segoe UI" w:cs="Segoe UI"/>
          <w:sz w:val="20"/>
        </w:rPr>
        <w:t xml:space="preserve">, </w:t>
      </w:r>
      <w:r w:rsidR="0035647D" w:rsidRPr="0035647D">
        <w:rPr>
          <w:rFonts w:ascii="Segoe UI" w:hAnsi="Segoe UI" w:cs="Segoe UI"/>
          <w:sz w:val="20"/>
        </w:rPr>
        <w:t>επωφελούμενα</w:t>
      </w:r>
      <w:r w:rsidR="0035647D">
        <w:rPr>
          <w:rFonts w:ascii="Segoe UI" w:hAnsi="Segoe UI" w:cs="Segoe UI"/>
          <w:sz w:val="20"/>
        </w:rPr>
        <w:t xml:space="preserve"> από </w:t>
      </w:r>
      <w:r w:rsidR="0035647D" w:rsidRPr="0035647D">
        <w:rPr>
          <w:rFonts w:ascii="Segoe UI" w:hAnsi="Segoe UI" w:cs="Segoe UI"/>
          <w:sz w:val="20"/>
        </w:rPr>
        <w:t xml:space="preserve">την ανταλλαγή και πώληση </w:t>
      </w:r>
      <w:r w:rsidR="0035647D">
        <w:rPr>
          <w:rFonts w:ascii="Segoe UI" w:hAnsi="Segoe UI" w:cs="Segoe UI"/>
          <w:sz w:val="20"/>
        </w:rPr>
        <w:t>Ομολόγων Ελληνικού Δημοσίου (</w:t>
      </w:r>
      <w:r w:rsidR="0035647D" w:rsidRPr="0035647D">
        <w:rPr>
          <w:rFonts w:ascii="Segoe UI" w:hAnsi="Segoe UI" w:cs="Segoe UI"/>
          <w:sz w:val="20"/>
        </w:rPr>
        <w:t>ΟΕΔ</w:t>
      </w:r>
      <w:r w:rsidR="0035647D">
        <w:rPr>
          <w:rFonts w:ascii="Segoe UI" w:hAnsi="Segoe UI" w:cs="Segoe UI"/>
          <w:sz w:val="20"/>
        </w:rPr>
        <w:t>),</w:t>
      </w:r>
      <w:r w:rsidR="00C32C85" w:rsidRPr="00C32C85">
        <w:rPr>
          <w:rFonts w:ascii="Segoe UI" w:hAnsi="Segoe UI" w:cs="Segoe UI"/>
          <w:sz w:val="20"/>
        </w:rPr>
        <w:t xml:space="preserve"> </w:t>
      </w:r>
      <w:r w:rsidR="00BB04B4">
        <w:rPr>
          <w:rFonts w:ascii="Segoe UI" w:hAnsi="Segoe UI" w:cs="Segoe UI"/>
          <w:sz w:val="20"/>
        </w:rPr>
        <w:t xml:space="preserve">καθώς και τη σημαντική </w:t>
      </w:r>
      <w:r w:rsidR="00BB04B4" w:rsidRPr="00BB04B4">
        <w:rPr>
          <w:rFonts w:ascii="Segoe UI" w:hAnsi="Segoe UI" w:cs="Segoe UI"/>
          <w:sz w:val="20"/>
        </w:rPr>
        <w:t xml:space="preserve">αποκλιμάκωση των δαπανών </w:t>
      </w:r>
      <w:r w:rsidR="004C1578" w:rsidRPr="00BB04B4">
        <w:rPr>
          <w:rFonts w:ascii="Segoe UI" w:hAnsi="Segoe UI" w:cs="Segoe UI"/>
          <w:sz w:val="20"/>
        </w:rPr>
        <w:t>προσωπικού και</w:t>
      </w:r>
      <w:r w:rsidR="00BB04B4" w:rsidRPr="00BB04B4">
        <w:rPr>
          <w:rFonts w:ascii="Segoe UI" w:hAnsi="Segoe UI" w:cs="Segoe UI"/>
          <w:sz w:val="20"/>
        </w:rPr>
        <w:t xml:space="preserve"> των γενικών διοικητικών και λοιπών λειτουργικών εξόδων</w:t>
      </w:r>
      <w:r w:rsidRPr="00330D58">
        <w:rPr>
          <w:rFonts w:ascii="Segoe UI" w:hAnsi="Segoe UI" w:cs="Segoe UI"/>
          <w:sz w:val="20"/>
        </w:rPr>
        <w:t>.</w:t>
      </w:r>
      <w:r w:rsidR="00332920">
        <w:rPr>
          <w:rFonts w:ascii="Segoe UI" w:hAnsi="Segoe UI" w:cs="Segoe UI"/>
          <w:sz w:val="20"/>
        </w:rPr>
        <w:t xml:space="preserve"> </w:t>
      </w:r>
      <w:r w:rsidR="004C1578">
        <w:rPr>
          <w:rFonts w:ascii="Segoe UI" w:hAnsi="Segoe UI" w:cs="Segoe UI"/>
          <w:sz w:val="20"/>
        </w:rPr>
        <w:t>Τ</w:t>
      </w:r>
      <w:r w:rsidR="00332920" w:rsidRPr="00D148AE">
        <w:rPr>
          <w:rFonts w:ascii="Segoe UI" w:hAnsi="Segoe UI" w:cs="Segoe UI"/>
          <w:sz w:val="20"/>
        </w:rPr>
        <w:t>α υψηλά κέρδη από χρηματοοικονομικές πρ</w:t>
      </w:r>
      <w:r w:rsidR="008B045F">
        <w:rPr>
          <w:rFonts w:ascii="Segoe UI" w:hAnsi="Segoe UI" w:cs="Segoe UI"/>
          <w:sz w:val="20"/>
        </w:rPr>
        <w:t xml:space="preserve">άξεις </w:t>
      </w:r>
      <w:r w:rsidR="008B045F" w:rsidRPr="00D148AE">
        <w:rPr>
          <w:rFonts w:ascii="Segoe UI" w:hAnsi="Segoe UI" w:cs="Segoe UI"/>
          <w:sz w:val="20"/>
        </w:rPr>
        <w:t xml:space="preserve">απορρόφησαν </w:t>
      </w:r>
      <w:r w:rsidR="008B045F">
        <w:rPr>
          <w:rFonts w:ascii="Segoe UI" w:hAnsi="Segoe UI" w:cs="Segoe UI"/>
          <w:sz w:val="20"/>
        </w:rPr>
        <w:t xml:space="preserve">πλήρως τις </w:t>
      </w:r>
      <w:r w:rsidR="00EE4788">
        <w:rPr>
          <w:rFonts w:ascii="Segoe UI" w:hAnsi="Segoe UI" w:cs="Segoe UI"/>
          <w:sz w:val="20"/>
        </w:rPr>
        <w:t xml:space="preserve">πρόσθετες </w:t>
      </w:r>
      <w:r w:rsidR="008B045F">
        <w:rPr>
          <w:rFonts w:ascii="Segoe UI" w:hAnsi="Segoe UI" w:cs="Segoe UI"/>
          <w:sz w:val="20"/>
        </w:rPr>
        <w:t>προβλέψεις</w:t>
      </w:r>
      <w:r w:rsidR="00332920">
        <w:rPr>
          <w:rFonts w:ascii="Segoe UI" w:hAnsi="Segoe UI" w:cs="Segoe UI"/>
          <w:sz w:val="20"/>
        </w:rPr>
        <w:t xml:space="preserve"> </w:t>
      </w:r>
      <w:r w:rsidR="009A0AD2">
        <w:rPr>
          <w:rFonts w:ascii="Segoe UI" w:hAnsi="Segoe UI" w:cs="Segoe UI"/>
          <w:sz w:val="20"/>
        </w:rPr>
        <w:t xml:space="preserve">για τον </w:t>
      </w:r>
      <w:r w:rsidRPr="00D148AE">
        <w:rPr>
          <w:rFonts w:ascii="Segoe UI" w:hAnsi="Segoe UI" w:cs="Segoe UI"/>
          <w:sz w:val="20"/>
        </w:rPr>
        <w:t>κορωνοϊ</w:t>
      </w:r>
      <w:r w:rsidR="009A0AD2">
        <w:rPr>
          <w:rFonts w:ascii="Segoe UI" w:hAnsi="Segoe UI" w:cs="Segoe UI"/>
          <w:sz w:val="20"/>
        </w:rPr>
        <w:t>ό</w:t>
      </w:r>
      <w:r w:rsidR="0025257E">
        <w:rPr>
          <w:rFonts w:ascii="Segoe UI" w:hAnsi="Segoe UI" w:cs="Segoe UI"/>
          <w:sz w:val="20"/>
        </w:rPr>
        <w:t xml:space="preserve"> </w:t>
      </w:r>
      <w:r w:rsidR="008B045F">
        <w:rPr>
          <w:rFonts w:ascii="Segoe UI" w:hAnsi="Segoe UI" w:cs="Segoe UI"/>
          <w:sz w:val="20"/>
        </w:rPr>
        <w:t xml:space="preserve">κυρίως </w:t>
      </w:r>
      <w:r w:rsidR="0055116E">
        <w:rPr>
          <w:rFonts w:ascii="Segoe UI" w:hAnsi="Segoe UI" w:cs="Segoe UI"/>
          <w:sz w:val="20"/>
        </w:rPr>
        <w:t>το Α’ τρίμηνο 2020</w:t>
      </w:r>
      <w:r w:rsidR="008B045F">
        <w:rPr>
          <w:rFonts w:ascii="Segoe UI" w:hAnsi="Segoe UI" w:cs="Segoe UI"/>
          <w:sz w:val="20"/>
        </w:rPr>
        <w:t xml:space="preserve"> </w:t>
      </w:r>
      <w:r w:rsidR="00714797">
        <w:rPr>
          <w:rFonts w:ascii="Segoe UI" w:hAnsi="Segoe UI" w:cs="Segoe UI"/>
          <w:sz w:val="20"/>
        </w:rPr>
        <w:t xml:space="preserve">(€0,4 δισ.) </w:t>
      </w:r>
      <w:r w:rsidR="008B045F">
        <w:rPr>
          <w:rFonts w:ascii="Segoe UI" w:hAnsi="Segoe UI" w:cs="Segoe UI"/>
          <w:sz w:val="20"/>
        </w:rPr>
        <w:t xml:space="preserve">και </w:t>
      </w:r>
      <w:r w:rsidR="008D4435" w:rsidRPr="008D4435">
        <w:rPr>
          <w:rFonts w:ascii="Segoe UI" w:hAnsi="Segoe UI" w:cs="Segoe UI"/>
          <w:sz w:val="20"/>
        </w:rPr>
        <w:t xml:space="preserve">την ταξινόμηση του χαρτοφυλακίου Frontier ως περιουσιακό στοιχείο προοριζόμενο προς πώληση </w:t>
      </w:r>
      <w:r w:rsidR="008B045F">
        <w:rPr>
          <w:rFonts w:ascii="Segoe UI" w:hAnsi="Segoe UI" w:cs="Segoe UI"/>
          <w:sz w:val="20"/>
        </w:rPr>
        <w:t>το Δ’ τρίμηνο 2020</w:t>
      </w:r>
      <w:r w:rsidR="00714797">
        <w:rPr>
          <w:rFonts w:ascii="Segoe UI" w:hAnsi="Segoe UI" w:cs="Segoe UI"/>
          <w:sz w:val="20"/>
        </w:rPr>
        <w:t xml:space="preserve"> (€0,4 δισ.)</w:t>
      </w:r>
      <w:r w:rsidR="008B045F">
        <w:rPr>
          <w:rFonts w:ascii="Segoe UI" w:hAnsi="Segoe UI" w:cs="Segoe UI"/>
          <w:sz w:val="20"/>
        </w:rPr>
        <w:t xml:space="preserve">, καθώς και </w:t>
      </w:r>
      <w:r w:rsidR="003B412E" w:rsidRPr="003B412E">
        <w:rPr>
          <w:rFonts w:ascii="Segoe UI" w:hAnsi="Segoe UI" w:cs="Segoe UI"/>
          <w:sz w:val="20"/>
        </w:rPr>
        <w:t>τ</w:t>
      </w:r>
      <w:r w:rsidR="00202EDC">
        <w:rPr>
          <w:rFonts w:ascii="Segoe UI" w:hAnsi="Segoe UI" w:cs="Segoe UI"/>
          <w:sz w:val="20"/>
        </w:rPr>
        <w:t>α</w:t>
      </w:r>
      <w:r w:rsidR="003B412E" w:rsidRPr="003B412E">
        <w:rPr>
          <w:rFonts w:ascii="Segoe UI" w:hAnsi="Segoe UI" w:cs="Segoe UI"/>
          <w:sz w:val="20"/>
        </w:rPr>
        <w:t xml:space="preserve"> κόστ</w:t>
      </w:r>
      <w:r w:rsidR="00B93929">
        <w:rPr>
          <w:rFonts w:ascii="Segoe UI" w:hAnsi="Segoe UI" w:cs="Segoe UI"/>
          <w:sz w:val="20"/>
        </w:rPr>
        <w:t>η</w:t>
      </w:r>
      <w:r w:rsidR="003B412E" w:rsidRPr="003B412E">
        <w:rPr>
          <w:rFonts w:ascii="Segoe UI" w:hAnsi="Segoe UI" w:cs="Segoe UI"/>
          <w:sz w:val="20"/>
        </w:rPr>
        <w:t xml:space="preserve"> Εθελουσίας Εξόδου Προσωπικού</w:t>
      </w:r>
      <w:r w:rsidR="00202EDC">
        <w:rPr>
          <w:rFonts w:ascii="Segoe UI" w:hAnsi="Segoe UI" w:cs="Segoe UI"/>
          <w:sz w:val="20"/>
        </w:rPr>
        <w:t xml:space="preserve"> και </w:t>
      </w:r>
      <w:r w:rsidR="003B412E" w:rsidRPr="003B412E">
        <w:rPr>
          <w:rFonts w:ascii="Segoe UI" w:hAnsi="Segoe UI" w:cs="Segoe UI"/>
          <w:sz w:val="20"/>
        </w:rPr>
        <w:t xml:space="preserve">αναδιάρθρωσης και </w:t>
      </w:r>
      <w:r w:rsidR="003B412E">
        <w:rPr>
          <w:rFonts w:ascii="Segoe UI" w:hAnsi="Segoe UI" w:cs="Segoe UI"/>
          <w:sz w:val="20"/>
        </w:rPr>
        <w:t xml:space="preserve">τις </w:t>
      </w:r>
      <w:r w:rsidR="003B412E" w:rsidRPr="003B412E">
        <w:rPr>
          <w:rFonts w:ascii="Segoe UI" w:hAnsi="Segoe UI" w:cs="Segoe UI"/>
          <w:sz w:val="20"/>
        </w:rPr>
        <w:t xml:space="preserve">λοιπές μη επαναλαμβανόμενες δαπάνες </w:t>
      </w:r>
      <w:r w:rsidR="005B0303">
        <w:rPr>
          <w:rFonts w:ascii="Segoe UI" w:hAnsi="Segoe UI" w:cs="Segoe UI"/>
          <w:sz w:val="20"/>
        </w:rPr>
        <w:t xml:space="preserve">συνολικού </w:t>
      </w:r>
      <w:r w:rsidR="00EE4788">
        <w:rPr>
          <w:rFonts w:ascii="Segoe UI" w:hAnsi="Segoe UI" w:cs="Segoe UI"/>
          <w:sz w:val="20"/>
        </w:rPr>
        <w:t>ύψους</w:t>
      </w:r>
      <w:r w:rsidR="00EE4788" w:rsidRPr="00EE4788">
        <w:t xml:space="preserve"> </w:t>
      </w:r>
      <w:r w:rsidR="00FB69BF" w:rsidRPr="00FB69BF">
        <w:rPr>
          <w:rFonts w:ascii="Segoe UI" w:hAnsi="Segoe UI" w:cs="Segoe UI"/>
          <w:sz w:val="20"/>
        </w:rPr>
        <w:t>€</w:t>
      </w:r>
      <w:r w:rsidR="00202EDC">
        <w:rPr>
          <w:rFonts w:ascii="Segoe UI" w:hAnsi="Segoe UI" w:cs="Segoe UI"/>
          <w:sz w:val="20"/>
        </w:rPr>
        <w:t>15</w:t>
      </w:r>
      <w:r w:rsidR="005B0303">
        <w:rPr>
          <w:rFonts w:ascii="Segoe UI" w:hAnsi="Segoe UI" w:cs="Segoe UI"/>
          <w:sz w:val="20"/>
        </w:rPr>
        <w:t>1</w:t>
      </w:r>
      <w:r w:rsidR="00FB69BF">
        <w:rPr>
          <w:rFonts w:ascii="Segoe UI" w:hAnsi="Segoe UI" w:cs="Segoe UI"/>
          <w:sz w:val="20"/>
        </w:rPr>
        <w:t xml:space="preserve"> εκατ.</w:t>
      </w:r>
      <w:r w:rsidR="00FB69BF" w:rsidRPr="00FB69BF">
        <w:rPr>
          <w:rFonts w:ascii="Segoe UI" w:hAnsi="Segoe UI" w:cs="Segoe UI"/>
          <w:sz w:val="20"/>
        </w:rPr>
        <w:t xml:space="preserve"> για το 2020</w:t>
      </w:r>
      <w:r w:rsidR="0055116E">
        <w:rPr>
          <w:rFonts w:ascii="Segoe UI" w:hAnsi="Segoe UI" w:cs="Segoe UI"/>
          <w:sz w:val="20"/>
        </w:rPr>
        <w:t xml:space="preserve">. </w:t>
      </w:r>
    </w:p>
    <w:p w:rsidR="00870A31" w:rsidRPr="00AE0636" w:rsidRDefault="00260562"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Τ</w:t>
      </w:r>
      <w:r w:rsidR="00870A31" w:rsidRPr="00870A31">
        <w:rPr>
          <w:rFonts w:ascii="Segoe UI" w:hAnsi="Segoe UI" w:cs="Segoe UI"/>
          <w:sz w:val="20"/>
        </w:rPr>
        <w:t xml:space="preserve">α </w:t>
      </w:r>
      <w:r w:rsidR="00870A31" w:rsidRPr="00870A31">
        <w:rPr>
          <w:rFonts w:ascii="Segoe UI" w:hAnsi="Segoe UI" w:cs="Segoe UI"/>
          <w:b/>
          <w:sz w:val="20"/>
        </w:rPr>
        <w:t>καθαρά έσοδα από τόκους</w:t>
      </w:r>
      <w:r w:rsidR="00870A31" w:rsidRPr="00870A31">
        <w:rPr>
          <w:rFonts w:ascii="Segoe UI" w:hAnsi="Segoe UI" w:cs="Segoe UI"/>
          <w:sz w:val="20"/>
        </w:rPr>
        <w:t xml:space="preserve"> </w:t>
      </w:r>
      <w:r w:rsidR="00D1487B">
        <w:rPr>
          <w:rFonts w:ascii="Segoe UI" w:hAnsi="Segoe UI" w:cs="Segoe UI"/>
          <w:sz w:val="20"/>
        </w:rPr>
        <w:t>συνέχισαν να ανακάμπτουν το Δ’ τρίμηνο 2020, σημειώνοντας αύξηση κατά 2,0</w:t>
      </w:r>
      <w:r w:rsidR="004F0C08">
        <w:rPr>
          <w:rFonts w:ascii="Segoe UI" w:hAnsi="Segoe UI" w:cs="Segoe UI"/>
          <w:sz w:val="20"/>
        </w:rPr>
        <w:t>%</w:t>
      </w:r>
      <w:r w:rsidR="004F0C08" w:rsidRPr="004F0C08">
        <w:rPr>
          <w:rFonts w:ascii="Segoe UI" w:hAnsi="Segoe UI" w:cs="Segoe UI"/>
          <w:sz w:val="20"/>
        </w:rPr>
        <w:t xml:space="preserve"> </w:t>
      </w:r>
      <w:r w:rsidR="005169CE">
        <w:rPr>
          <w:rFonts w:ascii="Segoe UI" w:hAnsi="Segoe UI" w:cs="Segoe UI"/>
          <w:sz w:val="20"/>
        </w:rPr>
        <w:t xml:space="preserve">σε τριμηνιαία βάση, </w:t>
      </w:r>
      <w:r w:rsidR="004F0C08" w:rsidRPr="004F0C08">
        <w:rPr>
          <w:rFonts w:ascii="Segoe UI" w:hAnsi="Segoe UI" w:cs="Segoe UI"/>
          <w:sz w:val="20"/>
        </w:rPr>
        <w:t>σε €</w:t>
      </w:r>
      <w:r w:rsidR="004F0C08">
        <w:rPr>
          <w:rFonts w:ascii="Segoe UI" w:hAnsi="Segoe UI" w:cs="Segoe UI"/>
          <w:sz w:val="20"/>
        </w:rPr>
        <w:t>29</w:t>
      </w:r>
      <w:r w:rsidR="00D1487B">
        <w:rPr>
          <w:rFonts w:ascii="Segoe UI" w:hAnsi="Segoe UI" w:cs="Segoe UI"/>
          <w:sz w:val="20"/>
        </w:rPr>
        <w:t>6</w:t>
      </w:r>
      <w:r w:rsidR="004F0C08" w:rsidRPr="004F0C08">
        <w:rPr>
          <w:rFonts w:ascii="Segoe UI" w:hAnsi="Segoe UI" w:cs="Segoe UI"/>
          <w:sz w:val="20"/>
        </w:rPr>
        <w:t xml:space="preserve"> εκατ., αντανακλώντας </w:t>
      </w:r>
      <w:r w:rsidR="00D1487B" w:rsidRPr="00D1487B">
        <w:rPr>
          <w:rFonts w:ascii="Segoe UI" w:hAnsi="Segoe UI" w:cs="Segoe UI"/>
          <w:sz w:val="20"/>
        </w:rPr>
        <w:t xml:space="preserve">το όφελος από το χαμηλότερο κόστος χρηματοδότησης </w:t>
      </w:r>
      <w:r w:rsidR="00D1487B">
        <w:rPr>
          <w:rFonts w:ascii="Segoe UI" w:hAnsi="Segoe UI" w:cs="Segoe UI"/>
          <w:sz w:val="20"/>
        </w:rPr>
        <w:t xml:space="preserve">και </w:t>
      </w:r>
      <w:r w:rsidR="004F0C08" w:rsidRPr="004F0C08">
        <w:rPr>
          <w:rFonts w:ascii="Segoe UI" w:hAnsi="Segoe UI" w:cs="Segoe UI"/>
          <w:sz w:val="20"/>
        </w:rPr>
        <w:t xml:space="preserve">την αύξηση </w:t>
      </w:r>
      <w:r w:rsidR="00D1487B">
        <w:rPr>
          <w:rFonts w:ascii="Segoe UI" w:hAnsi="Segoe UI" w:cs="Segoe UI"/>
          <w:sz w:val="20"/>
        </w:rPr>
        <w:t>των καθαρών επιτοκιακών εσόδων από δάνεια. Τ</w:t>
      </w:r>
      <w:r w:rsidR="00D1487B" w:rsidRPr="00870A31">
        <w:rPr>
          <w:rFonts w:ascii="Segoe UI" w:hAnsi="Segoe UI" w:cs="Segoe UI"/>
          <w:sz w:val="20"/>
        </w:rPr>
        <w:t xml:space="preserve">ο </w:t>
      </w:r>
      <w:r w:rsidR="00D1487B" w:rsidRPr="005E7308">
        <w:rPr>
          <w:rFonts w:ascii="Segoe UI" w:hAnsi="Segoe UI" w:cs="Segoe UI"/>
          <w:b/>
          <w:sz w:val="20"/>
        </w:rPr>
        <w:t>καθαρό επιτοκιακό περιθώριο</w:t>
      </w:r>
      <w:r w:rsidR="00D1487B" w:rsidRPr="00870A31">
        <w:rPr>
          <w:rFonts w:ascii="Segoe UI" w:hAnsi="Segoe UI" w:cs="Segoe UI"/>
          <w:sz w:val="20"/>
        </w:rPr>
        <w:t xml:space="preserve"> </w:t>
      </w:r>
      <w:r w:rsidR="00D1487B">
        <w:rPr>
          <w:rFonts w:ascii="Segoe UI" w:hAnsi="Segoe UI" w:cs="Segoe UI"/>
          <w:sz w:val="20"/>
        </w:rPr>
        <w:t>αυξήθηκε</w:t>
      </w:r>
      <w:r w:rsidR="00D1487B" w:rsidRPr="00870A31">
        <w:rPr>
          <w:rFonts w:ascii="Segoe UI" w:hAnsi="Segoe UI" w:cs="Segoe UI"/>
          <w:sz w:val="20"/>
        </w:rPr>
        <w:t xml:space="preserve"> κατά </w:t>
      </w:r>
      <w:r w:rsidR="00D1487B">
        <w:rPr>
          <w:rFonts w:ascii="Segoe UI" w:hAnsi="Segoe UI" w:cs="Segoe UI"/>
          <w:sz w:val="20"/>
        </w:rPr>
        <w:t>3</w:t>
      </w:r>
      <w:r w:rsidR="00D1487B" w:rsidRPr="00870A31">
        <w:rPr>
          <w:rFonts w:ascii="Segoe UI" w:hAnsi="Segoe UI" w:cs="Segoe UI"/>
          <w:sz w:val="20"/>
        </w:rPr>
        <w:t xml:space="preserve">μ.β. σε </w:t>
      </w:r>
      <w:r w:rsidR="00D1487B">
        <w:rPr>
          <w:rFonts w:ascii="Segoe UI" w:hAnsi="Segoe UI" w:cs="Segoe UI"/>
          <w:sz w:val="20"/>
        </w:rPr>
        <w:t>τριμηνιαία</w:t>
      </w:r>
      <w:r w:rsidR="00D1487B" w:rsidRPr="00870A31">
        <w:rPr>
          <w:rFonts w:ascii="Segoe UI" w:hAnsi="Segoe UI" w:cs="Segoe UI"/>
          <w:sz w:val="20"/>
        </w:rPr>
        <w:t xml:space="preserve"> βάση</w:t>
      </w:r>
      <w:r w:rsidR="00F35246">
        <w:rPr>
          <w:rFonts w:ascii="Segoe UI" w:hAnsi="Segoe UI" w:cs="Segoe UI"/>
          <w:sz w:val="20"/>
        </w:rPr>
        <w:t>,</w:t>
      </w:r>
      <w:r w:rsidR="00D1487B">
        <w:rPr>
          <w:rFonts w:ascii="Segoe UI" w:hAnsi="Segoe UI" w:cs="Segoe UI"/>
          <w:sz w:val="20"/>
        </w:rPr>
        <w:t xml:space="preserve"> σε 223</w:t>
      </w:r>
      <w:r w:rsidR="00D1487B" w:rsidRPr="00870A31">
        <w:rPr>
          <w:rFonts w:ascii="Segoe UI" w:hAnsi="Segoe UI" w:cs="Segoe UI"/>
          <w:sz w:val="20"/>
        </w:rPr>
        <w:t>μ.β.</w:t>
      </w:r>
      <w:r w:rsidR="00D1487B" w:rsidRPr="00D1487B">
        <w:rPr>
          <w:rFonts w:ascii="Segoe UI" w:hAnsi="Segoe UI" w:cs="Segoe UI"/>
          <w:sz w:val="20"/>
        </w:rPr>
        <w:t xml:space="preserve"> </w:t>
      </w:r>
      <w:r w:rsidR="00F35246" w:rsidRPr="00F35246">
        <w:rPr>
          <w:rFonts w:ascii="Segoe UI" w:hAnsi="Segoe UI" w:cs="Segoe UI"/>
          <w:sz w:val="20"/>
        </w:rPr>
        <w:t>το Δ’ τρίμηνο 2020</w:t>
      </w:r>
      <w:r w:rsidR="00F35246">
        <w:rPr>
          <w:rFonts w:ascii="Segoe UI" w:hAnsi="Segoe UI" w:cs="Segoe UI"/>
          <w:sz w:val="20"/>
        </w:rPr>
        <w:t xml:space="preserve">. </w:t>
      </w:r>
      <w:r w:rsidR="00D1487B">
        <w:rPr>
          <w:rFonts w:ascii="Segoe UI" w:hAnsi="Segoe UI" w:cs="Segoe UI"/>
          <w:sz w:val="20"/>
        </w:rPr>
        <w:t>Το 2020, τ</w:t>
      </w:r>
      <w:r w:rsidR="00D1487B" w:rsidRPr="00C87229">
        <w:rPr>
          <w:rFonts w:ascii="Segoe UI" w:hAnsi="Segoe UI" w:cs="Segoe UI"/>
          <w:sz w:val="20"/>
        </w:rPr>
        <w:t>α καθαρά έσοδα από τόκους</w:t>
      </w:r>
      <w:r w:rsidR="00D1487B">
        <w:rPr>
          <w:rFonts w:ascii="Segoe UI" w:hAnsi="Segoe UI" w:cs="Segoe UI"/>
          <w:sz w:val="20"/>
        </w:rPr>
        <w:t xml:space="preserve"> </w:t>
      </w:r>
      <w:r w:rsidR="00C87548" w:rsidRPr="00C87548">
        <w:rPr>
          <w:rFonts w:ascii="Segoe UI" w:hAnsi="Segoe UI" w:cs="Segoe UI"/>
          <w:sz w:val="20"/>
        </w:rPr>
        <w:t>διαμορφώθηκαν σε οριακά χαμηλότε</w:t>
      </w:r>
      <w:r w:rsidR="00C87548">
        <w:rPr>
          <w:rFonts w:ascii="Segoe UI" w:hAnsi="Segoe UI" w:cs="Segoe UI"/>
          <w:sz w:val="20"/>
        </w:rPr>
        <w:t xml:space="preserve">ρα </w:t>
      </w:r>
      <w:r w:rsidR="00C87548" w:rsidRPr="00C87548">
        <w:rPr>
          <w:rFonts w:ascii="Segoe UI" w:hAnsi="Segoe UI" w:cs="Segoe UI"/>
          <w:sz w:val="20"/>
        </w:rPr>
        <w:t>επίπεδ</w:t>
      </w:r>
      <w:r w:rsidR="00C87548">
        <w:rPr>
          <w:rFonts w:ascii="Segoe UI" w:hAnsi="Segoe UI" w:cs="Segoe UI"/>
          <w:sz w:val="20"/>
        </w:rPr>
        <w:t>α</w:t>
      </w:r>
      <w:r w:rsidR="00C87548" w:rsidRPr="00C87548">
        <w:rPr>
          <w:rFonts w:ascii="Segoe UI" w:hAnsi="Segoe UI" w:cs="Segoe UI"/>
          <w:sz w:val="20"/>
        </w:rPr>
        <w:t xml:space="preserve"> σε σύγκριση με το προηγούμενο έτος</w:t>
      </w:r>
      <w:r w:rsidR="00C87548">
        <w:rPr>
          <w:rFonts w:ascii="Segoe UI" w:hAnsi="Segoe UI" w:cs="Segoe UI"/>
          <w:sz w:val="20"/>
        </w:rPr>
        <w:t>,</w:t>
      </w:r>
      <w:r w:rsidR="00C87548" w:rsidRPr="00C87548">
        <w:rPr>
          <w:rFonts w:ascii="Segoe UI" w:hAnsi="Segoe UI" w:cs="Segoe UI"/>
          <w:sz w:val="20"/>
        </w:rPr>
        <w:t xml:space="preserve"> </w:t>
      </w:r>
      <w:r w:rsidR="002C5EE3">
        <w:rPr>
          <w:rFonts w:ascii="Segoe UI" w:hAnsi="Segoe UI" w:cs="Segoe UI"/>
          <w:sz w:val="20"/>
        </w:rPr>
        <w:t>σ</w:t>
      </w:r>
      <w:r w:rsidR="00C87548">
        <w:rPr>
          <w:rFonts w:ascii="Segoe UI" w:hAnsi="Segoe UI" w:cs="Segoe UI"/>
          <w:sz w:val="20"/>
        </w:rPr>
        <w:t>τα</w:t>
      </w:r>
      <w:r w:rsidR="002C5EE3">
        <w:rPr>
          <w:rFonts w:ascii="Segoe UI" w:hAnsi="Segoe UI" w:cs="Segoe UI"/>
          <w:sz w:val="20"/>
        </w:rPr>
        <w:t xml:space="preserve"> €1,10</w:t>
      </w:r>
      <w:r w:rsidR="00202EDC">
        <w:rPr>
          <w:rFonts w:ascii="Segoe UI" w:hAnsi="Segoe UI" w:cs="Segoe UI"/>
          <w:sz w:val="20"/>
        </w:rPr>
        <w:t>7</w:t>
      </w:r>
      <w:r w:rsidR="002C5EE3">
        <w:rPr>
          <w:rFonts w:ascii="Segoe UI" w:hAnsi="Segoe UI" w:cs="Segoe UI"/>
          <w:sz w:val="20"/>
        </w:rPr>
        <w:t xml:space="preserve"> εκατ. (-1,5%</w:t>
      </w:r>
      <w:r w:rsidR="00D1487B">
        <w:rPr>
          <w:rFonts w:ascii="Segoe UI" w:hAnsi="Segoe UI" w:cs="Segoe UI"/>
          <w:sz w:val="20"/>
        </w:rPr>
        <w:t xml:space="preserve"> σε ετήσια βάση</w:t>
      </w:r>
      <w:r w:rsidR="002C5EE3">
        <w:rPr>
          <w:rFonts w:ascii="Segoe UI" w:hAnsi="Segoe UI" w:cs="Segoe UI"/>
          <w:sz w:val="20"/>
        </w:rPr>
        <w:t>)</w:t>
      </w:r>
      <w:r w:rsidR="00DE75DA">
        <w:rPr>
          <w:rFonts w:ascii="Segoe UI" w:hAnsi="Segoe UI" w:cs="Segoe UI"/>
          <w:sz w:val="20"/>
        </w:rPr>
        <w:t>,</w:t>
      </w:r>
      <w:r w:rsidR="001E4B93">
        <w:rPr>
          <w:rFonts w:ascii="Segoe UI" w:hAnsi="Segoe UI" w:cs="Segoe UI"/>
          <w:sz w:val="20"/>
        </w:rPr>
        <w:t xml:space="preserve"> παρά τη</w:t>
      </w:r>
      <w:r w:rsidR="00D1487B" w:rsidRPr="00456E34">
        <w:rPr>
          <w:rFonts w:ascii="Segoe UI" w:hAnsi="Segoe UI" w:cs="Segoe UI"/>
          <w:sz w:val="20"/>
        </w:rPr>
        <w:t xml:space="preserve"> σημαντική αποκλιμάκωση ΜΕΑ</w:t>
      </w:r>
      <w:r w:rsidR="001E4B93">
        <w:rPr>
          <w:rFonts w:ascii="Segoe UI" w:hAnsi="Segoe UI" w:cs="Segoe UI"/>
          <w:sz w:val="20"/>
        </w:rPr>
        <w:t xml:space="preserve">, ως αποτέλεσμα της αύξησης </w:t>
      </w:r>
      <w:r w:rsidR="004F0C08" w:rsidRPr="004F0C08">
        <w:rPr>
          <w:rFonts w:ascii="Segoe UI" w:hAnsi="Segoe UI" w:cs="Segoe UI"/>
          <w:sz w:val="20"/>
        </w:rPr>
        <w:t xml:space="preserve">στα υπόλοιπα των εξυπηρετούμενων δανείων, της αυξημένης συμμετοχής </w:t>
      </w:r>
      <w:r w:rsidR="006A490E">
        <w:rPr>
          <w:rFonts w:ascii="Segoe UI" w:hAnsi="Segoe UI" w:cs="Segoe UI"/>
          <w:sz w:val="20"/>
        </w:rPr>
        <w:t xml:space="preserve">της ΕΤΕ </w:t>
      </w:r>
      <w:r w:rsidR="004F0C08" w:rsidRPr="004F0C08">
        <w:rPr>
          <w:rFonts w:ascii="Segoe UI" w:hAnsi="Segoe UI" w:cs="Segoe UI"/>
          <w:sz w:val="20"/>
        </w:rPr>
        <w:t>στο Πρόγραμμα Συναλλαγών Μακροχρόνιας Αναχρηματοδότησης (TLTRO</w:t>
      </w:r>
      <w:r w:rsidR="001E3687" w:rsidRPr="001E3687">
        <w:rPr>
          <w:rFonts w:ascii="Segoe UI" w:hAnsi="Segoe UI" w:cs="Segoe UI"/>
          <w:sz w:val="20"/>
        </w:rPr>
        <w:t xml:space="preserve"> </w:t>
      </w:r>
      <w:r w:rsidR="001E3687">
        <w:rPr>
          <w:rFonts w:ascii="Segoe UI" w:hAnsi="Segoe UI" w:cs="Segoe UI"/>
          <w:sz w:val="20"/>
          <w:lang w:val="en-US"/>
        </w:rPr>
        <w:t>III</w:t>
      </w:r>
      <w:r w:rsidR="004F0C08" w:rsidRPr="004F0C08">
        <w:rPr>
          <w:rFonts w:ascii="Segoe UI" w:hAnsi="Segoe UI" w:cs="Segoe UI"/>
          <w:sz w:val="20"/>
        </w:rPr>
        <w:t xml:space="preserve">) της ΕΚΤ </w:t>
      </w:r>
      <w:r w:rsidR="001E4B93">
        <w:rPr>
          <w:rFonts w:ascii="Segoe UI" w:hAnsi="Segoe UI" w:cs="Segoe UI"/>
          <w:sz w:val="20"/>
        </w:rPr>
        <w:t xml:space="preserve">ύψους €10,5 δισ., καθώς </w:t>
      </w:r>
      <w:r w:rsidR="004F0C08" w:rsidRPr="004F0C08">
        <w:rPr>
          <w:rFonts w:ascii="Segoe UI" w:hAnsi="Segoe UI" w:cs="Segoe UI"/>
          <w:sz w:val="20"/>
        </w:rPr>
        <w:t xml:space="preserve">και της συνεχιζόμενης ανατιμολόγησης </w:t>
      </w:r>
      <w:r w:rsidR="001E3687">
        <w:rPr>
          <w:rFonts w:ascii="Segoe UI" w:hAnsi="Segoe UI" w:cs="Segoe UI"/>
          <w:sz w:val="20"/>
        </w:rPr>
        <w:t xml:space="preserve">των </w:t>
      </w:r>
      <w:r w:rsidR="004F0C08" w:rsidRPr="004F0C08">
        <w:rPr>
          <w:rFonts w:ascii="Segoe UI" w:hAnsi="Segoe UI" w:cs="Segoe UI"/>
          <w:sz w:val="20"/>
        </w:rPr>
        <w:t>καταθέσεων προθεσμίας</w:t>
      </w:r>
      <w:r w:rsidR="001E4B93">
        <w:rPr>
          <w:rFonts w:ascii="Segoe UI" w:hAnsi="Segoe UI" w:cs="Segoe UI"/>
          <w:sz w:val="20"/>
        </w:rPr>
        <w:t xml:space="preserve"> κατά 4</w:t>
      </w:r>
      <w:r w:rsidR="002702B8">
        <w:rPr>
          <w:rFonts w:ascii="Segoe UI" w:hAnsi="Segoe UI" w:cs="Segoe UI"/>
          <w:sz w:val="20"/>
        </w:rPr>
        <w:t>1</w:t>
      </w:r>
      <w:r w:rsidR="001E4B93">
        <w:rPr>
          <w:rFonts w:ascii="Segoe UI" w:hAnsi="Segoe UI" w:cs="Segoe UI"/>
          <w:sz w:val="20"/>
        </w:rPr>
        <w:t>μ.β. σε ετήσια βάση</w:t>
      </w:r>
      <w:r w:rsidR="004F0C08">
        <w:rPr>
          <w:rFonts w:ascii="Segoe UI" w:hAnsi="Segoe UI" w:cs="Segoe UI"/>
          <w:sz w:val="20"/>
        </w:rPr>
        <w:t>.</w:t>
      </w:r>
      <w:r w:rsidR="004F0C08" w:rsidRPr="004F0C08">
        <w:rPr>
          <w:rFonts w:ascii="Segoe UI" w:hAnsi="Segoe UI" w:cs="Segoe UI"/>
          <w:sz w:val="20"/>
        </w:rPr>
        <w:t xml:space="preserve"> </w:t>
      </w:r>
      <w:r w:rsidR="005C5748">
        <w:rPr>
          <w:rFonts w:ascii="Segoe UI" w:hAnsi="Segoe UI" w:cs="Segoe UI"/>
          <w:sz w:val="20"/>
        </w:rPr>
        <w:t>Σημειώνουμε ότι, τα εξυπηρετούμενα</w:t>
      </w:r>
      <w:r w:rsidR="006C271F">
        <w:rPr>
          <w:rFonts w:ascii="Segoe UI" w:hAnsi="Segoe UI" w:cs="Segoe UI"/>
          <w:sz w:val="20"/>
        </w:rPr>
        <w:t xml:space="preserve"> επιχειρηματικά</w:t>
      </w:r>
      <w:r w:rsidR="005C5748">
        <w:rPr>
          <w:rFonts w:ascii="Segoe UI" w:hAnsi="Segoe UI" w:cs="Segoe UI"/>
          <w:sz w:val="20"/>
        </w:rPr>
        <w:t xml:space="preserve"> δάνεια </w:t>
      </w:r>
      <w:r w:rsidR="006C271F">
        <w:rPr>
          <w:rFonts w:ascii="Segoe UI" w:hAnsi="Segoe UI" w:cs="Segoe UI"/>
          <w:sz w:val="20"/>
        </w:rPr>
        <w:t xml:space="preserve">στην Ελλάδα </w:t>
      </w:r>
      <w:r w:rsidR="005C5748">
        <w:rPr>
          <w:rFonts w:ascii="Segoe UI" w:hAnsi="Segoe UI" w:cs="Segoe UI"/>
          <w:sz w:val="20"/>
        </w:rPr>
        <w:t>ενισχύθηκαν κατά €1,8 δισ. ή 14,0% σε ετήσια βάση σε €14,0 δισ.</w:t>
      </w:r>
      <w:r w:rsidR="006C271F">
        <w:rPr>
          <w:rFonts w:ascii="Segoe UI" w:hAnsi="Segoe UI" w:cs="Segoe UI"/>
          <w:sz w:val="20"/>
        </w:rPr>
        <w:t xml:space="preserve"> το 2020, αντανακλώντας εκταμιεύσεις δανείων προς επιχειρήσεις ύψους €3,9 δις. (+38,8% σε ετήσια βάση)</w:t>
      </w:r>
      <w:r w:rsidR="006C271F" w:rsidRPr="006C271F">
        <w:rPr>
          <w:rFonts w:ascii="Segoe UI" w:hAnsi="Segoe UI" w:cs="Segoe UI"/>
          <w:sz w:val="20"/>
        </w:rPr>
        <w:t xml:space="preserve"> </w:t>
      </w:r>
      <w:r w:rsidR="006C271F">
        <w:rPr>
          <w:rFonts w:ascii="Segoe UI" w:hAnsi="Segoe UI" w:cs="Segoe UI"/>
          <w:sz w:val="20"/>
        </w:rPr>
        <w:t>κατά την ίδια χρονική περίοδο, οι οποίες αντιστάθμισαν πλήρως τη</w:t>
      </w:r>
      <w:r w:rsidR="00AE0636">
        <w:rPr>
          <w:rFonts w:ascii="Segoe UI" w:hAnsi="Segoe UI" w:cs="Segoe UI"/>
          <w:sz w:val="20"/>
        </w:rPr>
        <w:t xml:space="preserve">ν απομόχλευση </w:t>
      </w:r>
      <w:r w:rsidR="00C87548" w:rsidRPr="00C87548">
        <w:rPr>
          <w:rFonts w:ascii="Segoe UI" w:hAnsi="Segoe UI" w:cs="Segoe UI"/>
          <w:sz w:val="20"/>
        </w:rPr>
        <w:t>του χαρτοφυλακίου στεγαστικών δανείων</w:t>
      </w:r>
      <w:r w:rsidR="00AE0636">
        <w:rPr>
          <w:rFonts w:ascii="Segoe UI" w:hAnsi="Segoe UI" w:cs="Segoe UI"/>
          <w:sz w:val="20"/>
        </w:rPr>
        <w:t>. Τ</w:t>
      </w:r>
      <w:r w:rsidR="003F19B9">
        <w:rPr>
          <w:rFonts w:ascii="Segoe UI" w:hAnsi="Segoe UI" w:cs="Segoe UI"/>
          <w:sz w:val="20"/>
        </w:rPr>
        <w:t xml:space="preserve">α </w:t>
      </w:r>
      <w:r w:rsidR="00AE0636" w:rsidRPr="00AE0636">
        <w:rPr>
          <w:rFonts w:ascii="Segoe UI" w:hAnsi="Segoe UI" w:cs="Segoe UI"/>
          <w:sz w:val="20"/>
        </w:rPr>
        <w:t>εξυπηρετούμεν</w:t>
      </w:r>
      <w:r w:rsidR="003F19B9">
        <w:rPr>
          <w:rFonts w:ascii="Segoe UI" w:hAnsi="Segoe UI" w:cs="Segoe UI"/>
          <w:sz w:val="20"/>
        </w:rPr>
        <w:t>α</w:t>
      </w:r>
      <w:r w:rsidR="00AE0636" w:rsidRPr="00AE0636">
        <w:rPr>
          <w:rFonts w:ascii="Segoe UI" w:hAnsi="Segoe UI" w:cs="Segoe UI"/>
          <w:sz w:val="20"/>
        </w:rPr>
        <w:t xml:space="preserve"> δ</w:t>
      </w:r>
      <w:r w:rsidR="003F19B9">
        <w:rPr>
          <w:rFonts w:ascii="Segoe UI" w:hAnsi="Segoe UI" w:cs="Segoe UI"/>
          <w:sz w:val="20"/>
        </w:rPr>
        <w:t xml:space="preserve">άνεια στην Ελλάδα </w:t>
      </w:r>
      <w:r w:rsidR="00C87548" w:rsidRPr="00C87548">
        <w:rPr>
          <w:rFonts w:ascii="Segoe UI" w:hAnsi="Segoe UI" w:cs="Segoe UI"/>
          <w:sz w:val="20"/>
        </w:rPr>
        <w:t xml:space="preserve">σημείωσαν άνοδο της τάξεως του </w:t>
      </w:r>
      <w:r w:rsidR="00AE0636" w:rsidRPr="00AE0636">
        <w:rPr>
          <w:rFonts w:ascii="Segoe UI" w:hAnsi="Segoe UI" w:cs="Segoe UI"/>
          <w:sz w:val="20"/>
        </w:rPr>
        <w:t>€1,</w:t>
      </w:r>
      <w:r w:rsidR="00AE0636">
        <w:rPr>
          <w:rFonts w:ascii="Segoe UI" w:hAnsi="Segoe UI" w:cs="Segoe UI"/>
          <w:sz w:val="20"/>
        </w:rPr>
        <w:t>0</w:t>
      </w:r>
      <w:r w:rsidR="00AE0636" w:rsidRPr="00AE0636">
        <w:rPr>
          <w:rFonts w:ascii="Segoe UI" w:hAnsi="Segoe UI" w:cs="Segoe UI"/>
          <w:sz w:val="20"/>
        </w:rPr>
        <w:t xml:space="preserve"> δισ. ή </w:t>
      </w:r>
      <w:r w:rsidR="00AE0636">
        <w:rPr>
          <w:rFonts w:ascii="Segoe UI" w:hAnsi="Segoe UI" w:cs="Segoe UI"/>
          <w:sz w:val="20"/>
        </w:rPr>
        <w:t>4,5</w:t>
      </w:r>
      <w:r w:rsidR="00AE0636" w:rsidRPr="00AE0636">
        <w:rPr>
          <w:rFonts w:ascii="Segoe UI" w:hAnsi="Segoe UI" w:cs="Segoe UI"/>
          <w:sz w:val="20"/>
        </w:rPr>
        <w:t>% σε ετήσια βάση</w:t>
      </w:r>
      <w:r w:rsidR="00AE0636">
        <w:rPr>
          <w:rFonts w:ascii="Segoe UI" w:hAnsi="Segoe UI" w:cs="Segoe UI"/>
          <w:sz w:val="20"/>
        </w:rPr>
        <w:t xml:space="preserve">, </w:t>
      </w:r>
      <w:r w:rsidR="00C87548">
        <w:rPr>
          <w:rFonts w:ascii="Segoe UI" w:hAnsi="Segoe UI" w:cs="Segoe UI"/>
          <w:sz w:val="20"/>
        </w:rPr>
        <w:t>αγγίζοντας τα</w:t>
      </w:r>
      <w:r w:rsidR="00AE0636">
        <w:rPr>
          <w:rFonts w:ascii="Segoe UI" w:hAnsi="Segoe UI" w:cs="Segoe UI"/>
          <w:sz w:val="20"/>
        </w:rPr>
        <w:t xml:space="preserve"> </w:t>
      </w:r>
      <w:r w:rsidR="00AE0636" w:rsidRPr="00AE0636">
        <w:rPr>
          <w:rFonts w:ascii="Segoe UI" w:hAnsi="Segoe UI" w:cs="Segoe UI"/>
          <w:sz w:val="20"/>
        </w:rPr>
        <w:t>€</w:t>
      </w:r>
      <w:r w:rsidR="00AE0636">
        <w:rPr>
          <w:rFonts w:ascii="Segoe UI" w:hAnsi="Segoe UI" w:cs="Segoe UI"/>
          <w:sz w:val="20"/>
        </w:rPr>
        <w:t>23,8</w:t>
      </w:r>
      <w:r w:rsidR="00AE0636" w:rsidRPr="00AE0636">
        <w:rPr>
          <w:rFonts w:ascii="Segoe UI" w:hAnsi="Segoe UI" w:cs="Segoe UI"/>
          <w:sz w:val="20"/>
        </w:rPr>
        <w:t xml:space="preserve"> δισ. το 2020</w:t>
      </w:r>
      <w:r w:rsidR="00AE0636">
        <w:rPr>
          <w:rFonts w:ascii="Segoe UI" w:hAnsi="Segoe UI" w:cs="Segoe UI"/>
          <w:sz w:val="20"/>
        </w:rPr>
        <w:t>.</w:t>
      </w:r>
    </w:p>
    <w:p w:rsidR="00187DE9" w:rsidRPr="00187DE9" w:rsidRDefault="001C508D" w:rsidP="008C475E">
      <w:pPr>
        <w:autoSpaceDE w:val="0"/>
        <w:autoSpaceDN w:val="0"/>
        <w:adjustRightInd w:val="0"/>
        <w:spacing w:after="160" w:line="320" w:lineRule="atLeast"/>
        <w:jc w:val="both"/>
        <w:rPr>
          <w:rFonts w:ascii="Segoe UI" w:eastAsia="MS Mincho" w:hAnsi="Segoe UI" w:cs="Segoe UI"/>
          <w:sz w:val="20"/>
          <w:lang w:bidi="el-GR"/>
        </w:rPr>
      </w:pPr>
      <w:r>
        <w:rPr>
          <w:rFonts w:ascii="Segoe UI" w:eastAsia="MS Mincho" w:hAnsi="Segoe UI" w:cs="Segoe UI"/>
          <w:sz w:val="20"/>
          <w:lang w:bidi="el-GR"/>
        </w:rPr>
        <w:t xml:space="preserve">Παρά </w:t>
      </w:r>
      <w:r w:rsidR="00F21828">
        <w:rPr>
          <w:rFonts w:ascii="Segoe UI" w:eastAsia="MS Mincho" w:hAnsi="Segoe UI" w:cs="Segoe UI"/>
          <w:sz w:val="20"/>
          <w:lang w:bidi="el-GR"/>
        </w:rPr>
        <w:t xml:space="preserve">την επιβολή </w:t>
      </w:r>
      <w:r w:rsidR="008E047E" w:rsidRPr="008E047E">
        <w:rPr>
          <w:rFonts w:ascii="Segoe UI" w:eastAsia="MS Mincho" w:hAnsi="Segoe UI" w:cs="Segoe UI"/>
          <w:sz w:val="20"/>
          <w:lang w:bidi="el-GR"/>
        </w:rPr>
        <w:t>γενικ</w:t>
      </w:r>
      <w:r w:rsidR="00F21828">
        <w:rPr>
          <w:rFonts w:ascii="Segoe UI" w:eastAsia="MS Mincho" w:hAnsi="Segoe UI" w:cs="Segoe UI"/>
          <w:sz w:val="20"/>
          <w:lang w:bidi="el-GR"/>
        </w:rPr>
        <w:t xml:space="preserve">ού </w:t>
      </w:r>
      <w:r w:rsidR="008E047E" w:rsidRPr="008E047E">
        <w:rPr>
          <w:rFonts w:ascii="Segoe UI" w:eastAsia="MS Mincho" w:hAnsi="Segoe UI" w:cs="Segoe UI"/>
          <w:sz w:val="20"/>
          <w:lang w:bidi="el-GR"/>
        </w:rPr>
        <w:t>απαγορευτικ</w:t>
      </w:r>
      <w:r w:rsidR="00F21828">
        <w:rPr>
          <w:rFonts w:ascii="Segoe UI" w:eastAsia="MS Mincho" w:hAnsi="Segoe UI" w:cs="Segoe UI"/>
          <w:sz w:val="20"/>
          <w:lang w:bidi="el-GR"/>
        </w:rPr>
        <w:t>ού</w:t>
      </w:r>
      <w:r w:rsidR="00E676A0" w:rsidRPr="00E676A0">
        <w:rPr>
          <w:rFonts w:ascii="Segoe UI" w:eastAsia="MS Mincho" w:hAnsi="Segoe UI" w:cs="Segoe UI"/>
          <w:sz w:val="20"/>
          <w:lang w:bidi="el-GR"/>
        </w:rPr>
        <w:t xml:space="preserve">, τα </w:t>
      </w:r>
      <w:r w:rsidR="00E676A0" w:rsidRPr="00A8021C">
        <w:rPr>
          <w:rFonts w:ascii="Segoe UI" w:eastAsia="MS Mincho" w:hAnsi="Segoe UI" w:cs="Segoe UI"/>
          <w:b/>
          <w:sz w:val="20"/>
          <w:lang w:bidi="el-GR"/>
        </w:rPr>
        <w:t>καθαρά έσοδα από προμήθειες</w:t>
      </w:r>
      <w:r w:rsidR="00E676A0" w:rsidRPr="00E676A0">
        <w:rPr>
          <w:rFonts w:ascii="Segoe UI" w:eastAsia="MS Mincho" w:hAnsi="Segoe UI" w:cs="Segoe UI"/>
          <w:sz w:val="20"/>
          <w:lang w:bidi="el-GR"/>
        </w:rPr>
        <w:t xml:space="preserve"> </w:t>
      </w:r>
      <w:r w:rsidR="00E676A0">
        <w:rPr>
          <w:rFonts w:ascii="Segoe UI" w:eastAsia="MS Mincho" w:hAnsi="Segoe UI" w:cs="Segoe UI"/>
          <w:sz w:val="20"/>
          <w:lang w:bidi="el-GR"/>
        </w:rPr>
        <w:t>ανήλθαν σε €6</w:t>
      </w:r>
      <w:r>
        <w:rPr>
          <w:rFonts w:ascii="Segoe UI" w:eastAsia="MS Mincho" w:hAnsi="Segoe UI" w:cs="Segoe UI"/>
          <w:sz w:val="20"/>
          <w:lang w:bidi="el-GR"/>
        </w:rPr>
        <w:t>5</w:t>
      </w:r>
      <w:r w:rsidR="00E676A0">
        <w:rPr>
          <w:rFonts w:ascii="Segoe UI" w:eastAsia="MS Mincho" w:hAnsi="Segoe UI" w:cs="Segoe UI"/>
          <w:sz w:val="20"/>
          <w:lang w:bidi="el-GR"/>
        </w:rPr>
        <w:t xml:space="preserve"> εκατ. </w:t>
      </w:r>
      <w:r w:rsidR="00710B53" w:rsidRPr="00E676A0">
        <w:rPr>
          <w:rFonts w:ascii="Segoe UI" w:eastAsia="MS Mincho" w:hAnsi="Segoe UI" w:cs="Segoe UI"/>
          <w:sz w:val="20"/>
          <w:lang w:bidi="el-GR"/>
        </w:rPr>
        <w:t xml:space="preserve">το </w:t>
      </w:r>
      <w:r w:rsidR="00710B53">
        <w:rPr>
          <w:rFonts w:ascii="Segoe UI" w:eastAsia="MS Mincho" w:hAnsi="Segoe UI" w:cs="Segoe UI"/>
          <w:sz w:val="20"/>
          <w:lang w:bidi="el-GR"/>
        </w:rPr>
        <w:t>Δ</w:t>
      </w:r>
      <w:r w:rsidR="00710B53" w:rsidRPr="00E676A0">
        <w:rPr>
          <w:rFonts w:ascii="Segoe UI" w:eastAsia="MS Mincho" w:hAnsi="Segoe UI" w:cs="Segoe UI"/>
          <w:sz w:val="20"/>
          <w:lang w:bidi="el-GR"/>
        </w:rPr>
        <w:t>’ τρίμηνο 2020</w:t>
      </w:r>
      <w:r w:rsidR="00710B53">
        <w:rPr>
          <w:rFonts w:ascii="Segoe UI" w:eastAsia="MS Mincho" w:hAnsi="Segoe UI" w:cs="Segoe UI"/>
          <w:sz w:val="20"/>
          <w:lang w:bidi="el-GR"/>
        </w:rPr>
        <w:t xml:space="preserve"> </w:t>
      </w:r>
      <w:r w:rsidR="003F1F3E">
        <w:rPr>
          <w:rFonts w:ascii="Segoe UI" w:eastAsia="MS Mincho" w:hAnsi="Segoe UI" w:cs="Segoe UI"/>
          <w:sz w:val="20"/>
          <w:lang w:bidi="el-GR"/>
        </w:rPr>
        <w:t>από €</w:t>
      </w:r>
      <w:r>
        <w:rPr>
          <w:rFonts w:ascii="Segoe UI" w:eastAsia="MS Mincho" w:hAnsi="Segoe UI" w:cs="Segoe UI"/>
          <w:sz w:val="20"/>
          <w:lang w:bidi="el-GR"/>
        </w:rPr>
        <w:t>61</w:t>
      </w:r>
      <w:r w:rsidR="003F1F3E">
        <w:rPr>
          <w:rFonts w:ascii="Segoe UI" w:eastAsia="MS Mincho" w:hAnsi="Segoe UI" w:cs="Segoe UI"/>
          <w:sz w:val="20"/>
          <w:lang w:bidi="el-GR"/>
        </w:rPr>
        <w:t xml:space="preserve"> εκατ. </w:t>
      </w:r>
      <w:r>
        <w:rPr>
          <w:rFonts w:ascii="Segoe UI" w:eastAsia="MS Mincho" w:hAnsi="Segoe UI" w:cs="Segoe UI"/>
          <w:sz w:val="20"/>
          <w:lang w:bidi="el-GR"/>
        </w:rPr>
        <w:t>το Γ’ τρίμηνο 2020</w:t>
      </w:r>
      <w:r w:rsidR="00E676A0" w:rsidRPr="00E676A0">
        <w:rPr>
          <w:rFonts w:ascii="Segoe UI" w:eastAsia="MS Mincho" w:hAnsi="Segoe UI" w:cs="Segoe UI"/>
          <w:sz w:val="20"/>
          <w:lang w:bidi="el-GR"/>
        </w:rPr>
        <w:t xml:space="preserve">, </w:t>
      </w:r>
      <w:r w:rsidR="00C42FAF">
        <w:rPr>
          <w:rFonts w:ascii="Segoe UI" w:eastAsia="MS Mincho" w:hAnsi="Segoe UI" w:cs="Segoe UI"/>
          <w:sz w:val="20"/>
          <w:lang w:bidi="el-GR"/>
        </w:rPr>
        <w:t>αντανακλώντας την αν</w:t>
      </w:r>
      <w:r w:rsidR="00E676A0" w:rsidRPr="00E676A0">
        <w:rPr>
          <w:rFonts w:ascii="Segoe UI" w:eastAsia="MS Mincho" w:hAnsi="Segoe UI" w:cs="Segoe UI"/>
          <w:sz w:val="20"/>
          <w:lang w:bidi="el-GR"/>
        </w:rPr>
        <w:t>άκαμψη των προμηθειών Λιανικής Τραπεζικής</w:t>
      </w:r>
      <w:r w:rsidR="000815AD">
        <w:rPr>
          <w:rFonts w:ascii="Segoe UI" w:eastAsia="MS Mincho" w:hAnsi="Segoe UI" w:cs="Segoe UI"/>
          <w:sz w:val="20"/>
          <w:lang w:bidi="el-GR"/>
        </w:rPr>
        <w:t xml:space="preserve"> (</w:t>
      </w:r>
      <w:r w:rsidR="000815AD" w:rsidRPr="00B439EE">
        <w:rPr>
          <w:rFonts w:ascii="Segoe UI" w:eastAsia="MS Mincho" w:hAnsi="Segoe UI" w:cs="Segoe UI"/>
          <w:sz w:val="20"/>
          <w:lang w:bidi="el-GR"/>
        </w:rPr>
        <w:t>+</w:t>
      </w:r>
      <w:r w:rsidR="00F72A3F">
        <w:rPr>
          <w:rFonts w:ascii="Segoe UI" w:eastAsia="MS Mincho" w:hAnsi="Segoe UI" w:cs="Segoe UI"/>
          <w:sz w:val="20"/>
          <w:lang w:bidi="el-GR"/>
        </w:rPr>
        <w:t>4,3</w:t>
      </w:r>
      <w:r w:rsidR="000815AD" w:rsidRPr="00B439EE">
        <w:rPr>
          <w:rFonts w:ascii="Segoe UI" w:eastAsia="MS Mincho" w:hAnsi="Segoe UI" w:cs="Segoe UI"/>
          <w:sz w:val="20"/>
          <w:lang w:bidi="el-GR"/>
        </w:rPr>
        <w:t xml:space="preserve">% σε </w:t>
      </w:r>
      <w:r w:rsidR="000815AD">
        <w:rPr>
          <w:rFonts w:ascii="Segoe UI" w:eastAsia="MS Mincho" w:hAnsi="Segoe UI" w:cs="Segoe UI"/>
          <w:sz w:val="20"/>
          <w:lang w:bidi="el-GR"/>
        </w:rPr>
        <w:t xml:space="preserve">τριμηνιαία </w:t>
      </w:r>
      <w:r w:rsidR="000815AD" w:rsidRPr="00B439EE">
        <w:rPr>
          <w:rFonts w:ascii="Segoe UI" w:eastAsia="MS Mincho" w:hAnsi="Segoe UI" w:cs="Segoe UI"/>
          <w:sz w:val="20"/>
          <w:lang w:bidi="el-GR"/>
        </w:rPr>
        <w:t>βάση</w:t>
      </w:r>
      <w:r w:rsidR="000815AD">
        <w:rPr>
          <w:rFonts w:ascii="Segoe UI" w:eastAsia="MS Mincho" w:hAnsi="Segoe UI" w:cs="Segoe UI"/>
          <w:sz w:val="20"/>
          <w:lang w:bidi="el-GR"/>
        </w:rPr>
        <w:t>)</w:t>
      </w:r>
      <w:r w:rsidR="00E676A0" w:rsidRPr="00E676A0">
        <w:rPr>
          <w:rFonts w:ascii="Segoe UI" w:eastAsia="MS Mincho" w:hAnsi="Segoe UI" w:cs="Segoe UI"/>
          <w:sz w:val="20"/>
          <w:lang w:bidi="el-GR"/>
        </w:rPr>
        <w:t xml:space="preserve">. </w:t>
      </w:r>
      <w:r w:rsidR="00C42FAF">
        <w:rPr>
          <w:rFonts w:ascii="Segoe UI" w:eastAsia="MS Mincho" w:hAnsi="Segoe UI" w:cs="Segoe UI"/>
          <w:sz w:val="20"/>
          <w:lang w:bidi="el-GR"/>
        </w:rPr>
        <w:t>Σε</w:t>
      </w:r>
      <w:r w:rsidR="00E676A0" w:rsidRPr="00E676A0">
        <w:rPr>
          <w:rFonts w:ascii="Segoe UI" w:eastAsia="MS Mincho" w:hAnsi="Segoe UI" w:cs="Segoe UI"/>
          <w:sz w:val="20"/>
          <w:lang w:bidi="el-GR"/>
        </w:rPr>
        <w:t xml:space="preserve"> επίπεδο </w:t>
      </w:r>
      <w:r w:rsidR="007E4D32">
        <w:rPr>
          <w:rFonts w:ascii="Segoe UI" w:eastAsia="MS Mincho" w:hAnsi="Segoe UI" w:cs="Segoe UI"/>
          <w:sz w:val="20"/>
          <w:lang w:bidi="el-GR"/>
        </w:rPr>
        <w:t>έτους</w:t>
      </w:r>
      <w:r w:rsidR="00E676A0" w:rsidRPr="00E676A0">
        <w:rPr>
          <w:rFonts w:ascii="Segoe UI" w:eastAsia="MS Mincho" w:hAnsi="Segoe UI" w:cs="Segoe UI"/>
          <w:sz w:val="20"/>
          <w:lang w:bidi="el-GR"/>
        </w:rPr>
        <w:t xml:space="preserve"> και παρά </w:t>
      </w:r>
      <w:r w:rsidR="00A92B3B" w:rsidRPr="00A92B3B">
        <w:rPr>
          <w:rFonts w:ascii="Segoe UI" w:eastAsia="MS Mincho" w:hAnsi="Segoe UI" w:cs="Segoe UI"/>
          <w:sz w:val="20"/>
          <w:lang w:bidi="el-GR"/>
        </w:rPr>
        <w:t>τ</w:t>
      </w:r>
      <w:r w:rsidR="00EF28CB">
        <w:rPr>
          <w:rFonts w:ascii="Segoe UI" w:eastAsia="MS Mincho" w:hAnsi="Segoe UI" w:cs="Segoe UI"/>
          <w:sz w:val="20"/>
          <w:lang w:bidi="el-GR"/>
        </w:rPr>
        <w:t>ους</w:t>
      </w:r>
      <w:r w:rsidR="00A92B3B" w:rsidRPr="00A92B3B">
        <w:rPr>
          <w:rFonts w:ascii="Segoe UI" w:eastAsia="MS Mincho" w:hAnsi="Segoe UI" w:cs="Segoe UI"/>
          <w:sz w:val="20"/>
          <w:lang w:bidi="el-GR"/>
        </w:rPr>
        <w:t xml:space="preserve"> περιορισμ</w:t>
      </w:r>
      <w:r w:rsidR="00EF28CB">
        <w:rPr>
          <w:rFonts w:ascii="Segoe UI" w:eastAsia="MS Mincho" w:hAnsi="Segoe UI" w:cs="Segoe UI"/>
          <w:sz w:val="20"/>
          <w:lang w:bidi="el-GR"/>
        </w:rPr>
        <w:t>ούς</w:t>
      </w:r>
      <w:r w:rsidR="00A92B3B" w:rsidRPr="00A92B3B">
        <w:rPr>
          <w:rFonts w:ascii="Segoe UI" w:eastAsia="MS Mincho" w:hAnsi="Segoe UI" w:cs="Segoe UI"/>
          <w:sz w:val="20"/>
          <w:lang w:bidi="el-GR"/>
        </w:rPr>
        <w:t xml:space="preserve"> στην οικονομική δραστηριότητα εξαιτίας της πανδημίας κατά το μεγαλύτερο μέρος του έτους</w:t>
      </w:r>
      <w:r w:rsidR="00E676A0" w:rsidRPr="00E676A0">
        <w:rPr>
          <w:rFonts w:ascii="Segoe UI" w:eastAsia="MS Mincho" w:hAnsi="Segoe UI" w:cs="Segoe UI"/>
          <w:sz w:val="20"/>
          <w:lang w:bidi="el-GR"/>
        </w:rPr>
        <w:t xml:space="preserve">, τα καθαρά έσοδα από προμήθειες αυξήθηκαν κατά </w:t>
      </w:r>
      <w:r w:rsidR="00740DB6">
        <w:rPr>
          <w:rFonts w:ascii="Segoe UI" w:eastAsia="MS Mincho" w:hAnsi="Segoe UI" w:cs="Segoe UI"/>
          <w:sz w:val="20"/>
          <w:lang w:bidi="el-GR"/>
        </w:rPr>
        <w:t>0,8</w:t>
      </w:r>
      <w:r w:rsidR="00E676A0" w:rsidRPr="00E676A0">
        <w:rPr>
          <w:rFonts w:ascii="Segoe UI" w:eastAsia="MS Mincho" w:hAnsi="Segoe UI" w:cs="Segoe UI"/>
          <w:sz w:val="20"/>
          <w:lang w:bidi="el-GR"/>
        </w:rPr>
        <w:t xml:space="preserve">% σε </w:t>
      </w:r>
      <w:r w:rsidR="00FB30A8">
        <w:rPr>
          <w:rFonts w:ascii="Segoe UI" w:eastAsia="MS Mincho" w:hAnsi="Segoe UI" w:cs="Segoe UI"/>
          <w:sz w:val="20"/>
          <w:lang w:bidi="el-GR"/>
        </w:rPr>
        <w:t>σχέση με το 2019</w:t>
      </w:r>
      <w:r w:rsidR="00C83E20">
        <w:rPr>
          <w:rFonts w:ascii="Segoe UI" w:eastAsia="MS Mincho" w:hAnsi="Segoe UI" w:cs="Segoe UI"/>
          <w:sz w:val="20"/>
          <w:lang w:bidi="el-GR"/>
        </w:rPr>
        <w:t>,</w:t>
      </w:r>
      <w:r w:rsidR="00A8021C">
        <w:rPr>
          <w:rFonts w:ascii="Segoe UI" w:eastAsia="MS Mincho" w:hAnsi="Segoe UI" w:cs="Segoe UI"/>
          <w:sz w:val="20"/>
          <w:lang w:bidi="el-GR"/>
        </w:rPr>
        <w:t xml:space="preserve"> σε €</w:t>
      </w:r>
      <w:r w:rsidR="00740DB6">
        <w:rPr>
          <w:rFonts w:ascii="Segoe UI" w:eastAsia="MS Mincho" w:hAnsi="Segoe UI" w:cs="Segoe UI"/>
          <w:sz w:val="20"/>
          <w:lang w:bidi="el-GR"/>
        </w:rPr>
        <w:t>244</w:t>
      </w:r>
      <w:r w:rsidR="00A8021C">
        <w:rPr>
          <w:rFonts w:ascii="Segoe UI" w:eastAsia="MS Mincho" w:hAnsi="Segoe UI" w:cs="Segoe UI"/>
          <w:sz w:val="20"/>
          <w:lang w:bidi="el-GR"/>
        </w:rPr>
        <w:t xml:space="preserve"> εκατ.</w:t>
      </w:r>
      <w:r w:rsidR="00E676A0" w:rsidRPr="00E676A0">
        <w:rPr>
          <w:rFonts w:ascii="Segoe UI" w:eastAsia="MS Mincho" w:hAnsi="Segoe UI" w:cs="Segoe UI"/>
          <w:sz w:val="20"/>
          <w:lang w:bidi="el-GR"/>
        </w:rPr>
        <w:t xml:space="preserve">, </w:t>
      </w:r>
      <w:r w:rsidR="00187DE9">
        <w:rPr>
          <w:rFonts w:ascii="Segoe UI" w:eastAsia="MS Mincho" w:hAnsi="Segoe UI" w:cs="Segoe UI"/>
          <w:sz w:val="20"/>
          <w:lang w:bidi="el-GR"/>
        </w:rPr>
        <w:t>ως αποτέλεσμα της αύξησης</w:t>
      </w:r>
      <w:r w:rsidR="00F1316E" w:rsidRPr="00B439EE">
        <w:rPr>
          <w:rFonts w:ascii="Segoe UI" w:eastAsia="MS Mincho" w:hAnsi="Segoe UI" w:cs="Segoe UI"/>
          <w:sz w:val="20"/>
          <w:lang w:bidi="el-GR"/>
        </w:rPr>
        <w:t xml:space="preserve"> των εσόδων από προμήθειες Λιανικής Τραπεζικής (+</w:t>
      </w:r>
      <w:r w:rsidR="00740DB6">
        <w:rPr>
          <w:rFonts w:ascii="Segoe UI" w:eastAsia="MS Mincho" w:hAnsi="Segoe UI" w:cs="Segoe UI"/>
          <w:sz w:val="20"/>
          <w:lang w:bidi="el-GR"/>
        </w:rPr>
        <w:t>11,9</w:t>
      </w:r>
      <w:r w:rsidR="00F1316E" w:rsidRPr="00B439EE">
        <w:rPr>
          <w:rFonts w:ascii="Segoe UI" w:eastAsia="MS Mincho" w:hAnsi="Segoe UI" w:cs="Segoe UI"/>
          <w:sz w:val="20"/>
          <w:lang w:bidi="el-GR"/>
        </w:rPr>
        <w:t>% σε ετήσια βάση)</w:t>
      </w:r>
      <w:r w:rsidR="00BB72E2" w:rsidRPr="00BB72E2">
        <w:rPr>
          <w:rFonts w:ascii="Segoe UI" w:eastAsia="MS Mincho" w:hAnsi="Segoe UI" w:cs="Segoe UI"/>
          <w:sz w:val="20"/>
          <w:lang w:bidi="el-GR"/>
        </w:rPr>
        <w:t xml:space="preserve">. H </w:t>
      </w:r>
      <w:r w:rsidR="00BB72E2">
        <w:rPr>
          <w:rFonts w:ascii="Segoe UI" w:eastAsia="MS Mincho" w:hAnsi="Segoe UI" w:cs="Segoe UI"/>
          <w:sz w:val="20"/>
          <w:lang w:bidi="el-GR"/>
        </w:rPr>
        <w:t xml:space="preserve">τελευταία </w:t>
      </w:r>
      <w:r w:rsidR="00F1316E" w:rsidRPr="00B439EE">
        <w:rPr>
          <w:rFonts w:ascii="Segoe UI" w:eastAsia="MS Mincho" w:hAnsi="Segoe UI" w:cs="Segoe UI"/>
          <w:sz w:val="20"/>
          <w:lang w:bidi="el-GR"/>
        </w:rPr>
        <w:t>αντανακλ</w:t>
      </w:r>
      <w:r w:rsidR="00BB72E2">
        <w:rPr>
          <w:rFonts w:ascii="Segoe UI" w:eastAsia="MS Mincho" w:hAnsi="Segoe UI" w:cs="Segoe UI"/>
          <w:sz w:val="20"/>
          <w:lang w:bidi="el-GR"/>
        </w:rPr>
        <w:t xml:space="preserve">ά </w:t>
      </w:r>
      <w:r w:rsidR="00F1316E" w:rsidRPr="00B439EE">
        <w:rPr>
          <w:rFonts w:ascii="Segoe UI" w:eastAsia="MS Mincho" w:hAnsi="Segoe UI" w:cs="Segoe UI"/>
          <w:sz w:val="20"/>
          <w:lang w:bidi="el-GR"/>
        </w:rPr>
        <w:t>τη</w:t>
      </w:r>
      <w:r w:rsidR="008C475E">
        <w:rPr>
          <w:rFonts w:ascii="Segoe UI" w:eastAsia="MS Mincho" w:hAnsi="Segoe UI" w:cs="Segoe UI"/>
          <w:sz w:val="20"/>
          <w:lang w:bidi="el-GR"/>
        </w:rPr>
        <w:t xml:space="preserve"> σημαντική αύξηση </w:t>
      </w:r>
      <w:r w:rsidR="008C475E" w:rsidRPr="008C475E">
        <w:rPr>
          <w:rFonts w:ascii="Segoe UI" w:eastAsia="MS Mincho" w:hAnsi="Segoe UI" w:cs="Segoe UI"/>
          <w:sz w:val="20"/>
          <w:lang w:bidi="el-GR"/>
        </w:rPr>
        <w:t xml:space="preserve">των </w:t>
      </w:r>
      <w:r w:rsidR="008C475E">
        <w:rPr>
          <w:rFonts w:ascii="Segoe UI" w:eastAsia="MS Mincho" w:hAnsi="Segoe UI" w:cs="Segoe UI"/>
          <w:sz w:val="20"/>
          <w:lang w:bidi="el-GR"/>
        </w:rPr>
        <w:t xml:space="preserve">προμηθειών από </w:t>
      </w:r>
      <w:r w:rsidR="008C475E" w:rsidRPr="008C475E">
        <w:rPr>
          <w:rFonts w:ascii="Segoe UI" w:eastAsia="MS Mincho" w:hAnsi="Segoe UI" w:cs="Segoe UI"/>
          <w:sz w:val="20"/>
          <w:lang w:bidi="el-GR"/>
        </w:rPr>
        <w:t>συναλλαγ</w:t>
      </w:r>
      <w:r w:rsidR="008C475E">
        <w:rPr>
          <w:rFonts w:ascii="Segoe UI" w:eastAsia="MS Mincho" w:hAnsi="Segoe UI" w:cs="Segoe UI"/>
          <w:sz w:val="20"/>
          <w:lang w:bidi="el-GR"/>
        </w:rPr>
        <w:t xml:space="preserve">ές </w:t>
      </w:r>
      <w:r w:rsidR="008C475E" w:rsidRPr="008C475E">
        <w:rPr>
          <w:rFonts w:ascii="Segoe UI" w:eastAsia="MS Mincho" w:hAnsi="Segoe UI" w:cs="Segoe UI"/>
          <w:sz w:val="20"/>
          <w:lang w:bidi="el-GR"/>
        </w:rPr>
        <w:t xml:space="preserve">μέσω καρτών </w:t>
      </w:r>
      <w:r w:rsidR="00955436" w:rsidRPr="00B439EE">
        <w:rPr>
          <w:rFonts w:ascii="Segoe UI" w:eastAsia="MS Mincho" w:hAnsi="Segoe UI" w:cs="Segoe UI"/>
          <w:sz w:val="20"/>
          <w:lang w:bidi="el-GR"/>
        </w:rPr>
        <w:t>(+</w:t>
      </w:r>
      <w:r w:rsidR="00187DE9">
        <w:rPr>
          <w:rFonts w:ascii="Segoe UI" w:eastAsia="MS Mincho" w:hAnsi="Segoe UI" w:cs="Segoe UI"/>
          <w:sz w:val="20"/>
          <w:lang w:bidi="el-GR"/>
        </w:rPr>
        <w:t>38,0</w:t>
      </w:r>
      <w:r w:rsidR="00955436" w:rsidRPr="00B439EE">
        <w:rPr>
          <w:rFonts w:ascii="Segoe UI" w:eastAsia="MS Mincho" w:hAnsi="Segoe UI" w:cs="Segoe UI"/>
          <w:sz w:val="20"/>
          <w:lang w:bidi="el-GR"/>
        </w:rPr>
        <w:t>% σε ετήσια βάση)</w:t>
      </w:r>
      <w:r w:rsidR="00580E9D">
        <w:rPr>
          <w:rFonts w:ascii="Segoe UI" w:eastAsia="MS Mincho" w:hAnsi="Segoe UI" w:cs="Segoe UI"/>
          <w:sz w:val="20"/>
          <w:lang w:bidi="el-GR"/>
        </w:rPr>
        <w:t xml:space="preserve"> και</w:t>
      </w:r>
      <w:r w:rsidR="00F1316E" w:rsidRPr="00B439EE">
        <w:rPr>
          <w:rFonts w:ascii="Segoe UI" w:eastAsia="MS Mincho" w:hAnsi="Segoe UI" w:cs="Segoe UI"/>
          <w:sz w:val="20"/>
          <w:lang w:bidi="el-GR"/>
        </w:rPr>
        <w:t xml:space="preserve"> υπηρεσίες διαμεσολάβησης </w:t>
      </w:r>
      <w:r w:rsidR="00955436" w:rsidRPr="00B439EE">
        <w:rPr>
          <w:rFonts w:ascii="Segoe UI" w:eastAsia="MS Mincho" w:hAnsi="Segoe UI" w:cs="Segoe UI"/>
          <w:sz w:val="20"/>
          <w:lang w:bidi="el-GR"/>
        </w:rPr>
        <w:t>(+</w:t>
      </w:r>
      <w:r w:rsidR="00187DE9">
        <w:rPr>
          <w:rFonts w:ascii="Segoe UI" w:eastAsia="MS Mincho" w:hAnsi="Segoe UI" w:cs="Segoe UI"/>
          <w:sz w:val="20"/>
          <w:lang w:bidi="el-GR"/>
        </w:rPr>
        <w:t>11,9</w:t>
      </w:r>
      <w:r w:rsidR="00955436" w:rsidRPr="00B439EE">
        <w:rPr>
          <w:rFonts w:ascii="Segoe UI" w:eastAsia="MS Mincho" w:hAnsi="Segoe UI" w:cs="Segoe UI"/>
          <w:sz w:val="20"/>
          <w:lang w:bidi="el-GR"/>
        </w:rPr>
        <w:t>% σε ετήσια βάση)</w:t>
      </w:r>
      <w:r w:rsidR="00B40666">
        <w:rPr>
          <w:rFonts w:ascii="Segoe UI" w:eastAsia="MS Mincho" w:hAnsi="Segoe UI" w:cs="Segoe UI"/>
          <w:sz w:val="20"/>
          <w:lang w:bidi="el-GR"/>
        </w:rPr>
        <w:t>.</w:t>
      </w:r>
      <w:r w:rsidR="00187DE9">
        <w:rPr>
          <w:rFonts w:ascii="Segoe UI" w:eastAsia="MS Mincho" w:hAnsi="Segoe UI" w:cs="Segoe UI"/>
          <w:sz w:val="20"/>
          <w:lang w:bidi="el-GR"/>
        </w:rPr>
        <w:t xml:space="preserve"> </w:t>
      </w:r>
    </w:p>
    <w:p w:rsidR="007670E1" w:rsidRPr="00FA2EBB" w:rsidRDefault="00DA1C9E"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 xml:space="preserve">Τα </w:t>
      </w:r>
      <w:r w:rsidRPr="00756146">
        <w:rPr>
          <w:rFonts w:ascii="Segoe UI" w:hAnsi="Segoe UI" w:cs="Segoe UI"/>
          <w:b/>
          <w:sz w:val="20"/>
        </w:rPr>
        <w:t>κέρδη από χρηματοοικονομικές πράξεις</w:t>
      </w:r>
      <w:r>
        <w:rPr>
          <w:rFonts w:ascii="Segoe UI" w:hAnsi="Segoe UI" w:cs="Segoe UI"/>
          <w:sz w:val="20"/>
        </w:rPr>
        <w:t xml:space="preserve"> </w:t>
      </w:r>
      <w:r w:rsidR="00535632" w:rsidRPr="00535632">
        <w:rPr>
          <w:rFonts w:ascii="Segoe UI" w:hAnsi="Segoe UI" w:cs="Segoe UI"/>
          <w:b/>
          <w:sz w:val="20"/>
        </w:rPr>
        <w:t>και λοιπά έσοδα</w:t>
      </w:r>
      <w:r w:rsidR="00535632" w:rsidRPr="00535632">
        <w:rPr>
          <w:rFonts w:ascii="Segoe UI" w:hAnsi="Segoe UI" w:cs="Segoe UI"/>
          <w:sz w:val="20"/>
        </w:rPr>
        <w:t xml:space="preserve"> </w:t>
      </w:r>
      <w:r>
        <w:rPr>
          <w:rFonts w:ascii="Segoe UI" w:hAnsi="Segoe UI" w:cs="Segoe UI"/>
          <w:sz w:val="20"/>
        </w:rPr>
        <w:t>διαμορφώθηκαν σε €</w:t>
      </w:r>
      <w:r w:rsidR="00B02463">
        <w:rPr>
          <w:rFonts w:ascii="Segoe UI" w:hAnsi="Segoe UI" w:cs="Segoe UI"/>
          <w:sz w:val="20"/>
        </w:rPr>
        <w:t>269</w:t>
      </w:r>
      <w:r>
        <w:rPr>
          <w:rFonts w:ascii="Segoe UI" w:hAnsi="Segoe UI" w:cs="Segoe UI"/>
          <w:sz w:val="20"/>
        </w:rPr>
        <w:t xml:space="preserve"> εκατ. το </w:t>
      </w:r>
      <w:r w:rsidR="00B02463">
        <w:rPr>
          <w:rFonts w:ascii="Segoe UI" w:hAnsi="Segoe UI" w:cs="Segoe UI"/>
          <w:sz w:val="20"/>
        </w:rPr>
        <w:t>Δ</w:t>
      </w:r>
      <w:r>
        <w:rPr>
          <w:rFonts w:ascii="Segoe UI" w:hAnsi="Segoe UI" w:cs="Segoe UI"/>
          <w:sz w:val="20"/>
        </w:rPr>
        <w:t xml:space="preserve">’ </w:t>
      </w:r>
      <w:r w:rsidR="00302002">
        <w:rPr>
          <w:rFonts w:ascii="Segoe UI" w:hAnsi="Segoe UI" w:cs="Segoe UI"/>
          <w:sz w:val="20"/>
        </w:rPr>
        <w:t>τρίμηνο</w:t>
      </w:r>
      <w:r>
        <w:rPr>
          <w:rFonts w:ascii="Segoe UI" w:hAnsi="Segoe UI" w:cs="Segoe UI"/>
          <w:sz w:val="20"/>
        </w:rPr>
        <w:t xml:space="preserve"> 202</w:t>
      </w:r>
      <w:r w:rsidR="00B02463">
        <w:rPr>
          <w:rFonts w:ascii="Segoe UI" w:hAnsi="Segoe UI" w:cs="Segoe UI"/>
          <w:sz w:val="20"/>
        </w:rPr>
        <w:t xml:space="preserve">0, επωφελούμενα από </w:t>
      </w:r>
      <w:r w:rsidR="00B02463" w:rsidRPr="00B02463">
        <w:rPr>
          <w:rFonts w:ascii="Segoe UI" w:hAnsi="Segoe UI" w:cs="Segoe UI"/>
          <w:sz w:val="20"/>
        </w:rPr>
        <w:t xml:space="preserve">μη επαναλαμβανόμενα κέρδη </w:t>
      </w:r>
      <w:r w:rsidR="00B02463">
        <w:rPr>
          <w:rFonts w:ascii="Segoe UI" w:hAnsi="Segoe UI" w:cs="Segoe UI"/>
          <w:sz w:val="20"/>
        </w:rPr>
        <w:t xml:space="preserve">ύψους €250 εκατ. </w:t>
      </w:r>
      <w:r w:rsidR="00B02463" w:rsidRPr="00B02463">
        <w:rPr>
          <w:rFonts w:ascii="Segoe UI" w:hAnsi="Segoe UI" w:cs="Segoe UI"/>
          <w:sz w:val="20"/>
        </w:rPr>
        <w:t xml:space="preserve">σχετιζόμενα με την ανταλλαγή υφιστάμενων </w:t>
      </w:r>
      <w:r w:rsidR="00B02463">
        <w:rPr>
          <w:rFonts w:ascii="Segoe UI" w:hAnsi="Segoe UI" w:cs="Segoe UI"/>
          <w:sz w:val="20"/>
        </w:rPr>
        <w:t>ΟΕΔ</w:t>
      </w:r>
      <w:r w:rsidR="009C0589">
        <w:rPr>
          <w:rFonts w:ascii="Segoe UI" w:hAnsi="Segoe UI" w:cs="Segoe UI"/>
          <w:sz w:val="20"/>
        </w:rPr>
        <w:t xml:space="preserve"> </w:t>
      </w:r>
      <w:r w:rsidR="001B5ED8" w:rsidRPr="006458BD">
        <w:rPr>
          <w:rFonts w:ascii="Segoe UI" w:hAnsi="Segoe UI" w:cs="Segoe UI"/>
          <w:sz w:val="20"/>
        </w:rPr>
        <w:t xml:space="preserve">που κατείχε η ΕΤΕ </w:t>
      </w:r>
      <w:r w:rsidR="009C0589">
        <w:rPr>
          <w:rFonts w:ascii="Segoe UI" w:hAnsi="Segoe UI" w:cs="Segoe UI"/>
          <w:sz w:val="20"/>
        </w:rPr>
        <w:t>σ</w:t>
      </w:r>
      <w:r w:rsidR="00F050F6">
        <w:rPr>
          <w:rFonts w:ascii="Segoe UI" w:hAnsi="Segoe UI" w:cs="Segoe UI"/>
          <w:sz w:val="20"/>
        </w:rPr>
        <w:t xml:space="preserve">το πλαίσιο </w:t>
      </w:r>
      <w:r w:rsidR="009C0589">
        <w:rPr>
          <w:rFonts w:ascii="Segoe UI" w:hAnsi="Segoe UI" w:cs="Segoe UI"/>
          <w:sz w:val="20"/>
        </w:rPr>
        <w:t>δύο συναλλαγ</w:t>
      </w:r>
      <w:r w:rsidR="00F050F6">
        <w:rPr>
          <w:rFonts w:ascii="Segoe UI" w:hAnsi="Segoe UI" w:cs="Segoe UI"/>
          <w:sz w:val="20"/>
        </w:rPr>
        <w:t>ών</w:t>
      </w:r>
      <w:r w:rsidR="009C0589">
        <w:rPr>
          <w:rFonts w:ascii="Segoe UI" w:hAnsi="Segoe UI" w:cs="Segoe UI"/>
          <w:sz w:val="20"/>
        </w:rPr>
        <w:t xml:space="preserve"> που έλαβαν χώρα το Δεκέμβριο</w:t>
      </w:r>
      <w:r>
        <w:rPr>
          <w:rFonts w:ascii="Segoe UI" w:hAnsi="Segoe UI" w:cs="Segoe UI"/>
          <w:sz w:val="20"/>
        </w:rPr>
        <w:t>.</w:t>
      </w:r>
      <w:r w:rsidR="00302002">
        <w:rPr>
          <w:rFonts w:ascii="Segoe UI" w:hAnsi="Segoe UI" w:cs="Segoe UI"/>
          <w:sz w:val="20"/>
        </w:rPr>
        <w:t xml:space="preserve"> </w:t>
      </w:r>
      <w:r w:rsidR="00405B08" w:rsidRPr="00405B08">
        <w:rPr>
          <w:rFonts w:ascii="Segoe UI" w:hAnsi="Segoe UI" w:cs="Segoe UI"/>
          <w:sz w:val="20"/>
        </w:rPr>
        <w:t>Το 2020, τα κέρδη από χρηματοοικονομικές πράξεις και λοιπά έσοδα ανήλθαν σε €</w:t>
      </w:r>
      <w:r w:rsidR="00E17CBB">
        <w:rPr>
          <w:rFonts w:ascii="Segoe UI" w:hAnsi="Segoe UI" w:cs="Segoe UI"/>
          <w:sz w:val="20"/>
        </w:rPr>
        <w:t>1,098</w:t>
      </w:r>
      <w:r w:rsidR="00405B08" w:rsidRPr="00405B08">
        <w:rPr>
          <w:rFonts w:ascii="Segoe UI" w:hAnsi="Segoe UI" w:cs="Segoe UI"/>
          <w:sz w:val="20"/>
        </w:rPr>
        <w:t xml:space="preserve"> εκατ., </w:t>
      </w:r>
      <w:r w:rsidR="00E17CBB">
        <w:rPr>
          <w:rFonts w:ascii="Segoe UI" w:hAnsi="Segoe UI" w:cs="Segoe UI"/>
          <w:sz w:val="20"/>
        </w:rPr>
        <w:t xml:space="preserve">εκ των οποίων €765 εκατ. </w:t>
      </w:r>
      <w:r w:rsidR="009C34DE">
        <w:rPr>
          <w:rFonts w:ascii="Segoe UI" w:hAnsi="Segoe UI" w:cs="Segoe UI"/>
          <w:sz w:val="20"/>
        </w:rPr>
        <w:t xml:space="preserve">σχετίζονται με </w:t>
      </w:r>
      <w:r w:rsidR="006458BD" w:rsidRPr="006458BD">
        <w:rPr>
          <w:rFonts w:ascii="Segoe UI" w:hAnsi="Segoe UI" w:cs="Segoe UI"/>
          <w:sz w:val="20"/>
        </w:rPr>
        <w:t xml:space="preserve">την ανταλλαγή υφιστάμενων ΟΕΔ </w:t>
      </w:r>
      <w:r w:rsidR="003A46B9">
        <w:rPr>
          <w:rFonts w:ascii="Segoe UI" w:hAnsi="Segoe UI" w:cs="Segoe UI"/>
          <w:sz w:val="20"/>
        </w:rPr>
        <w:t xml:space="preserve">στο </w:t>
      </w:r>
      <w:r w:rsidR="003A46B9" w:rsidRPr="003A46B9">
        <w:rPr>
          <w:rFonts w:ascii="Segoe UI" w:hAnsi="Segoe UI" w:cs="Segoe UI"/>
          <w:sz w:val="20"/>
        </w:rPr>
        <w:t xml:space="preserve">χαρτοφυλάκιο </w:t>
      </w:r>
      <w:r w:rsidR="00D90008">
        <w:rPr>
          <w:rFonts w:ascii="Segoe UI" w:hAnsi="Segoe UI" w:cs="Segoe UI"/>
          <w:sz w:val="20"/>
        </w:rPr>
        <w:t>«</w:t>
      </w:r>
      <w:r w:rsidR="00D90008" w:rsidRPr="00D90008">
        <w:rPr>
          <w:rFonts w:ascii="Segoe UI" w:hAnsi="Segoe UI" w:cs="Segoe UI"/>
          <w:sz w:val="20"/>
        </w:rPr>
        <w:t>διακρατούμενων για την είσπραξη συμβατικών ταμειακών ροών</w:t>
      </w:r>
      <w:r w:rsidR="00D90008">
        <w:rPr>
          <w:rFonts w:ascii="Segoe UI" w:hAnsi="Segoe UI" w:cs="Segoe UI"/>
          <w:sz w:val="20"/>
        </w:rPr>
        <w:t>»</w:t>
      </w:r>
      <w:r w:rsidR="00D90008" w:rsidRPr="00D90008">
        <w:rPr>
          <w:rFonts w:ascii="Segoe UI" w:hAnsi="Segoe UI" w:cs="Segoe UI"/>
          <w:sz w:val="20"/>
        </w:rPr>
        <w:t xml:space="preserve"> </w:t>
      </w:r>
      <w:r w:rsidR="009C34DE">
        <w:rPr>
          <w:rFonts w:ascii="Segoe UI" w:hAnsi="Segoe UI" w:cs="Segoe UI"/>
          <w:sz w:val="20"/>
        </w:rPr>
        <w:t xml:space="preserve">τον Ιανουάριο </w:t>
      </w:r>
      <w:r w:rsidR="006458BD" w:rsidRPr="006458BD">
        <w:rPr>
          <w:rFonts w:ascii="Segoe UI" w:hAnsi="Segoe UI" w:cs="Segoe UI"/>
          <w:sz w:val="20"/>
        </w:rPr>
        <w:t>(€515 εκατ.)</w:t>
      </w:r>
      <w:r w:rsidR="009C34DE">
        <w:rPr>
          <w:rFonts w:ascii="Segoe UI" w:hAnsi="Segoe UI" w:cs="Segoe UI"/>
          <w:sz w:val="20"/>
        </w:rPr>
        <w:t xml:space="preserve"> και το Δεκέμβριο (€250 εκατ.)</w:t>
      </w:r>
      <w:r w:rsidR="000E75D4" w:rsidRPr="000E75D4">
        <w:rPr>
          <w:rFonts w:ascii="Segoe UI" w:hAnsi="Segoe UI" w:cs="Segoe UI"/>
          <w:sz w:val="20"/>
        </w:rPr>
        <w:t xml:space="preserve"> </w:t>
      </w:r>
      <w:r w:rsidR="000E75D4">
        <w:rPr>
          <w:rFonts w:ascii="Segoe UI" w:hAnsi="Segoe UI" w:cs="Segoe UI"/>
          <w:sz w:val="20"/>
        </w:rPr>
        <w:t xml:space="preserve">και </w:t>
      </w:r>
      <w:r w:rsidR="000E75D4" w:rsidRPr="006458BD">
        <w:rPr>
          <w:rFonts w:ascii="Segoe UI" w:hAnsi="Segoe UI" w:cs="Segoe UI"/>
          <w:sz w:val="20"/>
        </w:rPr>
        <w:t>€264 εκατ.</w:t>
      </w:r>
      <w:r w:rsidR="000E75D4">
        <w:rPr>
          <w:rFonts w:ascii="Segoe UI" w:hAnsi="Segoe UI" w:cs="Segoe UI"/>
          <w:sz w:val="20"/>
        </w:rPr>
        <w:t xml:space="preserve"> </w:t>
      </w:r>
      <w:r w:rsidR="003A59CD">
        <w:rPr>
          <w:rFonts w:ascii="Segoe UI" w:hAnsi="Segoe UI" w:cs="Segoe UI"/>
          <w:sz w:val="20"/>
        </w:rPr>
        <w:t xml:space="preserve">απορρέουν από </w:t>
      </w:r>
      <w:r w:rsidR="006458BD" w:rsidRPr="006458BD">
        <w:rPr>
          <w:rFonts w:ascii="Segoe UI" w:hAnsi="Segoe UI" w:cs="Segoe UI"/>
          <w:sz w:val="20"/>
        </w:rPr>
        <w:t xml:space="preserve">την πώληση ΟΕΔ στο χαρτοφυλάκιο «διακρατούμενων για την είσπραξη συμβατικών ταμειακών ροών και για ενδεχόμενη πώληση» </w:t>
      </w:r>
      <w:r w:rsidR="00E42468" w:rsidRPr="00E42468">
        <w:rPr>
          <w:rFonts w:ascii="Segoe UI" w:hAnsi="Segoe UI" w:cs="Segoe UI"/>
          <w:sz w:val="20"/>
        </w:rPr>
        <w:t>το</w:t>
      </w:r>
      <w:r w:rsidR="009C34DE">
        <w:rPr>
          <w:rFonts w:ascii="Segoe UI" w:hAnsi="Segoe UI" w:cs="Segoe UI"/>
          <w:sz w:val="20"/>
        </w:rPr>
        <w:t>ν Φεβρουάριο.</w:t>
      </w:r>
      <w:r w:rsidR="00ED6EBE">
        <w:rPr>
          <w:rFonts w:ascii="Segoe UI" w:hAnsi="Segoe UI" w:cs="Segoe UI"/>
          <w:sz w:val="20"/>
        </w:rPr>
        <w:t xml:space="preserve"> </w:t>
      </w:r>
    </w:p>
    <w:p w:rsidR="00BF7C61" w:rsidRPr="00BF7C61" w:rsidRDefault="00714756" w:rsidP="00BF7C61">
      <w:pPr>
        <w:autoSpaceDE w:val="0"/>
        <w:autoSpaceDN w:val="0"/>
        <w:adjustRightInd w:val="0"/>
        <w:spacing w:after="160" w:line="320" w:lineRule="atLeast"/>
        <w:jc w:val="both"/>
        <w:rPr>
          <w:rFonts w:ascii="Segoe UI" w:hAnsi="Segoe UI" w:cs="Segoe UI"/>
          <w:sz w:val="20"/>
        </w:rPr>
      </w:pPr>
      <w:r w:rsidRPr="00714756">
        <w:rPr>
          <w:rFonts w:ascii="Segoe UI" w:hAnsi="Segoe UI" w:cs="Segoe UI"/>
          <w:sz w:val="20"/>
        </w:rPr>
        <w:lastRenderedPageBreak/>
        <w:t xml:space="preserve">Οι </w:t>
      </w:r>
      <w:r w:rsidRPr="0004729A">
        <w:rPr>
          <w:rFonts w:ascii="Segoe UI" w:hAnsi="Segoe UI" w:cs="Segoe UI"/>
          <w:b/>
          <w:sz w:val="20"/>
        </w:rPr>
        <w:t>λειτουργικές δαπάνες</w:t>
      </w:r>
      <w:r w:rsidRPr="00714756">
        <w:rPr>
          <w:rFonts w:ascii="Segoe UI" w:hAnsi="Segoe UI" w:cs="Segoe UI"/>
          <w:sz w:val="20"/>
        </w:rPr>
        <w:t xml:space="preserve"> </w:t>
      </w:r>
      <w:r w:rsidR="00286FD9">
        <w:rPr>
          <w:rFonts w:ascii="Segoe UI" w:hAnsi="Segoe UI" w:cs="Segoe UI"/>
          <w:sz w:val="20"/>
        </w:rPr>
        <w:t xml:space="preserve">αυξήθηκαν κατά 6,7% σε </w:t>
      </w:r>
      <w:r w:rsidR="00DA5511">
        <w:rPr>
          <w:rFonts w:ascii="Segoe UI" w:hAnsi="Segoe UI" w:cs="Segoe UI"/>
          <w:sz w:val="20"/>
        </w:rPr>
        <w:t>τριμηνιαία βάση</w:t>
      </w:r>
      <w:r w:rsidR="00CB3664">
        <w:rPr>
          <w:rFonts w:ascii="Segoe UI" w:hAnsi="Segoe UI" w:cs="Segoe UI"/>
          <w:sz w:val="20"/>
        </w:rPr>
        <w:t>,</w:t>
      </w:r>
      <w:r w:rsidRPr="00714756">
        <w:rPr>
          <w:rFonts w:ascii="Segoe UI" w:hAnsi="Segoe UI" w:cs="Segoe UI"/>
          <w:sz w:val="20"/>
        </w:rPr>
        <w:t xml:space="preserve"> σε </w:t>
      </w:r>
      <w:r w:rsidR="002A1B45">
        <w:rPr>
          <w:rFonts w:ascii="Segoe UI" w:hAnsi="Segoe UI" w:cs="Segoe UI"/>
          <w:sz w:val="20"/>
        </w:rPr>
        <w:t>€</w:t>
      </w:r>
      <w:r w:rsidR="00286FD9">
        <w:rPr>
          <w:rFonts w:ascii="Segoe UI" w:hAnsi="Segoe UI" w:cs="Segoe UI"/>
          <w:sz w:val="20"/>
        </w:rPr>
        <w:t>199</w:t>
      </w:r>
      <w:r w:rsidR="002A1B45">
        <w:rPr>
          <w:rFonts w:ascii="Segoe UI" w:hAnsi="Segoe UI" w:cs="Segoe UI"/>
          <w:sz w:val="20"/>
        </w:rPr>
        <w:t xml:space="preserve"> εκατ. το </w:t>
      </w:r>
      <w:r w:rsidR="00286FD9">
        <w:rPr>
          <w:rFonts w:ascii="Segoe UI" w:hAnsi="Segoe UI" w:cs="Segoe UI"/>
          <w:sz w:val="20"/>
        </w:rPr>
        <w:t>Δ</w:t>
      </w:r>
      <w:r w:rsidR="002A1B45" w:rsidRPr="002A1B45">
        <w:rPr>
          <w:rFonts w:ascii="Segoe UI" w:hAnsi="Segoe UI" w:cs="Segoe UI"/>
          <w:sz w:val="20"/>
        </w:rPr>
        <w:t>’ τρίμηνο 2020</w:t>
      </w:r>
      <w:r w:rsidR="00286FD9">
        <w:rPr>
          <w:rFonts w:ascii="Segoe UI" w:hAnsi="Segoe UI" w:cs="Segoe UI"/>
          <w:sz w:val="20"/>
        </w:rPr>
        <w:t>, λόγω εποχικότητας</w:t>
      </w:r>
      <w:r w:rsidR="00DA5511">
        <w:rPr>
          <w:rFonts w:ascii="Segoe UI" w:hAnsi="Segoe UI" w:cs="Segoe UI"/>
          <w:sz w:val="20"/>
        </w:rPr>
        <w:t xml:space="preserve">. Σε επίπεδο </w:t>
      </w:r>
      <w:r w:rsidR="007F2B15">
        <w:rPr>
          <w:rFonts w:ascii="Segoe UI" w:hAnsi="Segoe UI" w:cs="Segoe UI"/>
          <w:sz w:val="20"/>
        </w:rPr>
        <w:t>έτους</w:t>
      </w:r>
      <w:r w:rsidRPr="00714756">
        <w:rPr>
          <w:rFonts w:ascii="Segoe UI" w:hAnsi="Segoe UI" w:cs="Segoe UI"/>
          <w:sz w:val="20"/>
        </w:rPr>
        <w:t xml:space="preserve">, </w:t>
      </w:r>
      <w:r w:rsidR="00DA5511">
        <w:rPr>
          <w:rFonts w:ascii="Segoe UI" w:hAnsi="Segoe UI" w:cs="Segoe UI"/>
          <w:sz w:val="20"/>
        </w:rPr>
        <w:t xml:space="preserve">οι λειτουργικές δαπάνες μειώθηκαν κατά </w:t>
      </w:r>
      <w:r w:rsidR="00286FD9">
        <w:rPr>
          <w:rFonts w:ascii="Segoe UI" w:hAnsi="Segoe UI" w:cs="Segoe UI"/>
          <w:sz w:val="20"/>
        </w:rPr>
        <w:t>4,4</w:t>
      </w:r>
      <w:r w:rsidR="00DA5511">
        <w:rPr>
          <w:rFonts w:ascii="Segoe UI" w:hAnsi="Segoe UI" w:cs="Segoe UI"/>
          <w:sz w:val="20"/>
        </w:rPr>
        <w:t>% σε ετήσια βάση</w:t>
      </w:r>
      <w:r w:rsidR="008F369B">
        <w:rPr>
          <w:rFonts w:ascii="Segoe UI" w:hAnsi="Segoe UI" w:cs="Segoe UI"/>
          <w:sz w:val="20"/>
        </w:rPr>
        <w:t>,</w:t>
      </w:r>
      <w:r w:rsidR="00DA5511">
        <w:rPr>
          <w:rFonts w:ascii="Segoe UI" w:hAnsi="Segoe UI" w:cs="Segoe UI"/>
          <w:sz w:val="20"/>
        </w:rPr>
        <w:t xml:space="preserve"> σε €</w:t>
      </w:r>
      <w:r w:rsidR="00286FD9">
        <w:rPr>
          <w:rFonts w:ascii="Segoe UI" w:hAnsi="Segoe UI" w:cs="Segoe UI"/>
          <w:sz w:val="20"/>
        </w:rPr>
        <w:t>768</w:t>
      </w:r>
      <w:r w:rsidR="00DA5511">
        <w:rPr>
          <w:rFonts w:ascii="Segoe UI" w:hAnsi="Segoe UI" w:cs="Segoe UI"/>
          <w:sz w:val="20"/>
        </w:rPr>
        <w:t xml:space="preserve"> εκατ., </w:t>
      </w:r>
      <w:r w:rsidR="00773C9A">
        <w:rPr>
          <w:rFonts w:ascii="Segoe UI" w:hAnsi="Segoe UI" w:cs="Segoe UI"/>
          <w:sz w:val="20"/>
        </w:rPr>
        <w:t>καθώς η</w:t>
      </w:r>
      <w:r w:rsidR="002C73BA" w:rsidRPr="002C73BA">
        <w:rPr>
          <w:rFonts w:ascii="Segoe UI" w:hAnsi="Segoe UI" w:cs="Segoe UI"/>
          <w:sz w:val="20"/>
        </w:rPr>
        <w:t xml:space="preserve"> </w:t>
      </w:r>
      <w:r w:rsidR="00551DE0">
        <w:rPr>
          <w:rFonts w:ascii="Segoe UI" w:hAnsi="Segoe UI" w:cs="Segoe UI"/>
          <w:sz w:val="20"/>
        </w:rPr>
        <w:t xml:space="preserve">εντυπωσιακή </w:t>
      </w:r>
      <w:r w:rsidR="00773C9A">
        <w:rPr>
          <w:rFonts w:ascii="Segoe UI" w:hAnsi="Segoe UI" w:cs="Segoe UI"/>
          <w:sz w:val="20"/>
        </w:rPr>
        <w:t>μείωση τ</w:t>
      </w:r>
      <w:r w:rsidR="002C73BA" w:rsidRPr="002C73BA">
        <w:rPr>
          <w:rFonts w:ascii="Segoe UI" w:hAnsi="Segoe UI" w:cs="Segoe UI"/>
          <w:sz w:val="20"/>
        </w:rPr>
        <w:t>ων δαπανών προσωπικού (-</w:t>
      </w:r>
      <w:r w:rsidR="00DA5511">
        <w:rPr>
          <w:rFonts w:ascii="Segoe UI" w:hAnsi="Segoe UI" w:cs="Segoe UI"/>
          <w:sz w:val="20"/>
        </w:rPr>
        <w:t>8,</w:t>
      </w:r>
      <w:r w:rsidR="00720631">
        <w:rPr>
          <w:rFonts w:ascii="Segoe UI" w:hAnsi="Segoe UI" w:cs="Segoe UI"/>
          <w:sz w:val="20"/>
        </w:rPr>
        <w:t>2</w:t>
      </w:r>
      <w:r w:rsidR="002C73BA" w:rsidRPr="002C73BA">
        <w:rPr>
          <w:rFonts w:ascii="Segoe UI" w:hAnsi="Segoe UI" w:cs="Segoe UI"/>
          <w:sz w:val="20"/>
        </w:rPr>
        <w:t xml:space="preserve">% σε </w:t>
      </w:r>
      <w:r w:rsidR="00DA5511" w:rsidRPr="00DA5511">
        <w:rPr>
          <w:rFonts w:ascii="Segoe UI" w:hAnsi="Segoe UI" w:cs="Segoe UI"/>
          <w:sz w:val="20"/>
        </w:rPr>
        <w:t xml:space="preserve">ετήσια </w:t>
      </w:r>
      <w:r w:rsidR="00242067">
        <w:rPr>
          <w:rFonts w:ascii="Segoe UI" w:hAnsi="Segoe UI" w:cs="Segoe UI"/>
          <w:sz w:val="20"/>
        </w:rPr>
        <w:t xml:space="preserve">βάση) </w:t>
      </w:r>
      <w:r w:rsidR="002C73BA" w:rsidRPr="002C73BA">
        <w:rPr>
          <w:rFonts w:ascii="Segoe UI" w:hAnsi="Segoe UI" w:cs="Segoe UI"/>
          <w:sz w:val="20"/>
        </w:rPr>
        <w:t>και των γενικών διοικητικών και λοιπών λειτουργικών εξόδων (-</w:t>
      </w:r>
      <w:r w:rsidR="00720631">
        <w:rPr>
          <w:rFonts w:ascii="Segoe UI" w:hAnsi="Segoe UI" w:cs="Segoe UI"/>
          <w:sz w:val="20"/>
        </w:rPr>
        <w:t>11,8</w:t>
      </w:r>
      <w:r w:rsidR="002C73BA" w:rsidRPr="002C73BA">
        <w:rPr>
          <w:rFonts w:ascii="Segoe UI" w:hAnsi="Segoe UI" w:cs="Segoe UI"/>
          <w:sz w:val="20"/>
        </w:rPr>
        <w:t xml:space="preserve">% σε </w:t>
      </w:r>
      <w:r w:rsidR="00DA5511" w:rsidRPr="00DA5511">
        <w:rPr>
          <w:rFonts w:ascii="Segoe UI" w:hAnsi="Segoe UI" w:cs="Segoe UI"/>
          <w:sz w:val="20"/>
        </w:rPr>
        <w:t xml:space="preserve">ετήσια </w:t>
      </w:r>
      <w:r w:rsidR="002C73BA" w:rsidRPr="002C73BA">
        <w:rPr>
          <w:rFonts w:ascii="Segoe UI" w:hAnsi="Segoe UI" w:cs="Segoe UI"/>
          <w:sz w:val="20"/>
        </w:rPr>
        <w:t>βάση)</w:t>
      </w:r>
      <w:r w:rsidR="00DA5511">
        <w:rPr>
          <w:rFonts w:ascii="Segoe UI" w:hAnsi="Segoe UI" w:cs="Segoe UI"/>
          <w:sz w:val="20"/>
        </w:rPr>
        <w:t xml:space="preserve"> </w:t>
      </w:r>
      <w:r w:rsidR="00551DE0">
        <w:rPr>
          <w:rFonts w:ascii="Segoe UI" w:hAnsi="Segoe UI" w:cs="Segoe UI"/>
          <w:sz w:val="20"/>
        </w:rPr>
        <w:t xml:space="preserve">αντισταθμίστηκε μερικώς από </w:t>
      </w:r>
      <w:r w:rsidR="002C73BA" w:rsidRPr="002C73BA">
        <w:rPr>
          <w:rFonts w:ascii="Segoe UI" w:hAnsi="Segoe UI" w:cs="Segoe UI"/>
          <w:sz w:val="20"/>
        </w:rPr>
        <w:t xml:space="preserve">την αύξηση των αποσβέσεων </w:t>
      </w:r>
      <w:r w:rsidR="00D86347" w:rsidRPr="00D86347">
        <w:rPr>
          <w:rFonts w:ascii="Segoe UI" w:hAnsi="Segoe UI" w:cs="Segoe UI"/>
          <w:sz w:val="20"/>
        </w:rPr>
        <w:t>(</w:t>
      </w:r>
      <w:r w:rsidR="00D86347">
        <w:rPr>
          <w:rFonts w:ascii="Segoe UI" w:hAnsi="Segoe UI" w:cs="Segoe UI"/>
          <w:sz w:val="20"/>
        </w:rPr>
        <w:t>+</w:t>
      </w:r>
      <w:r w:rsidR="00720631">
        <w:rPr>
          <w:rFonts w:ascii="Segoe UI" w:hAnsi="Segoe UI" w:cs="Segoe UI"/>
          <w:sz w:val="20"/>
        </w:rPr>
        <w:t>22,5</w:t>
      </w:r>
      <w:r w:rsidR="00D86347" w:rsidRPr="00D86347">
        <w:rPr>
          <w:rFonts w:ascii="Segoe UI" w:hAnsi="Segoe UI" w:cs="Segoe UI"/>
          <w:sz w:val="20"/>
        </w:rPr>
        <w:t xml:space="preserve">% </w:t>
      </w:r>
      <w:r w:rsidR="00D86347">
        <w:rPr>
          <w:rFonts w:ascii="Segoe UI" w:hAnsi="Segoe UI" w:cs="Segoe UI"/>
          <w:sz w:val="20"/>
        </w:rPr>
        <w:t>ή €</w:t>
      </w:r>
      <w:r w:rsidR="00DA5511">
        <w:rPr>
          <w:rFonts w:ascii="Segoe UI" w:hAnsi="Segoe UI" w:cs="Segoe UI"/>
          <w:sz w:val="20"/>
        </w:rPr>
        <w:t>2</w:t>
      </w:r>
      <w:r w:rsidR="00720631">
        <w:rPr>
          <w:rFonts w:ascii="Segoe UI" w:hAnsi="Segoe UI" w:cs="Segoe UI"/>
          <w:sz w:val="20"/>
        </w:rPr>
        <w:t>7</w:t>
      </w:r>
      <w:r w:rsidR="00D86347">
        <w:rPr>
          <w:rFonts w:ascii="Segoe UI" w:hAnsi="Segoe UI" w:cs="Segoe UI"/>
          <w:sz w:val="20"/>
        </w:rPr>
        <w:t xml:space="preserve"> εκατ. σε ετήσια βάση)</w:t>
      </w:r>
      <w:r w:rsidR="00F0194A">
        <w:rPr>
          <w:rFonts w:ascii="Segoe UI" w:hAnsi="Segoe UI" w:cs="Segoe UI"/>
          <w:sz w:val="20"/>
        </w:rPr>
        <w:t>,</w:t>
      </w:r>
      <w:r w:rsidR="001E7E10">
        <w:rPr>
          <w:rFonts w:ascii="Segoe UI" w:hAnsi="Segoe UI" w:cs="Segoe UI"/>
          <w:sz w:val="20"/>
        </w:rPr>
        <w:t xml:space="preserve"> ως αποτέλεσμα </w:t>
      </w:r>
      <w:r w:rsidR="002C73BA" w:rsidRPr="002C73BA">
        <w:rPr>
          <w:rFonts w:ascii="Segoe UI" w:hAnsi="Segoe UI" w:cs="Segoe UI"/>
          <w:sz w:val="20"/>
        </w:rPr>
        <w:t>τη</w:t>
      </w:r>
      <w:r w:rsidR="00BE53FA">
        <w:rPr>
          <w:rFonts w:ascii="Segoe UI" w:hAnsi="Segoe UI" w:cs="Segoe UI"/>
          <w:sz w:val="20"/>
        </w:rPr>
        <w:t>ς</w:t>
      </w:r>
      <w:r w:rsidR="002C73BA" w:rsidRPr="002C73BA">
        <w:rPr>
          <w:rFonts w:ascii="Segoe UI" w:hAnsi="Segoe UI" w:cs="Segoe UI"/>
          <w:sz w:val="20"/>
        </w:rPr>
        <w:t xml:space="preserve"> μετάβαση</w:t>
      </w:r>
      <w:r w:rsidR="00BE53FA">
        <w:rPr>
          <w:rFonts w:ascii="Segoe UI" w:hAnsi="Segoe UI" w:cs="Segoe UI"/>
          <w:sz w:val="20"/>
        </w:rPr>
        <w:t>ς</w:t>
      </w:r>
      <w:r w:rsidR="002C73BA" w:rsidRPr="002C73BA">
        <w:rPr>
          <w:rFonts w:ascii="Segoe UI" w:hAnsi="Segoe UI" w:cs="Segoe UI"/>
          <w:sz w:val="20"/>
        </w:rPr>
        <w:t xml:space="preserve"> </w:t>
      </w:r>
      <w:r w:rsidR="005E3B15" w:rsidRPr="00B52534">
        <w:rPr>
          <w:rFonts w:ascii="Segoe UI" w:hAnsi="Segoe UI" w:cs="Segoe UI"/>
          <w:sz w:val="20"/>
        </w:rPr>
        <w:t>στα μέσα του 2019</w:t>
      </w:r>
      <w:r w:rsidR="005E3B15">
        <w:rPr>
          <w:rFonts w:ascii="Segoe UI" w:hAnsi="Segoe UI" w:cs="Segoe UI"/>
          <w:sz w:val="20"/>
        </w:rPr>
        <w:t xml:space="preserve"> </w:t>
      </w:r>
      <w:r w:rsidR="002C73BA" w:rsidRPr="002C73BA">
        <w:rPr>
          <w:rFonts w:ascii="Segoe UI" w:hAnsi="Segoe UI" w:cs="Segoe UI"/>
          <w:sz w:val="20"/>
        </w:rPr>
        <w:t>στο ΔΠΧΑ 16</w:t>
      </w:r>
      <w:r w:rsidR="00D738D9" w:rsidRPr="00D738D9">
        <w:rPr>
          <w:rFonts w:ascii="Segoe UI" w:hAnsi="Segoe UI" w:cs="Segoe UI"/>
          <w:sz w:val="20"/>
        </w:rPr>
        <w:t>,</w:t>
      </w:r>
      <w:r w:rsidR="002C73BA" w:rsidRPr="002C73BA">
        <w:rPr>
          <w:rFonts w:ascii="Segoe UI" w:hAnsi="Segoe UI" w:cs="Segoe UI"/>
          <w:sz w:val="20"/>
        </w:rPr>
        <w:t xml:space="preserve"> </w:t>
      </w:r>
      <w:r w:rsidR="001E7E10">
        <w:rPr>
          <w:rFonts w:ascii="Segoe UI" w:hAnsi="Segoe UI" w:cs="Segoe UI"/>
          <w:sz w:val="20"/>
        </w:rPr>
        <w:t xml:space="preserve">λόγω της </w:t>
      </w:r>
      <w:r w:rsidR="00B52534" w:rsidRPr="00B52534">
        <w:rPr>
          <w:rFonts w:ascii="Segoe UI" w:hAnsi="Segoe UI" w:cs="Segoe UI"/>
          <w:sz w:val="20"/>
        </w:rPr>
        <w:t>πώληση</w:t>
      </w:r>
      <w:r w:rsidR="001E7E10">
        <w:rPr>
          <w:rFonts w:ascii="Segoe UI" w:hAnsi="Segoe UI" w:cs="Segoe UI"/>
          <w:sz w:val="20"/>
        </w:rPr>
        <w:t>ς</w:t>
      </w:r>
      <w:r w:rsidR="00B52534" w:rsidRPr="00B52534">
        <w:rPr>
          <w:rFonts w:ascii="Segoe UI" w:hAnsi="Segoe UI" w:cs="Segoe UI"/>
          <w:sz w:val="20"/>
        </w:rPr>
        <w:t xml:space="preserve"> του μειοψηφικού ποσοστού της ΕΤΕ στην Prodea</w:t>
      </w:r>
      <w:r w:rsidRPr="00714756">
        <w:rPr>
          <w:rFonts w:ascii="Segoe UI" w:hAnsi="Segoe UI" w:cs="Segoe UI"/>
          <w:sz w:val="20"/>
        </w:rPr>
        <w:t>.</w:t>
      </w:r>
      <w:r>
        <w:rPr>
          <w:rFonts w:ascii="Segoe UI" w:hAnsi="Segoe UI" w:cs="Segoe UI"/>
          <w:sz w:val="20"/>
        </w:rPr>
        <w:t xml:space="preserve"> </w:t>
      </w:r>
      <w:r w:rsidR="002C73BA">
        <w:rPr>
          <w:rFonts w:ascii="Segoe UI" w:hAnsi="Segoe UI" w:cs="Segoe UI"/>
          <w:sz w:val="20"/>
        </w:rPr>
        <w:t xml:space="preserve">Η αποκλιμάκωση των </w:t>
      </w:r>
      <w:r w:rsidR="002C73BA" w:rsidRPr="002C73BA">
        <w:rPr>
          <w:rFonts w:ascii="Segoe UI" w:hAnsi="Segoe UI" w:cs="Segoe UI"/>
          <w:sz w:val="20"/>
        </w:rPr>
        <w:t>δαπ</w:t>
      </w:r>
      <w:r w:rsidR="002C73BA">
        <w:rPr>
          <w:rFonts w:ascii="Segoe UI" w:hAnsi="Segoe UI" w:cs="Segoe UI"/>
          <w:sz w:val="20"/>
        </w:rPr>
        <w:t xml:space="preserve">ανών </w:t>
      </w:r>
      <w:r w:rsidR="002C73BA" w:rsidRPr="002C73BA">
        <w:rPr>
          <w:rFonts w:ascii="Segoe UI" w:hAnsi="Segoe UI" w:cs="Segoe UI"/>
          <w:sz w:val="20"/>
        </w:rPr>
        <w:t xml:space="preserve">προσωπικού </w:t>
      </w:r>
      <w:r w:rsidR="0017552B">
        <w:rPr>
          <w:rFonts w:ascii="Segoe UI" w:hAnsi="Segoe UI" w:cs="Segoe UI"/>
          <w:sz w:val="20"/>
        </w:rPr>
        <w:t>αντανακλά</w:t>
      </w:r>
      <w:r w:rsidR="002C73BA" w:rsidRPr="002C73BA">
        <w:rPr>
          <w:rFonts w:ascii="Segoe UI" w:hAnsi="Segoe UI" w:cs="Segoe UI"/>
          <w:sz w:val="20"/>
        </w:rPr>
        <w:t xml:space="preserve"> </w:t>
      </w:r>
      <w:r w:rsidR="008F2F45">
        <w:rPr>
          <w:rFonts w:ascii="Segoe UI" w:hAnsi="Segoe UI" w:cs="Segoe UI"/>
          <w:sz w:val="20"/>
        </w:rPr>
        <w:t>το όφελος από τη</w:t>
      </w:r>
      <w:r w:rsidR="00720631">
        <w:rPr>
          <w:rFonts w:ascii="Segoe UI" w:hAnsi="Segoe UI" w:cs="Segoe UI"/>
          <w:sz w:val="20"/>
        </w:rPr>
        <w:t xml:space="preserve"> μείωση</w:t>
      </w:r>
      <w:r w:rsidR="00720631" w:rsidRPr="00720631">
        <w:rPr>
          <w:rFonts w:ascii="Segoe UI" w:hAnsi="Segoe UI" w:cs="Segoe UI"/>
          <w:sz w:val="20"/>
        </w:rPr>
        <w:t xml:space="preserve"> στον αριθμό </w:t>
      </w:r>
      <w:r w:rsidR="00C4435E">
        <w:rPr>
          <w:rFonts w:ascii="Segoe UI" w:hAnsi="Segoe UI" w:cs="Segoe UI"/>
          <w:sz w:val="20"/>
        </w:rPr>
        <w:t>των υπαλλήλων της Τράπεζας</w:t>
      </w:r>
      <w:r w:rsidR="00720631" w:rsidRPr="00720631">
        <w:rPr>
          <w:rFonts w:ascii="Segoe UI" w:hAnsi="Segoe UI" w:cs="Segoe UI"/>
          <w:sz w:val="20"/>
        </w:rPr>
        <w:t xml:space="preserve">, ως αποτέλεσμα του Προγράμματος Εθελουσίας Εξόδου Προσωπικού </w:t>
      </w:r>
      <w:r w:rsidR="00100707">
        <w:rPr>
          <w:rFonts w:ascii="Segoe UI" w:hAnsi="Segoe UI" w:cs="Segoe UI"/>
          <w:sz w:val="20"/>
        </w:rPr>
        <w:t xml:space="preserve">του </w:t>
      </w:r>
      <w:r w:rsidR="00BF7C61">
        <w:rPr>
          <w:rFonts w:ascii="Segoe UI" w:hAnsi="Segoe UI" w:cs="Segoe UI"/>
          <w:sz w:val="20"/>
        </w:rPr>
        <w:t>2019</w:t>
      </w:r>
      <w:r w:rsidR="005B6C90">
        <w:rPr>
          <w:rFonts w:ascii="Segoe UI" w:hAnsi="Segoe UI" w:cs="Segoe UI"/>
          <w:sz w:val="20"/>
        </w:rPr>
        <w:t xml:space="preserve">, </w:t>
      </w:r>
      <w:r w:rsidR="00DE1810" w:rsidRPr="00DE1810">
        <w:rPr>
          <w:rFonts w:ascii="Segoe UI" w:hAnsi="Segoe UI" w:cs="Segoe UI"/>
          <w:sz w:val="20"/>
        </w:rPr>
        <w:t>με τη συμμετοχή να ανέρχεται σε περίπου 1,100 εργαζόμενους</w:t>
      </w:r>
      <w:r w:rsidR="00DE1810">
        <w:rPr>
          <w:rFonts w:ascii="Segoe UI" w:hAnsi="Segoe UI" w:cs="Segoe UI"/>
          <w:sz w:val="20"/>
        </w:rPr>
        <w:t xml:space="preserve">, εκ των οποίων περίπου 300 </w:t>
      </w:r>
      <w:r w:rsidR="00BF7C61" w:rsidRPr="00BF7C61">
        <w:rPr>
          <w:rFonts w:ascii="Segoe UI" w:hAnsi="Segoe UI" w:cs="Segoe UI"/>
          <w:sz w:val="20"/>
        </w:rPr>
        <w:t>αποχ</w:t>
      </w:r>
      <w:r w:rsidR="00BF7C61">
        <w:rPr>
          <w:rFonts w:ascii="Segoe UI" w:hAnsi="Segoe UI" w:cs="Segoe UI"/>
          <w:sz w:val="20"/>
        </w:rPr>
        <w:t xml:space="preserve">ώρησαν </w:t>
      </w:r>
      <w:r w:rsidR="00BF7C61" w:rsidRPr="00BF7C61">
        <w:rPr>
          <w:rFonts w:ascii="Segoe UI" w:hAnsi="Segoe UI" w:cs="Segoe UI"/>
          <w:sz w:val="20"/>
        </w:rPr>
        <w:t xml:space="preserve">σταδιακά </w:t>
      </w:r>
      <w:r w:rsidR="005D7BC0">
        <w:rPr>
          <w:rFonts w:ascii="Segoe UI" w:hAnsi="Segoe UI" w:cs="Segoe UI"/>
          <w:sz w:val="20"/>
        </w:rPr>
        <w:t xml:space="preserve">εντός του Α’ τριμήνου </w:t>
      </w:r>
      <w:r w:rsidR="00BF7C61">
        <w:rPr>
          <w:rFonts w:ascii="Segoe UI" w:hAnsi="Segoe UI" w:cs="Segoe UI"/>
          <w:sz w:val="20"/>
        </w:rPr>
        <w:t>2020.</w:t>
      </w:r>
      <w:r w:rsidR="00720631">
        <w:rPr>
          <w:rFonts w:ascii="Segoe UI" w:hAnsi="Segoe UI" w:cs="Segoe UI"/>
          <w:sz w:val="20"/>
        </w:rPr>
        <w:t xml:space="preserve"> Το Νοέμβριο, η Τράπεζα</w:t>
      </w:r>
      <w:r w:rsidR="00BF7C61" w:rsidRPr="00BF7C61">
        <w:rPr>
          <w:rFonts w:ascii="Segoe UI" w:hAnsi="Segoe UI" w:cs="Segoe UI"/>
          <w:sz w:val="20"/>
        </w:rPr>
        <w:t xml:space="preserve"> έθεσε σε εφαρμογή νέο Πρόγραμμα</w:t>
      </w:r>
      <w:r w:rsidR="008B7A4F">
        <w:rPr>
          <w:rFonts w:ascii="Segoe UI" w:hAnsi="Segoe UI" w:cs="Segoe UI"/>
          <w:sz w:val="20"/>
        </w:rPr>
        <w:t xml:space="preserve"> </w:t>
      </w:r>
      <w:r w:rsidR="008B7A4F" w:rsidRPr="008B7A4F">
        <w:rPr>
          <w:rFonts w:ascii="Segoe UI" w:hAnsi="Segoe UI" w:cs="Segoe UI"/>
          <w:sz w:val="20"/>
        </w:rPr>
        <w:t xml:space="preserve">Εθελουσίας Εξόδου Προσωπικού </w:t>
      </w:r>
      <w:r w:rsidR="00BF7C61" w:rsidRPr="00BF7C61">
        <w:rPr>
          <w:rFonts w:ascii="Segoe UI" w:hAnsi="Segoe UI" w:cs="Segoe UI"/>
          <w:sz w:val="20"/>
        </w:rPr>
        <w:t xml:space="preserve">στην </w:t>
      </w:r>
      <w:r w:rsidR="008B7A4F">
        <w:rPr>
          <w:rFonts w:ascii="Segoe UI" w:hAnsi="Segoe UI" w:cs="Segoe UI"/>
          <w:sz w:val="20"/>
        </w:rPr>
        <w:t xml:space="preserve">Ελλάδα, </w:t>
      </w:r>
      <w:r w:rsidR="008B7A4F" w:rsidRPr="008B7A4F">
        <w:rPr>
          <w:rFonts w:ascii="Segoe UI" w:hAnsi="Segoe UI" w:cs="Segoe UI"/>
          <w:sz w:val="20"/>
        </w:rPr>
        <w:t xml:space="preserve">με τη συμμετοχή να ανέρχεται σε περίπου </w:t>
      </w:r>
      <w:r w:rsidR="008B7A4F">
        <w:rPr>
          <w:rFonts w:ascii="Segoe UI" w:hAnsi="Segoe UI" w:cs="Segoe UI"/>
          <w:sz w:val="20"/>
        </w:rPr>
        <w:t>540</w:t>
      </w:r>
      <w:r w:rsidR="008B7A4F" w:rsidRPr="008B7A4F">
        <w:rPr>
          <w:rFonts w:ascii="Segoe UI" w:hAnsi="Segoe UI" w:cs="Segoe UI"/>
          <w:sz w:val="20"/>
        </w:rPr>
        <w:t xml:space="preserve"> εργαζόμενους</w:t>
      </w:r>
      <w:r w:rsidR="008B7A4F">
        <w:rPr>
          <w:rFonts w:ascii="Segoe UI" w:hAnsi="Segoe UI" w:cs="Segoe UI"/>
          <w:sz w:val="20"/>
        </w:rPr>
        <w:t xml:space="preserve"> στο τέλος του 2020. </w:t>
      </w:r>
    </w:p>
    <w:p w:rsidR="002C5847" w:rsidRPr="002A098F" w:rsidRDefault="00E57354"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Ο</w:t>
      </w:r>
      <w:r w:rsidR="002C5847" w:rsidRPr="002C5847">
        <w:rPr>
          <w:rFonts w:ascii="Segoe UI" w:hAnsi="Segoe UI" w:cs="Segoe UI"/>
          <w:sz w:val="20"/>
        </w:rPr>
        <w:t xml:space="preserve">ι </w:t>
      </w:r>
      <w:r w:rsidR="002C5847" w:rsidRPr="002C5847">
        <w:rPr>
          <w:rFonts w:ascii="Segoe UI" w:hAnsi="Segoe UI" w:cs="Segoe UI"/>
          <w:b/>
          <w:sz w:val="20"/>
        </w:rPr>
        <w:t>προβλέψεις για επισφαλείς απαιτήσεις</w:t>
      </w:r>
      <w:r w:rsidR="00076A0A">
        <w:rPr>
          <w:rFonts w:ascii="Segoe UI" w:hAnsi="Segoe UI" w:cs="Segoe UI"/>
          <w:b/>
          <w:sz w:val="20"/>
        </w:rPr>
        <w:t xml:space="preserve"> </w:t>
      </w:r>
      <w:r w:rsidR="0093085C">
        <w:rPr>
          <w:rFonts w:ascii="Segoe UI" w:hAnsi="Segoe UI" w:cs="Segoe UI"/>
          <w:sz w:val="20"/>
        </w:rPr>
        <w:t xml:space="preserve">διαμορφώθηκαν </w:t>
      </w:r>
      <w:r w:rsidR="002C5847">
        <w:rPr>
          <w:rFonts w:ascii="Segoe UI" w:hAnsi="Segoe UI" w:cs="Segoe UI"/>
          <w:sz w:val="20"/>
        </w:rPr>
        <w:t>σε €</w:t>
      </w:r>
      <w:r w:rsidR="003B6EF4">
        <w:rPr>
          <w:rFonts w:ascii="Segoe UI" w:hAnsi="Segoe UI" w:cs="Segoe UI"/>
          <w:sz w:val="20"/>
        </w:rPr>
        <w:t>425</w:t>
      </w:r>
      <w:r>
        <w:rPr>
          <w:rFonts w:ascii="Segoe UI" w:hAnsi="Segoe UI" w:cs="Segoe UI"/>
          <w:sz w:val="20"/>
        </w:rPr>
        <w:t xml:space="preserve"> </w:t>
      </w:r>
      <w:r w:rsidR="002C5847">
        <w:rPr>
          <w:rFonts w:ascii="Segoe UI" w:hAnsi="Segoe UI" w:cs="Segoe UI"/>
          <w:sz w:val="20"/>
        </w:rPr>
        <w:t xml:space="preserve">εκατ. </w:t>
      </w:r>
      <w:r w:rsidR="003B6EF4">
        <w:rPr>
          <w:rFonts w:ascii="Segoe UI" w:hAnsi="Segoe UI" w:cs="Segoe UI"/>
          <w:sz w:val="20"/>
        </w:rPr>
        <w:t>το Δ’ τρίμηνο 2020</w:t>
      </w:r>
      <w:r w:rsidR="00C40D83">
        <w:rPr>
          <w:rFonts w:ascii="Segoe UI" w:hAnsi="Segoe UI" w:cs="Segoe UI"/>
          <w:sz w:val="20"/>
        </w:rPr>
        <w:t>,</w:t>
      </w:r>
      <w:r>
        <w:rPr>
          <w:rFonts w:ascii="Segoe UI" w:hAnsi="Segoe UI" w:cs="Segoe UI"/>
          <w:sz w:val="20"/>
        </w:rPr>
        <w:t xml:space="preserve"> </w:t>
      </w:r>
      <w:r w:rsidR="00A15A16">
        <w:rPr>
          <w:rFonts w:ascii="Segoe UI" w:hAnsi="Segoe UI" w:cs="Segoe UI"/>
          <w:sz w:val="20"/>
        </w:rPr>
        <w:t xml:space="preserve">ήτοι </w:t>
      </w:r>
      <w:r w:rsidR="003B6EF4">
        <w:rPr>
          <w:rFonts w:ascii="Segoe UI" w:hAnsi="Segoe UI" w:cs="Segoe UI"/>
          <w:sz w:val="20"/>
        </w:rPr>
        <w:t>244</w:t>
      </w:r>
      <w:r w:rsidR="00C40D83" w:rsidRPr="00C40D83">
        <w:rPr>
          <w:rFonts w:ascii="Segoe UI" w:hAnsi="Segoe UI" w:cs="Segoe UI"/>
          <w:sz w:val="20"/>
        </w:rPr>
        <w:t xml:space="preserve">μ.β. επί του μέσου όρου δανείων μετά </w:t>
      </w:r>
      <w:r w:rsidR="0001201F">
        <w:rPr>
          <w:rFonts w:ascii="Segoe UI" w:hAnsi="Segoe UI" w:cs="Segoe UI"/>
          <w:sz w:val="20"/>
        </w:rPr>
        <w:t xml:space="preserve">από </w:t>
      </w:r>
      <w:r w:rsidR="00C40D83" w:rsidRPr="00C40D83">
        <w:rPr>
          <w:rFonts w:ascii="Segoe UI" w:hAnsi="Segoe UI" w:cs="Segoe UI"/>
          <w:sz w:val="20"/>
        </w:rPr>
        <w:t>προβλέψε</w:t>
      </w:r>
      <w:r w:rsidR="0001201F">
        <w:rPr>
          <w:rFonts w:ascii="Segoe UI" w:hAnsi="Segoe UI" w:cs="Segoe UI"/>
          <w:sz w:val="20"/>
        </w:rPr>
        <w:t>ις</w:t>
      </w:r>
      <w:r w:rsidR="00D45FFF">
        <w:rPr>
          <w:rFonts w:ascii="Segoe UI" w:hAnsi="Segoe UI" w:cs="Segoe UI"/>
          <w:sz w:val="20"/>
        </w:rPr>
        <w:t>,</w:t>
      </w:r>
      <w:r w:rsidR="00C40D83">
        <w:rPr>
          <w:rFonts w:ascii="Segoe UI" w:hAnsi="Segoe UI" w:cs="Segoe UI"/>
          <w:sz w:val="20"/>
        </w:rPr>
        <w:t xml:space="preserve"> </w:t>
      </w:r>
      <w:r w:rsidR="00AF7BA9">
        <w:rPr>
          <w:rFonts w:ascii="Segoe UI" w:hAnsi="Segoe UI" w:cs="Segoe UI"/>
          <w:sz w:val="20"/>
        </w:rPr>
        <w:t xml:space="preserve">από €75 εκατ. το Γ’ τρίμηνο 2020, </w:t>
      </w:r>
      <w:r w:rsidR="00F03A10">
        <w:rPr>
          <w:rFonts w:ascii="Segoe UI" w:hAnsi="Segoe UI" w:cs="Segoe UI"/>
          <w:sz w:val="20"/>
        </w:rPr>
        <w:t xml:space="preserve">αντικατοπτρίζοντας </w:t>
      </w:r>
      <w:r w:rsidR="00C40D83" w:rsidRPr="00C40D83">
        <w:rPr>
          <w:rFonts w:ascii="Segoe UI" w:hAnsi="Segoe UI" w:cs="Segoe UI"/>
          <w:sz w:val="20"/>
        </w:rPr>
        <w:t xml:space="preserve">τις προβλέψεις απομείωσης </w:t>
      </w:r>
      <w:r w:rsidR="00555946" w:rsidRPr="00C40D83">
        <w:rPr>
          <w:rFonts w:ascii="Segoe UI" w:hAnsi="Segoe UI" w:cs="Segoe UI"/>
          <w:sz w:val="20"/>
        </w:rPr>
        <w:t>σχετιζόμεν</w:t>
      </w:r>
      <w:r w:rsidR="00555946">
        <w:rPr>
          <w:rFonts w:ascii="Segoe UI" w:hAnsi="Segoe UI" w:cs="Segoe UI"/>
          <w:sz w:val="20"/>
        </w:rPr>
        <w:t>ες με τη</w:t>
      </w:r>
      <w:r w:rsidR="00F03A10">
        <w:rPr>
          <w:rFonts w:ascii="Segoe UI" w:hAnsi="Segoe UI" w:cs="Segoe UI"/>
          <w:sz w:val="20"/>
        </w:rPr>
        <w:t xml:space="preserve"> συναλλαγή </w:t>
      </w:r>
      <w:r w:rsidR="00F03A10">
        <w:rPr>
          <w:rFonts w:ascii="Segoe UI" w:hAnsi="Segoe UI" w:cs="Segoe UI"/>
          <w:sz w:val="20"/>
          <w:lang w:val="en-US"/>
        </w:rPr>
        <w:t>Frontier</w:t>
      </w:r>
      <w:r w:rsidR="007E2B45">
        <w:rPr>
          <w:rFonts w:ascii="Segoe UI" w:hAnsi="Segoe UI" w:cs="Segoe UI"/>
          <w:sz w:val="20"/>
        </w:rPr>
        <w:t xml:space="preserve">. </w:t>
      </w:r>
      <w:r w:rsidR="00311951">
        <w:rPr>
          <w:rFonts w:ascii="Segoe UI" w:hAnsi="Segoe UI" w:cs="Segoe UI"/>
          <w:sz w:val="20"/>
        </w:rPr>
        <w:t xml:space="preserve">Σε επίπεδο έτους, οι προβλέψεις για επισφαλείς απαιτήσεις ανήλθαν σε €1,060 </w:t>
      </w:r>
      <w:r w:rsidR="00311951" w:rsidRPr="00D91330">
        <w:rPr>
          <w:rFonts w:ascii="Segoe UI" w:hAnsi="Segoe UI" w:cs="Segoe UI"/>
          <w:sz w:val="20"/>
        </w:rPr>
        <w:t>εκατ.</w:t>
      </w:r>
      <w:r w:rsidR="005D7BC0">
        <w:rPr>
          <w:rFonts w:ascii="Segoe UI" w:hAnsi="Segoe UI" w:cs="Segoe UI"/>
          <w:sz w:val="20"/>
        </w:rPr>
        <w:t xml:space="preserve">, </w:t>
      </w:r>
      <w:r w:rsidR="00311951" w:rsidRPr="00D91330">
        <w:rPr>
          <w:rFonts w:ascii="Segoe UI" w:hAnsi="Segoe UI" w:cs="Segoe UI"/>
          <w:sz w:val="20"/>
        </w:rPr>
        <w:t>ήτοι</w:t>
      </w:r>
      <w:r w:rsidR="00311951" w:rsidRPr="00311951">
        <w:rPr>
          <w:rFonts w:ascii="Segoe UI" w:hAnsi="Segoe UI" w:cs="Segoe UI"/>
          <w:sz w:val="20"/>
        </w:rPr>
        <w:t xml:space="preserve"> </w:t>
      </w:r>
      <w:r w:rsidR="00311951">
        <w:rPr>
          <w:rFonts w:ascii="Segoe UI" w:hAnsi="Segoe UI" w:cs="Segoe UI"/>
          <w:sz w:val="20"/>
        </w:rPr>
        <w:t>420</w:t>
      </w:r>
      <w:r w:rsidR="00311951" w:rsidRPr="00311951">
        <w:rPr>
          <w:rFonts w:ascii="Segoe UI" w:hAnsi="Segoe UI" w:cs="Segoe UI"/>
          <w:sz w:val="20"/>
        </w:rPr>
        <w:t>μ.β. επί του μέσου όρου δανείων μετά από προβλέψεις</w:t>
      </w:r>
      <w:r w:rsidR="00311951">
        <w:rPr>
          <w:rFonts w:ascii="Segoe UI" w:hAnsi="Segoe UI" w:cs="Segoe UI"/>
          <w:sz w:val="20"/>
        </w:rPr>
        <w:t xml:space="preserve">, απορροφώντας το σύνολο των </w:t>
      </w:r>
      <w:r w:rsidR="002A098F" w:rsidRPr="00CB5B54">
        <w:rPr>
          <w:rFonts w:ascii="Segoe UI" w:hAnsi="Segoe UI" w:cs="Segoe UI"/>
          <w:sz w:val="20"/>
        </w:rPr>
        <w:t>επισφαλ</w:t>
      </w:r>
      <w:r w:rsidR="00304385">
        <w:rPr>
          <w:rFonts w:ascii="Segoe UI" w:hAnsi="Segoe UI" w:cs="Segoe UI"/>
          <w:sz w:val="20"/>
        </w:rPr>
        <w:t>ών</w:t>
      </w:r>
      <w:r w:rsidR="002A098F" w:rsidRPr="00CB5B54">
        <w:rPr>
          <w:rFonts w:ascii="Segoe UI" w:hAnsi="Segoe UI" w:cs="Segoe UI"/>
          <w:sz w:val="20"/>
        </w:rPr>
        <w:t xml:space="preserve"> απαιτήσε</w:t>
      </w:r>
      <w:r w:rsidR="00304385">
        <w:rPr>
          <w:rFonts w:ascii="Segoe UI" w:hAnsi="Segoe UI" w:cs="Segoe UI"/>
          <w:sz w:val="20"/>
        </w:rPr>
        <w:t>ων</w:t>
      </w:r>
      <w:r w:rsidR="006559BE" w:rsidRPr="006559BE">
        <w:rPr>
          <w:rFonts w:ascii="Segoe UI" w:hAnsi="Segoe UI" w:cs="Segoe UI"/>
          <w:sz w:val="20"/>
        </w:rPr>
        <w:t xml:space="preserve"> </w:t>
      </w:r>
      <w:r w:rsidR="001369A2" w:rsidRPr="00BF618F">
        <w:rPr>
          <w:rFonts w:ascii="Segoe UI" w:hAnsi="Segoe UI" w:cs="Segoe UI"/>
          <w:sz w:val="20"/>
        </w:rPr>
        <w:t>ως απόρροια της οικονομικής κρίσης του κορωνοϊού</w:t>
      </w:r>
      <w:r w:rsidR="001369A2">
        <w:rPr>
          <w:rFonts w:ascii="Segoe UI" w:hAnsi="Segoe UI" w:cs="Segoe UI"/>
          <w:sz w:val="20"/>
        </w:rPr>
        <w:t xml:space="preserve"> </w:t>
      </w:r>
      <w:r w:rsidR="00311951">
        <w:rPr>
          <w:rFonts w:ascii="Segoe UI" w:hAnsi="Segoe UI" w:cs="Segoe UI"/>
          <w:sz w:val="20"/>
        </w:rPr>
        <w:t xml:space="preserve">και της τιτλοποίησης </w:t>
      </w:r>
      <w:r w:rsidR="00311951">
        <w:rPr>
          <w:rFonts w:ascii="Segoe UI" w:hAnsi="Segoe UI" w:cs="Segoe UI"/>
          <w:sz w:val="20"/>
          <w:lang w:val="en-US"/>
        </w:rPr>
        <w:t>Frontier</w:t>
      </w:r>
      <w:r w:rsidR="00311951" w:rsidRPr="00311951">
        <w:rPr>
          <w:rFonts w:ascii="Segoe UI" w:hAnsi="Segoe UI" w:cs="Segoe UI"/>
          <w:sz w:val="20"/>
        </w:rPr>
        <w:t xml:space="preserve">. </w:t>
      </w:r>
      <w:r w:rsidR="00311951">
        <w:rPr>
          <w:rFonts w:ascii="Segoe UI" w:hAnsi="Segoe UI" w:cs="Segoe UI"/>
          <w:sz w:val="20"/>
        </w:rPr>
        <w:t xml:space="preserve">Εξαιρουμένων των εν λόγω προβλέψεων, </w:t>
      </w:r>
      <w:r w:rsidR="002A098F">
        <w:rPr>
          <w:rFonts w:ascii="Segoe UI" w:hAnsi="Segoe UI" w:cs="Segoe UI"/>
          <w:sz w:val="20"/>
        </w:rPr>
        <w:t>τ</w:t>
      </w:r>
      <w:r w:rsidR="002C5847" w:rsidRPr="002C5847">
        <w:rPr>
          <w:rFonts w:ascii="Segoe UI" w:hAnsi="Segoe UI" w:cs="Segoe UI"/>
          <w:sz w:val="20"/>
        </w:rPr>
        <w:t>ο κόστος πιστωτικού κινδύνου διαμορφώ</w:t>
      </w:r>
      <w:r w:rsidR="00230165">
        <w:rPr>
          <w:rFonts w:ascii="Segoe UI" w:hAnsi="Segoe UI" w:cs="Segoe UI"/>
          <w:sz w:val="20"/>
        </w:rPr>
        <w:t xml:space="preserve">θηκε </w:t>
      </w:r>
      <w:r w:rsidR="002C5847" w:rsidRPr="002C5847">
        <w:rPr>
          <w:rFonts w:ascii="Segoe UI" w:hAnsi="Segoe UI" w:cs="Segoe UI"/>
          <w:sz w:val="20"/>
        </w:rPr>
        <w:t xml:space="preserve">σε </w:t>
      </w:r>
      <w:r w:rsidR="00311951">
        <w:rPr>
          <w:rFonts w:ascii="Segoe UI" w:hAnsi="Segoe UI" w:cs="Segoe UI"/>
          <w:sz w:val="20"/>
        </w:rPr>
        <w:t>108</w:t>
      </w:r>
      <w:r w:rsidR="002C5847" w:rsidRPr="002C5847">
        <w:rPr>
          <w:rFonts w:ascii="Segoe UI" w:hAnsi="Segoe UI" w:cs="Segoe UI"/>
          <w:sz w:val="20"/>
        </w:rPr>
        <w:t>μ.β.</w:t>
      </w:r>
      <w:r w:rsidR="00311951">
        <w:rPr>
          <w:rFonts w:ascii="Segoe UI" w:hAnsi="Segoe UI" w:cs="Segoe UI"/>
          <w:sz w:val="20"/>
        </w:rPr>
        <w:t xml:space="preserve"> το 2020. </w:t>
      </w:r>
      <w:r w:rsidR="00BF618F" w:rsidRPr="00BF618F">
        <w:rPr>
          <w:rFonts w:ascii="Segoe UI" w:hAnsi="Segoe UI" w:cs="Segoe UI"/>
          <w:sz w:val="20"/>
        </w:rPr>
        <w:t xml:space="preserve"> </w:t>
      </w:r>
      <w:r w:rsidR="00230165">
        <w:rPr>
          <w:rFonts w:ascii="Segoe UI" w:hAnsi="Segoe UI" w:cs="Segoe UI"/>
          <w:sz w:val="20"/>
        </w:rPr>
        <w:t xml:space="preserve"> </w:t>
      </w:r>
    </w:p>
    <w:p w:rsidR="00283FBA" w:rsidRPr="00283FBA" w:rsidRDefault="00283FBA" w:rsidP="00E55AED">
      <w:pPr>
        <w:autoSpaceDE w:val="0"/>
        <w:autoSpaceDN w:val="0"/>
        <w:adjustRightInd w:val="0"/>
        <w:spacing w:after="160" w:line="320" w:lineRule="atLeast"/>
        <w:jc w:val="both"/>
        <w:rPr>
          <w:rFonts w:ascii="Segoe UI" w:hAnsi="Segoe UI" w:cs="Segoe UI"/>
          <w:sz w:val="20"/>
        </w:rPr>
      </w:pPr>
    </w:p>
    <w:p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r w:rsidR="00EE40A0" w:rsidRPr="00D17BD1">
        <w:rPr>
          <w:rFonts w:ascii="Segoe UI" w:hAnsi="Segoe UI" w:cs="Segoe UI"/>
          <w:sz w:val="24"/>
          <w:szCs w:val="24"/>
          <w:lang w:val="el-GR"/>
        </w:rPr>
        <w:t>:</w:t>
      </w:r>
      <w:r w:rsidR="00EE40A0" w:rsidRPr="004531D1">
        <w:rPr>
          <w:rFonts w:ascii="Segoe UI" w:hAnsi="Segoe UI" w:cs="Segoe UI"/>
          <w:sz w:val="24"/>
          <w:szCs w:val="24"/>
          <w:vertAlign w:val="superscript"/>
          <w:lang w:val="el-GR"/>
        </w:rPr>
        <w:footnoteReference w:id="1"/>
      </w:r>
    </w:p>
    <w:p w:rsidR="00D17BD1" w:rsidRDefault="00D17BD1" w:rsidP="00E55AED">
      <w:pPr>
        <w:autoSpaceDE w:val="0"/>
        <w:autoSpaceDN w:val="0"/>
        <w:adjustRightInd w:val="0"/>
        <w:spacing w:after="160" w:line="320" w:lineRule="atLeast"/>
        <w:jc w:val="both"/>
        <w:rPr>
          <w:rFonts w:ascii="Segoe UI" w:hAnsi="Segoe UI" w:cs="Segoe UI"/>
          <w:sz w:val="20"/>
        </w:rPr>
      </w:pPr>
      <w:r w:rsidRPr="00D17BD1">
        <w:rPr>
          <w:rFonts w:ascii="Segoe UI" w:hAnsi="Segoe UI" w:cs="Segoe UI"/>
          <w:sz w:val="20"/>
        </w:rPr>
        <w:t>Στις διεθνείς δραστηριότητες</w:t>
      </w:r>
      <w:r w:rsidR="00F26F3A" w:rsidRPr="00F26F3A">
        <w:rPr>
          <w:rFonts w:ascii="Segoe UI" w:hAnsi="Segoe UI" w:cs="Segoe UI"/>
          <w:sz w:val="20"/>
          <w:vertAlign w:val="superscript"/>
        </w:rPr>
        <w:t>1</w:t>
      </w:r>
      <w:r w:rsidRPr="00D17BD1">
        <w:rPr>
          <w:rFonts w:ascii="Segoe UI" w:hAnsi="Segoe UI" w:cs="Segoe UI"/>
          <w:sz w:val="20"/>
        </w:rPr>
        <w:t xml:space="preserve">, ο Όμιλος παρουσίασε </w:t>
      </w:r>
      <w:r w:rsidRPr="00D17BD1">
        <w:rPr>
          <w:rFonts w:ascii="Segoe UI" w:hAnsi="Segoe UI" w:cs="Segoe UI"/>
          <w:b/>
          <w:sz w:val="20"/>
        </w:rPr>
        <w:t>κέρδη μετά από φόρους</w:t>
      </w:r>
      <w:r w:rsidR="00E80549">
        <w:rPr>
          <w:rFonts w:ascii="Segoe UI" w:hAnsi="Segoe UI" w:cs="Segoe UI"/>
          <w:b/>
          <w:sz w:val="20"/>
        </w:rPr>
        <w:t xml:space="preserve"> </w:t>
      </w:r>
      <w:r w:rsidRPr="00D17BD1">
        <w:rPr>
          <w:rFonts w:ascii="Segoe UI" w:hAnsi="Segoe UI" w:cs="Segoe UI"/>
          <w:b/>
          <w:sz w:val="20"/>
        </w:rPr>
        <w:t>από συνεχιζόμενες δραστηριότητες</w:t>
      </w:r>
      <w:r w:rsidRPr="00D17BD1">
        <w:rPr>
          <w:rFonts w:ascii="Segoe UI" w:hAnsi="Segoe UI" w:cs="Segoe UI"/>
          <w:sz w:val="20"/>
        </w:rPr>
        <w:t xml:space="preserve"> </w:t>
      </w:r>
      <w:r w:rsidRPr="00E70F5D">
        <w:rPr>
          <w:rFonts w:ascii="Segoe UI" w:hAnsi="Segoe UI" w:cs="Segoe UI"/>
          <w:sz w:val="20"/>
        </w:rPr>
        <w:t>ύψους €</w:t>
      </w:r>
      <w:r w:rsidR="00807458" w:rsidRPr="00807458">
        <w:rPr>
          <w:rFonts w:ascii="Segoe UI" w:hAnsi="Segoe UI" w:cs="Segoe UI"/>
          <w:sz w:val="20"/>
        </w:rPr>
        <w:t>11</w:t>
      </w:r>
      <w:r w:rsidRPr="00E70F5D">
        <w:rPr>
          <w:rFonts w:ascii="Segoe UI" w:hAnsi="Segoe UI" w:cs="Segoe UI"/>
          <w:sz w:val="20"/>
        </w:rPr>
        <w:t xml:space="preserve"> εκατ</w:t>
      </w:r>
      <w:r w:rsidRPr="00D17BD1">
        <w:rPr>
          <w:rFonts w:ascii="Segoe UI" w:hAnsi="Segoe UI" w:cs="Segoe UI"/>
          <w:sz w:val="20"/>
        </w:rPr>
        <w:t xml:space="preserve">. το </w:t>
      </w:r>
      <w:r w:rsidR="003235E4" w:rsidRPr="003235E4">
        <w:rPr>
          <w:rFonts w:ascii="Segoe UI" w:hAnsi="Segoe UI" w:cs="Segoe UI"/>
          <w:sz w:val="20"/>
        </w:rPr>
        <w:t>2020</w:t>
      </w:r>
      <w:r w:rsidR="00EE7577">
        <w:rPr>
          <w:rFonts w:ascii="Segoe UI" w:hAnsi="Segoe UI" w:cs="Segoe UI"/>
          <w:sz w:val="20"/>
        </w:rPr>
        <w:t xml:space="preserve"> έναντι </w:t>
      </w:r>
      <w:r w:rsidR="00415C6A">
        <w:rPr>
          <w:rFonts w:ascii="Segoe UI" w:hAnsi="Segoe UI" w:cs="Segoe UI"/>
          <w:sz w:val="20"/>
        </w:rPr>
        <w:t xml:space="preserve">ζημιών </w:t>
      </w:r>
      <w:r w:rsidR="00EE7577">
        <w:rPr>
          <w:rFonts w:ascii="Segoe UI" w:hAnsi="Segoe UI" w:cs="Segoe UI"/>
          <w:sz w:val="20"/>
        </w:rPr>
        <w:t>€</w:t>
      </w:r>
      <w:r w:rsidR="00807458" w:rsidRPr="00807458">
        <w:rPr>
          <w:rFonts w:ascii="Segoe UI" w:hAnsi="Segoe UI" w:cs="Segoe UI"/>
          <w:sz w:val="20"/>
        </w:rPr>
        <w:t>8</w:t>
      </w:r>
      <w:r w:rsidR="00EE7577">
        <w:rPr>
          <w:rFonts w:ascii="Segoe UI" w:hAnsi="Segoe UI" w:cs="Segoe UI"/>
          <w:sz w:val="20"/>
        </w:rPr>
        <w:t xml:space="preserve"> εκατ. </w:t>
      </w:r>
      <w:r w:rsidR="00533278">
        <w:rPr>
          <w:rFonts w:ascii="Segoe UI" w:hAnsi="Segoe UI" w:cs="Segoe UI"/>
          <w:sz w:val="20"/>
        </w:rPr>
        <w:t xml:space="preserve">το </w:t>
      </w:r>
      <w:r w:rsidR="003235E4" w:rsidRPr="003235E4">
        <w:rPr>
          <w:rFonts w:ascii="Segoe UI" w:hAnsi="Segoe UI" w:cs="Segoe UI"/>
          <w:sz w:val="20"/>
        </w:rPr>
        <w:t>20</w:t>
      </w:r>
      <w:r w:rsidR="003235E4">
        <w:rPr>
          <w:rFonts w:ascii="Segoe UI" w:hAnsi="Segoe UI" w:cs="Segoe UI"/>
          <w:sz w:val="20"/>
        </w:rPr>
        <w:t>19</w:t>
      </w:r>
      <w:r w:rsidR="00415C6A">
        <w:rPr>
          <w:rFonts w:ascii="Segoe UI" w:hAnsi="Segoe UI" w:cs="Segoe UI"/>
          <w:sz w:val="20"/>
        </w:rPr>
        <w:t>, αντανακλώντας κυρίως τη</w:t>
      </w:r>
      <w:r w:rsidR="00807458">
        <w:rPr>
          <w:rFonts w:ascii="Segoe UI" w:hAnsi="Segoe UI" w:cs="Segoe UI"/>
          <w:sz w:val="20"/>
        </w:rPr>
        <w:t>ν ομαλοποίηση τ</w:t>
      </w:r>
      <w:r w:rsidR="00415C6A">
        <w:rPr>
          <w:rFonts w:ascii="Segoe UI" w:hAnsi="Segoe UI" w:cs="Segoe UI"/>
          <w:sz w:val="20"/>
        </w:rPr>
        <w:t xml:space="preserve">ων </w:t>
      </w:r>
      <w:r w:rsidR="00415C6A" w:rsidRPr="00415C6A">
        <w:rPr>
          <w:rFonts w:ascii="Segoe UI" w:hAnsi="Segoe UI" w:cs="Segoe UI"/>
          <w:sz w:val="20"/>
        </w:rPr>
        <w:t>προβλέψε</w:t>
      </w:r>
      <w:r w:rsidR="00415C6A">
        <w:rPr>
          <w:rFonts w:ascii="Segoe UI" w:hAnsi="Segoe UI" w:cs="Segoe UI"/>
          <w:sz w:val="20"/>
        </w:rPr>
        <w:t xml:space="preserve">ων </w:t>
      </w:r>
      <w:r w:rsidR="00415C6A" w:rsidRPr="00415C6A">
        <w:rPr>
          <w:rFonts w:ascii="Segoe UI" w:hAnsi="Segoe UI" w:cs="Segoe UI"/>
          <w:sz w:val="20"/>
        </w:rPr>
        <w:t>για επισφαλείς απαιτήσεις</w:t>
      </w:r>
      <w:r w:rsidR="00415C6A">
        <w:rPr>
          <w:rFonts w:ascii="Segoe UI" w:hAnsi="Segoe UI" w:cs="Segoe UI"/>
          <w:sz w:val="20"/>
        </w:rPr>
        <w:t xml:space="preserve"> (-</w:t>
      </w:r>
      <w:r w:rsidR="00807458">
        <w:rPr>
          <w:rFonts w:ascii="Segoe UI" w:hAnsi="Segoe UI" w:cs="Segoe UI"/>
          <w:sz w:val="20"/>
        </w:rPr>
        <w:t>71,1</w:t>
      </w:r>
      <w:r w:rsidR="00415C6A">
        <w:rPr>
          <w:rFonts w:ascii="Segoe UI" w:hAnsi="Segoe UI" w:cs="Segoe UI"/>
          <w:sz w:val="20"/>
        </w:rPr>
        <w:t>% σε ετήσια βάση)</w:t>
      </w:r>
      <w:r w:rsidR="00E32291">
        <w:rPr>
          <w:rFonts w:ascii="Segoe UI" w:hAnsi="Segoe UI" w:cs="Segoe UI"/>
          <w:sz w:val="20"/>
        </w:rPr>
        <w:t>.</w:t>
      </w:r>
    </w:p>
    <w:p w:rsidR="00EE40A0" w:rsidRPr="009B4BF0" w:rsidRDefault="00EE40A0">
      <w:pPr>
        <w:rPr>
          <w:rFonts w:ascii="Segoe UI" w:hAnsi="Segoe UI" w:cs="Segoe UI"/>
          <w:b/>
          <w:sz w:val="16"/>
        </w:rPr>
      </w:pPr>
      <w:r w:rsidRPr="009B4BF0">
        <w:rPr>
          <w:rFonts w:ascii="Segoe UI" w:hAnsi="Segoe UI" w:cs="Segoe UI"/>
          <w:b/>
          <w:sz w:val="16"/>
        </w:rPr>
        <w:br w:type="page"/>
      </w:r>
    </w:p>
    <w:p w:rsidR="00EE40A0" w:rsidRPr="00C56A58" w:rsidRDefault="008E3951" w:rsidP="00EE40A0">
      <w:pPr>
        <w:pStyle w:val="TITLEINBODY"/>
        <w:rPr>
          <w:rFonts w:ascii="Segoe UI" w:hAnsi="Segoe UI" w:cs="Segoe UI"/>
          <w:lang w:val="el-GR"/>
        </w:rPr>
      </w:pPr>
      <w:r w:rsidRPr="000F701B">
        <w:rPr>
          <w:rFonts w:ascii="Segoe UI" w:hAnsi="Segoe UI" w:cs="Segoe UI"/>
          <w:lang w:val="el-GR"/>
        </w:rPr>
        <w:lastRenderedPageBreak/>
        <w:t>Ποιότητα Δανειακού Χαρτοφυλακίου</w:t>
      </w:r>
    </w:p>
    <w:p w:rsidR="00C56A58" w:rsidRDefault="0012024E" w:rsidP="003A74DE">
      <w:pPr>
        <w:autoSpaceDE w:val="0"/>
        <w:autoSpaceDN w:val="0"/>
        <w:adjustRightInd w:val="0"/>
        <w:spacing w:before="240" w:after="160" w:line="320" w:lineRule="atLeast"/>
        <w:jc w:val="both"/>
        <w:rPr>
          <w:rFonts w:ascii="Segoe UI" w:hAnsi="Segoe UI" w:cs="Segoe UI"/>
          <w:sz w:val="20"/>
        </w:rPr>
      </w:pPr>
      <w:r w:rsidRPr="008970D7">
        <w:rPr>
          <w:rFonts w:ascii="Segoe UI" w:hAnsi="Segoe UI" w:cs="Segoe UI"/>
          <w:sz w:val="20"/>
        </w:rPr>
        <w:t xml:space="preserve">Η </w:t>
      </w:r>
      <w:r w:rsidRPr="008970D7">
        <w:rPr>
          <w:rFonts w:ascii="Segoe UI" w:hAnsi="Segoe UI" w:cs="Segoe UI"/>
          <w:b/>
          <w:sz w:val="20"/>
        </w:rPr>
        <w:t>μείωση των ΜΕΑ</w:t>
      </w:r>
      <w:r w:rsidR="00076A0A">
        <w:rPr>
          <w:rFonts w:ascii="Segoe UI" w:hAnsi="Segoe UI" w:cs="Segoe UI"/>
          <w:b/>
          <w:sz w:val="20"/>
        </w:rPr>
        <w:t xml:space="preserve"> </w:t>
      </w:r>
      <w:r w:rsidR="00193511">
        <w:rPr>
          <w:rFonts w:ascii="Segoe UI" w:hAnsi="Segoe UI" w:cs="Segoe UI"/>
          <w:sz w:val="20"/>
        </w:rPr>
        <w:t xml:space="preserve">επιταχύνθηκε </w:t>
      </w:r>
      <w:r w:rsidR="005E4BB2" w:rsidRPr="008970D7">
        <w:rPr>
          <w:rFonts w:ascii="Segoe UI" w:hAnsi="Segoe UI" w:cs="Segoe UI"/>
          <w:sz w:val="20"/>
        </w:rPr>
        <w:t xml:space="preserve">κατά </w:t>
      </w:r>
      <w:r w:rsidRPr="008970D7">
        <w:rPr>
          <w:rFonts w:ascii="Segoe UI" w:hAnsi="Segoe UI" w:cs="Segoe UI"/>
          <w:sz w:val="20"/>
        </w:rPr>
        <w:t xml:space="preserve">το </w:t>
      </w:r>
      <w:r w:rsidR="00193511">
        <w:rPr>
          <w:rFonts w:ascii="Segoe UI" w:hAnsi="Segoe UI" w:cs="Segoe UI"/>
          <w:sz w:val="20"/>
        </w:rPr>
        <w:t>Δ</w:t>
      </w:r>
      <w:r w:rsidRPr="008970D7">
        <w:rPr>
          <w:rFonts w:ascii="Segoe UI" w:hAnsi="Segoe UI" w:cs="Segoe UI"/>
          <w:sz w:val="20"/>
        </w:rPr>
        <w:t>’ τρίμηνο 20</w:t>
      </w:r>
      <w:r w:rsidR="007F28B8">
        <w:rPr>
          <w:rFonts w:ascii="Segoe UI" w:hAnsi="Segoe UI" w:cs="Segoe UI"/>
          <w:sz w:val="20"/>
        </w:rPr>
        <w:t xml:space="preserve">20, με τα ΜΕΑ </w:t>
      </w:r>
      <w:r w:rsidR="00193511">
        <w:rPr>
          <w:rFonts w:ascii="Segoe UI" w:hAnsi="Segoe UI" w:cs="Segoe UI"/>
          <w:sz w:val="20"/>
        </w:rPr>
        <w:t>στην Ελλάδα</w:t>
      </w:r>
      <w:r w:rsidR="007F28B8">
        <w:rPr>
          <w:rFonts w:ascii="Segoe UI" w:hAnsi="Segoe UI" w:cs="Segoe UI"/>
          <w:sz w:val="20"/>
        </w:rPr>
        <w:t xml:space="preserve"> να μειώνονται σε €</w:t>
      </w:r>
      <w:r w:rsidR="00193511">
        <w:rPr>
          <w:rFonts w:ascii="Segoe UI" w:hAnsi="Segoe UI" w:cs="Segoe UI"/>
          <w:sz w:val="20"/>
        </w:rPr>
        <w:t>4,3</w:t>
      </w:r>
      <w:r w:rsidR="007F28B8" w:rsidRPr="002B05B1">
        <w:rPr>
          <w:rFonts w:ascii="Segoe UI" w:hAnsi="Segoe UI" w:cs="Segoe UI"/>
          <w:sz w:val="20"/>
        </w:rPr>
        <w:t xml:space="preserve"> δισ.</w:t>
      </w:r>
      <w:r w:rsidR="007F28B8">
        <w:rPr>
          <w:rFonts w:ascii="Segoe UI" w:hAnsi="Segoe UI" w:cs="Segoe UI"/>
          <w:sz w:val="20"/>
        </w:rPr>
        <w:t>,</w:t>
      </w:r>
      <w:r w:rsidR="007F28B8" w:rsidRPr="002B05B1">
        <w:rPr>
          <w:rFonts w:ascii="Segoe UI" w:hAnsi="Segoe UI" w:cs="Segoe UI"/>
          <w:sz w:val="20"/>
        </w:rPr>
        <w:t xml:space="preserve"> </w:t>
      </w:r>
      <w:r w:rsidRPr="008970D7">
        <w:rPr>
          <w:rFonts w:ascii="Segoe UI" w:hAnsi="Segoe UI" w:cs="Segoe UI"/>
          <w:sz w:val="20"/>
        </w:rPr>
        <w:t xml:space="preserve">αντανακλώντας </w:t>
      </w:r>
      <w:r w:rsidR="00A21C09">
        <w:rPr>
          <w:rFonts w:ascii="Segoe UI" w:hAnsi="Segoe UI" w:cs="Segoe UI"/>
          <w:sz w:val="20"/>
        </w:rPr>
        <w:t xml:space="preserve">τη συναλλαγή </w:t>
      </w:r>
      <w:r w:rsidR="00A21C09">
        <w:rPr>
          <w:rFonts w:ascii="Segoe UI" w:hAnsi="Segoe UI" w:cs="Segoe UI"/>
          <w:sz w:val="20"/>
          <w:lang w:val="en-US"/>
        </w:rPr>
        <w:t>Frontier</w:t>
      </w:r>
      <w:r w:rsidR="00A21C09" w:rsidRPr="00A21C09">
        <w:rPr>
          <w:rFonts w:ascii="Segoe UI" w:hAnsi="Segoe UI" w:cs="Segoe UI"/>
          <w:sz w:val="20"/>
        </w:rPr>
        <w:t xml:space="preserve">. </w:t>
      </w:r>
      <w:r w:rsidR="00A21C09">
        <w:rPr>
          <w:rFonts w:ascii="Segoe UI" w:hAnsi="Segoe UI" w:cs="Segoe UI"/>
          <w:sz w:val="20"/>
        </w:rPr>
        <w:t xml:space="preserve">Σε επίπεδο έτους, τα εγχώρια ΜΕΑ </w:t>
      </w:r>
      <w:r w:rsidR="005D7BC0" w:rsidRPr="005D7BC0">
        <w:rPr>
          <w:rFonts w:ascii="Segoe UI" w:hAnsi="Segoe UI" w:cs="Segoe UI"/>
          <w:sz w:val="20"/>
        </w:rPr>
        <w:t xml:space="preserve">κατέγραψαν συνολική μείωση </w:t>
      </w:r>
      <w:r w:rsidR="005D7BC0">
        <w:rPr>
          <w:rFonts w:ascii="Segoe UI" w:hAnsi="Segoe UI" w:cs="Segoe UI"/>
          <w:sz w:val="20"/>
        </w:rPr>
        <w:t>ύψους</w:t>
      </w:r>
      <w:r w:rsidR="00A21C09">
        <w:rPr>
          <w:rFonts w:ascii="Segoe UI" w:hAnsi="Segoe UI" w:cs="Segoe UI"/>
          <w:sz w:val="20"/>
        </w:rPr>
        <w:t xml:space="preserve"> €6,5 δισ.</w:t>
      </w:r>
      <w:r w:rsidR="00115189">
        <w:rPr>
          <w:rFonts w:ascii="Segoe UI" w:hAnsi="Segoe UI" w:cs="Segoe UI"/>
          <w:sz w:val="20"/>
        </w:rPr>
        <w:t xml:space="preserve"> σε σχέση με το 2019</w:t>
      </w:r>
      <w:r w:rsidR="00A21C09">
        <w:rPr>
          <w:rFonts w:ascii="Segoe UI" w:hAnsi="Segoe UI" w:cs="Segoe UI"/>
          <w:sz w:val="20"/>
        </w:rPr>
        <w:t>, εκ των οποίων €0,7 δι</w:t>
      </w:r>
      <w:r w:rsidR="00AA4F07">
        <w:rPr>
          <w:rFonts w:ascii="Segoe UI" w:hAnsi="Segoe UI" w:cs="Segoe UI"/>
          <w:sz w:val="20"/>
        </w:rPr>
        <w:t>σ</w:t>
      </w:r>
      <w:r w:rsidR="00A21C09">
        <w:rPr>
          <w:rFonts w:ascii="Segoe UI" w:hAnsi="Segoe UI" w:cs="Segoe UI"/>
          <w:sz w:val="20"/>
        </w:rPr>
        <w:t xml:space="preserve">. </w:t>
      </w:r>
      <w:r w:rsidR="00CD55CB">
        <w:rPr>
          <w:rFonts w:ascii="Segoe UI" w:hAnsi="Segoe UI" w:cs="Segoe UI"/>
          <w:sz w:val="20"/>
        </w:rPr>
        <w:t xml:space="preserve">αποδίδονται </w:t>
      </w:r>
      <w:r w:rsidR="00A21C09">
        <w:rPr>
          <w:rFonts w:ascii="Segoe UI" w:hAnsi="Segoe UI" w:cs="Segoe UI"/>
          <w:sz w:val="20"/>
        </w:rPr>
        <w:t>σε οργανικές ενέργειες, με τις</w:t>
      </w:r>
      <w:r w:rsidR="00A97020" w:rsidRPr="00A97020">
        <w:rPr>
          <w:rFonts w:ascii="Segoe UI" w:hAnsi="Segoe UI" w:cs="Segoe UI"/>
          <w:sz w:val="20"/>
        </w:rPr>
        <w:t xml:space="preserve"> νέες αθετήσεις δανείων (defaults) </w:t>
      </w:r>
      <w:r w:rsidR="006F7B96">
        <w:rPr>
          <w:rFonts w:ascii="Segoe UI" w:hAnsi="Segoe UI" w:cs="Segoe UI"/>
          <w:sz w:val="20"/>
        </w:rPr>
        <w:t xml:space="preserve">να </w:t>
      </w:r>
      <w:r w:rsidR="002721CF">
        <w:rPr>
          <w:rFonts w:ascii="Segoe UI" w:hAnsi="Segoe UI" w:cs="Segoe UI"/>
          <w:sz w:val="20"/>
        </w:rPr>
        <w:t xml:space="preserve">διατηρούνται </w:t>
      </w:r>
      <w:r w:rsidR="003A74DE" w:rsidRPr="003A74DE">
        <w:rPr>
          <w:rFonts w:ascii="Segoe UI" w:hAnsi="Segoe UI" w:cs="Segoe UI"/>
          <w:sz w:val="20"/>
        </w:rPr>
        <w:t>σε χαμηλά επίπεδα, καθώς η αρνητική επίπτωση της συρρίκνωσης της οικονομικής δραστηριότητας αντισταθμί</w:t>
      </w:r>
      <w:r w:rsidR="00A21C09">
        <w:rPr>
          <w:rFonts w:ascii="Segoe UI" w:hAnsi="Segoe UI" w:cs="Segoe UI"/>
          <w:sz w:val="20"/>
        </w:rPr>
        <w:t xml:space="preserve">στηκε </w:t>
      </w:r>
      <w:r w:rsidR="00E72C59">
        <w:rPr>
          <w:rFonts w:ascii="Segoe UI" w:hAnsi="Segoe UI" w:cs="Segoe UI"/>
          <w:sz w:val="20"/>
        </w:rPr>
        <w:t xml:space="preserve">σε μεγάλο βαθμό </w:t>
      </w:r>
      <w:r w:rsidR="003A74DE" w:rsidRPr="003A74DE">
        <w:rPr>
          <w:rFonts w:ascii="Segoe UI" w:hAnsi="Segoe UI" w:cs="Segoe UI"/>
          <w:sz w:val="20"/>
        </w:rPr>
        <w:t xml:space="preserve">από τη στοχευμένη εφαρμογή μέτρων διευκόλυνσης καταβολής οφειλών </w:t>
      </w:r>
      <w:r w:rsidR="00E72C59">
        <w:rPr>
          <w:rFonts w:ascii="Segoe UI" w:hAnsi="Segoe UI" w:cs="Segoe UI"/>
          <w:sz w:val="20"/>
        </w:rPr>
        <w:t>της Τράπεζας καθώς και των</w:t>
      </w:r>
      <w:r w:rsidR="00E72C59" w:rsidRPr="003A74DE">
        <w:rPr>
          <w:rFonts w:ascii="Segoe UI" w:hAnsi="Segoe UI" w:cs="Segoe UI"/>
          <w:sz w:val="20"/>
        </w:rPr>
        <w:t xml:space="preserve"> </w:t>
      </w:r>
      <w:r w:rsidR="003A74DE" w:rsidRPr="003A74DE">
        <w:rPr>
          <w:rFonts w:ascii="Segoe UI" w:hAnsi="Segoe UI" w:cs="Segoe UI"/>
          <w:sz w:val="20"/>
        </w:rPr>
        <w:t>κυβερνητικών προγραμμάτων στήριξης</w:t>
      </w:r>
      <w:r w:rsidR="00A2317C">
        <w:rPr>
          <w:rFonts w:ascii="Segoe UI" w:hAnsi="Segoe UI" w:cs="Segoe UI"/>
          <w:sz w:val="20"/>
        </w:rPr>
        <w:t>.</w:t>
      </w:r>
    </w:p>
    <w:p w:rsidR="00386120" w:rsidRDefault="00386120" w:rsidP="003A74DE">
      <w:pPr>
        <w:autoSpaceDE w:val="0"/>
        <w:autoSpaceDN w:val="0"/>
        <w:adjustRightInd w:val="0"/>
        <w:spacing w:before="240" w:after="160" w:line="320" w:lineRule="atLeast"/>
        <w:jc w:val="both"/>
        <w:rPr>
          <w:rFonts w:ascii="Segoe UI" w:hAnsi="Segoe UI" w:cs="Segoe UI"/>
          <w:sz w:val="20"/>
        </w:rPr>
      </w:pPr>
      <w:r w:rsidRPr="00386120">
        <w:rPr>
          <w:rFonts w:ascii="Segoe UI" w:hAnsi="Segoe UI" w:cs="Segoe UI"/>
          <w:sz w:val="20"/>
        </w:rPr>
        <w:t xml:space="preserve">Μετά τη λήξη </w:t>
      </w:r>
      <w:r>
        <w:rPr>
          <w:rFonts w:ascii="Segoe UI" w:hAnsi="Segoe UI" w:cs="Segoe UI"/>
          <w:sz w:val="20"/>
        </w:rPr>
        <w:t>των</w:t>
      </w:r>
      <w:r w:rsidRPr="00386120">
        <w:rPr>
          <w:rFonts w:ascii="Segoe UI" w:hAnsi="Segoe UI" w:cs="Segoe UI"/>
          <w:sz w:val="20"/>
        </w:rPr>
        <w:t xml:space="preserve"> μέτρ</w:t>
      </w:r>
      <w:r>
        <w:rPr>
          <w:rFonts w:ascii="Segoe UI" w:hAnsi="Segoe UI" w:cs="Segoe UI"/>
          <w:sz w:val="20"/>
        </w:rPr>
        <w:t>ων</w:t>
      </w:r>
      <w:r w:rsidRPr="00386120">
        <w:rPr>
          <w:rFonts w:ascii="Segoe UI" w:hAnsi="Segoe UI" w:cs="Segoe UI"/>
          <w:sz w:val="20"/>
        </w:rPr>
        <w:t xml:space="preserve"> διευκόλυνσης καταβολής οφειλών στις 30.09.20</w:t>
      </w:r>
      <w:r w:rsidR="003579E2">
        <w:rPr>
          <w:rFonts w:ascii="Segoe UI" w:hAnsi="Segoe UI" w:cs="Segoe UI"/>
          <w:sz w:val="20"/>
        </w:rPr>
        <w:t>20</w:t>
      </w:r>
      <w:r w:rsidRPr="00386120">
        <w:rPr>
          <w:rFonts w:ascii="Segoe UI" w:hAnsi="Segoe UI" w:cs="Segoe UI"/>
          <w:sz w:val="20"/>
        </w:rPr>
        <w:t xml:space="preserve"> και 31.12.</w:t>
      </w:r>
      <w:r w:rsidR="003579E2">
        <w:rPr>
          <w:rFonts w:ascii="Segoe UI" w:hAnsi="Segoe UI" w:cs="Segoe UI"/>
          <w:sz w:val="20"/>
        </w:rPr>
        <w:t>20</w:t>
      </w:r>
      <w:r w:rsidRPr="00386120">
        <w:rPr>
          <w:rFonts w:ascii="Segoe UI" w:hAnsi="Segoe UI" w:cs="Segoe UI"/>
          <w:sz w:val="20"/>
        </w:rPr>
        <w:t xml:space="preserve">20, </w:t>
      </w:r>
      <w:r w:rsidR="0082694F">
        <w:rPr>
          <w:rFonts w:ascii="Segoe UI" w:hAnsi="Segoe UI" w:cs="Segoe UI"/>
          <w:sz w:val="20"/>
        </w:rPr>
        <w:t>π</w:t>
      </w:r>
      <w:r w:rsidRPr="00386120">
        <w:rPr>
          <w:rFonts w:ascii="Segoe UI" w:hAnsi="Segoe UI" w:cs="Segoe UI"/>
          <w:sz w:val="20"/>
        </w:rPr>
        <w:t xml:space="preserve">ιέζουμε ενεργά για </w:t>
      </w:r>
      <w:r w:rsidR="00A762E7">
        <w:rPr>
          <w:rFonts w:ascii="Segoe UI" w:hAnsi="Segoe UI" w:cs="Segoe UI"/>
          <w:sz w:val="20"/>
        </w:rPr>
        <w:t xml:space="preserve">την παροχή κατάλληλων προϊόντων </w:t>
      </w:r>
      <w:r w:rsidRPr="00386120">
        <w:rPr>
          <w:rFonts w:ascii="Segoe UI" w:hAnsi="Segoe UI" w:cs="Segoe UI"/>
          <w:sz w:val="20"/>
        </w:rPr>
        <w:t xml:space="preserve">σε </w:t>
      </w:r>
      <w:r w:rsidR="005A12DD">
        <w:rPr>
          <w:rFonts w:ascii="Segoe UI" w:hAnsi="Segoe UI" w:cs="Segoe UI"/>
          <w:sz w:val="20"/>
        </w:rPr>
        <w:t>δανειολήπτες</w:t>
      </w:r>
      <w:r w:rsidRPr="00386120">
        <w:rPr>
          <w:rFonts w:ascii="Segoe UI" w:hAnsi="Segoe UI" w:cs="Segoe UI"/>
          <w:sz w:val="20"/>
        </w:rPr>
        <w:t xml:space="preserve"> που εξακολουθούν να αντιμετωπίζουν οικονομικές δυσκολίες λόγω του </w:t>
      </w:r>
      <w:r w:rsidR="00B7221F">
        <w:rPr>
          <w:rFonts w:ascii="Segoe UI" w:hAnsi="Segoe UI" w:cs="Segoe UI"/>
          <w:sz w:val="20"/>
        </w:rPr>
        <w:t xml:space="preserve">της κρίσης του </w:t>
      </w:r>
      <w:r w:rsidR="00AF1A8C">
        <w:rPr>
          <w:rFonts w:ascii="Segoe UI" w:hAnsi="Segoe UI" w:cs="Segoe UI"/>
          <w:sz w:val="20"/>
        </w:rPr>
        <w:t>κορωνοϊού</w:t>
      </w:r>
      <w:r w:rsidRPr="00386120">
        <w:rPr>
          <w:rFonts w:ascii="Segoe UI" w:hAnsi="Segoe UI" w:cs="Segoe UI"/>
          <w:sz w:val="20"/>
        </w:rPr>
        <w:t xml:space="preserve">, </w:t>
      </w:r>
      <w:r w:rsidR="008C6285">
        <w:rPr>
          <w:rFonts w:ascii="Segoe UI" w:hAnsi="Segoe UI" w:cs="Segoe UI"/>
          <w:sz w:val="20"/>
        </w:rPr>
        <w:t>με στόχο</w:t>
      </w:r>
      <w:r w:rsidR="007B2E1D" w:rsidRPr="007B2E1D">
        <w:rPr>
          <w:rFonts w:ascii="Segoe UI" w:hAnsi="Segoe UI" w:cs="Segoe UI"/>
          <w:sz w:val="20"/>
        </w:rPr>
        <w:t xml:space="preserve"> </w:t>
      </w:r>
      <w:r w:rsidR="007B2E1D">
        <w:rPr>
          <w:rFonts w:ascii="Segoe UI" w:hAnsi="Segoe UI" w:cs="Segoe UI"/>
          <w:sz w:val="20"/>
        </w:rPr>
        <w:t>τ</w:t>
      </w:r>
      <w:r w:rsidR="007B2E1D" w:rsidRPr="007B2E1D">
        <w:rPr>
          <w:rFonts w:ascii="Segoe UI" w:hAnsi="Segoe UI" w:cs="Segoe UI"/>
          <w:sz w:val="20"/>
        </w:rPr>
        <w:t xml:space="preserve">η δημιουργία ενός «πλέγματος ασφαλείας» </w:t>
      </w:r>
      <w:r w:rsidR="0015351A">
        <w:rPr>
          <w:rFonts w:ascii="Segoe UI" w:hAnsi="Segoe UI" w:cs="Segoe UI"/>
          <w:sz w:val="20"/>
        </w:rPr>
        <w:t xml:space="preserve">για </w:t>
      </w:r>
      <w:r w:rsidR="008C6285">
        <w:rPr>
          <w:rFonts w:ascii="Segoe UI" w:hAnsi="Segoe UI" w:cs="Segoe UI"/>
          <w:sz w:val="20"/>
        </w:rPr>
        <w:t xml:space="preserve">την ομαλή </w:t>
      </w:r>
      <w:r w:rsidR="00950B7C">
        <w:rPr>
          <w:rFonts w:ascii="Segoe UI" w:hAnsi="Segoe UI" w:cs="Segoe UI"/>
          <w:sz w:val="20"/>
        </w:rPr>
        <w:t>μετάβασ</w:t>
      </w:r>
      <w:r w:rsidR="005A12DD">
        <w:rPr>
          <w:rFonts w:ascii="Segoe UI" w:hAnsi="Segoe UI" w:cs="Segoe UI"/>
          <w:sz w:val="20"/>
        </w:rPr>
        <w:t>ή τους</w:t>
      </w:r>
      <w:r w:rsidR="006D7E81">
        <w:rPr>
          <w:rFonts w:ascii="Segoe UI" w:hAnsi="Segoe UI" w:cs="Segoe UI"/>
          <w:sz w:val="20"/>
        </w:rPr>
        <w:t xml:space="preserve"> </w:t>
      </w:r>
      <w:r w:rsidR="00950B7C">
        <w:rPr>
          <w:rFonts w:ascii="Segoe UI" w:hAnsi="Segoe UI" w:cs="Segoe UI"/>
          <w:sz w:val="20"/>
        </w:rPr>
        <w:t xml:space="preserve">σε καθεστώς πλήρους </w:t>
      </w:r>
      <w:r w:rsidR="001C3EAC" w:rsidRPr="001C3EAC">
        <w:rPr>
          <w:rFonts w:ascii="Segoe UI" w:hAnsi="Segoe UI" w:cs="Segoe UI"/>
          <w:sz w:val="20"/>
        </w:rPr>
        <w:t>καταβολής οφειλών</w:t>
      </w:r>
      <w:r w:rsidR="004A65A5">
        <w:rPr>
          <w:rFonts w:ascii="Segoe UI" w:hAnsi="Segoe UI" w:cs="Segoe UI"/>
          <w:sz w:val="20"/>
        </w:rPr>
        <w:t xml:space="preserve">, </w:t>
      </w:r>
      <w:r w:rsidR="004B5CC3">
        <w:rPr>
          <w:rFonts w:ascii="Segoe UI" w:hAnsi="Segoe UI" w:cs="Segoe UI"/>
          <w:sz w:val="20"/>
        </w:rPr>
        <w:t>ώ</w:t>
      </w:r>
      <w:r w:rsidR="004B5CC3" w:rsidRPr="004B5CC3">
        <w:rPr>
          <w:rFonts w:ascii="Segoe UI" w:hAnsi="Segoe UI" w:cs="Segoe UI"/>
          <w:sz w:val="20"/>
        </w:rPr>
        <w:t>στε να αποφευχθούν φαινόμενα καθυστερήσεων πληρωμών</w:t>
      </w:r>
      <w:r w:rsidRPr="00386120">
        <w:rPr>
          <w:rFonts w:ascii="Segoe UI" w:hAnsi="Segoe UI" w:cs="Segoe UI"/>
          <w:sz w:val="20"/>
        </w:rPr>
        <w:t xml:space="preserve">. </w:t>
      </w:r>
      <w:r w:rsidR="00075716">
        <w:rPr>
          <w:rFonts w:ascii="Segoe UI" w:hAnsi="Segoe UI" w:cs="Segoe UI"/>
          <w:sz w:val="20"/>
        </w:rPr>
        <w:t xml:space="preserve">Τα προϊόντα αυτά </w:t>
      </w:r>
      <w:r w:rsidRPr="00386120">
        <w:rPr>
          <w:rFonts w:ascii="Segoe UI" w:hAnsi="Segoe UI" w:cs="Segoe UI"/>
          <w:sz w:val="20"/>
        </w:rPr>
        <w:t xml:space="preserve">συμπληρώνονται από το επιτυχημένο </w:t>
      </w:r>
      <w:r w:rsidR="00580A1E" w:rsidRPr="00580A1E">
        <w:rPr>
          <w:rFonts w:ascii="Segoe UI" w:hAnsi="Segoe UI" w:cs="Segoe UI"/>
          <w:sz w:val="20"/>
        </w:rPr>
        <w:t>κρατικό πρόγραμμα επιδότησης δόσεων στεγαστικών δανείων πρώτης κατοικίας</w:t>
      </w:r>
      <w:r w:rsidR="00580A1E" w:rsidRPr="00386120">
        <w:rPr>
          <w:rFonts w:ascii="Segoe UI" w:hAnsi="Segoe UI" w:cs="Segoe UI"/>
          <w:sz w:val="20"/>
        </w:rPr>
        <w:t xml:space="preserve"> </w:t>
      </w:r>
      <w:r w:rsidR="00580A1E" w:rsidRPr="00580A1E">
        <w:rPr>
          <w:rFonts w:ascii="Segoe UI" w:hAnsi="Segoe UI" w:cs="Segoe UI"/>
          <w:sz w:val="20"/>
        </w:rPr>
        <w:t>«Γέφυρα»</w:t>
      </w:r>
      <w:r w:rsidRPr="00386120">
        <w:rPr>
          <w:rFonts w:ascii="Segoe UI" w:hAnsi="Segoe UI" w:cs="Segoe UI"/>
          <w:sz w:val="20"/>
        </w:rPr>
        <w:t xml:space="preserve">, </w:t>
      </w:r>
      <w:r w:rsidR="00580A1E">
        <w:rPr>
          <w:rFonts w:ascii="Segoe UI" w:hAnsi="Segoe UI" w:cs="Segoe UI"/>
          <w:sz w:val="20"/>
        </w:rPr>
        <w:t>στο οποίο</w:t>
      </w:r>
      <w:r w:rsidRPr="00386120">
        <w:rPr>
          <w:rFonts w:ascii="Segoe UI" w:hAnsi="Segoe UI" w:cs="Segoe UI"/>
          <w:sz w:val="20"/>
        </w:rPr>
        <w:t xml:space="preserve"> έχουν εγγραφεί </w:t>
      </w:r>
      <w:r w:rsidR="00580A1E">
        <w:rPr>
          <w:rFonts w:ascii="Segoe UI" w:hAnsi="Segoe UI" w:cs="Segoe UI"/>
          <w:sz w:val="20"/>
        </w:rPr>
        <w:t xml:space="preserve">δανειολήπτες </w:t>
      </w:r>
      <w:r w:rsidR="003E0482">
        <w:rPr>
          <w:rFonts w:ascii="Segoe UI" w:hAnsi="Segoe UI" w:cs="Segoe UI"/>
          <w:sz w:val="20"/>
        </w:rPr>
        <w:t xml:space="preserve">στεγαστικών δανείων </w:t>
      </w:r>
      <w:r w:rsidRPr="00386120">
        <w:rPr>
          <w:rFonts w:ascii="Segoe UI" w:hAnsi="Segoe UI" w:cs="Segoe UI"/>
          <w:sz w:val="20"/>
        </w:rPr>
        <w:t>της Εθνικής Τράπεζας</w:t>
      </w:r>
      <w:r w:rsidR="002516C6">
        <w:rPr>
          <w:rFonts w:ascii="Segoe UI" w:hAnsi="Segoe UI" w:cs="Segoe UI"/>
          <w:sz w:val="20"/>
        </w:rPr>
        <w:t xml:space="preserve"> που αντιστοιχούν σε υπόλοιπα δανείων ύψους </w:t>
      </w:r>
      <w:r w:rsidR="00580A1E">
        <w:rPr>
          <w:rFonts w:ascii="Segoe UI" w:hAnsi="Segoe UI" w:cs="Segoe UI"/>
          <w:sz w:val="20"/>
        </w:rPr>
        <w:t xml:space="preserve">περίπου </w:t>
      </w:r>
      <w:r w:rsidR="002516C6">
        <w:rPr>
          <w:rFonts w:ascii="Segoe UI" w:hAnsi="Segoe UI" w:cs="Segoe UI"/>
          <w:sz w:val="20"/>
        </w:rPr>
        <w:t>€</w:t>
      </w:r>
      <w:r w:rsidR="002516C6" w:rsidRPr="00386120">
        <w:rPr>
          <w:rFonts w:ascii="Segoe UI" w:hAnsi="Segoe UI" w:cs="Segoe UI"/>
          <w:sz w:val="20"/>
        </w:rPr>
        <w:t xml:space="preserve">1,4 δισ. </w:t>
      </w:r>
    </w:p>
    <w:p w:rsidR="001C4829" w:rsidRDefault="00E8454D" w:rsidP="001C4829">
      <w:pPr>
        <w:autoSpaceDE w:val="0"/>
        <w:autoSpaceDN w:val="0"/>
        <w:adjustRightInd w:val="0"/>
        <w:spacing w:after="160" w:line="320" w:lineRule="atLeast"/>
        <w:jc w:val="both"/>
        <w:rPr>
          <w:rFonts w:ascii="Segoe UI" w:hAnsi="Segoe UI" w:cs="Segoe UI"/>
          <w:sz w:val="20"/>
        </w:rPr>
      </w:pPr>
      <w:r>
        <w:rPr>
          <w:rFonts w:ascii="Segoe UI" w:hAnsi="Segoe UI" w:cs="Segoe UI"/>
          <w:sz w:val="20"/>
        </w:rPr>
        <w:t>Μετά την ταξινόμηση</w:t>
      </w:r>
      <w:r w:rsidR="00D66F80">
        <w:rPr>
          <w:rFonts w:ascii="Segoe UI" w:hAnsi="Segoe UI" w:cs="Segoe UI"/>
          <w:sz w:val="20"/>
        </w:rPr>
        <w:t xml:space="preserve"> </w:t>
      </w:r>
      <w:r>
        <w:rPr>
          <w:rFonts w:ascii="Segoe UI" w:hAnsi="Segoe UI" w:cs="Segoe UI"/>
          <w:sz w:val="20"/>
        </w:rPr>
        <w:t xml:space="preserve">του χαρτοφυλακίου </w:t>
      </w:r>
      <w:r w:rsidR="00D66F80">
        <w:rPr>
          <w:rFonts w:ascii="Segoe UI" w:hAnsi="Segoe UI" w:cs="Segoe UI"/>
          <w:sz w:val="20"/>
          <w:lang w:val="en-US"/>
        </w:rPr>
        <w:t>Frontier</w:t>
      </w:r>
      <w:r w:rsidR="00D66F80" w:rsidRPr="00D66F80">
        <w:rPr>
          <w:rFonts w:ascii="Segoe UI" w:hAnsi="Segoe UI" w:cs="Segoe UI"/>
          <w:sz w:val="20"/>
        </w:rPr>
        <w:t xml:space="preserve"> </w:t>
      </w:r>
      <w:r w:rsidRPr="00E8454D">
        <w:rPr>
          <w:rFonts w:ascii="Segoe UI" w:hAnsi="Segoe UI" w:cs="Segoe UI"/>
          <w:sz w:val="20"/>
        </w:rPr>
        <w:t>ως περιουσιακ</w:t>
      </w:r>
      <w:r w:rsidR="00D66F80">
        <w:rPr>
          <w:rFonts w:ascii="Segoe UI" w:hAnsi="Segoe UI" w:cs="Segoe UI"/>
          <w:sz w:val="20"/>
        </w:rPr>
        <w:t>ό</w:t>
      </w:r>
      <w:r w:rsidRPr="00E8454D">
        <w:rPr>
          <w:rFonts w:ascii="Segoe UI" w:hAnsi="Segoe UI" w:cs="Segoe UI"/>
          <w:sz w:val="20"/>
        </w:rPr>
        <w:t xml:space="preserve"> στοιχεί</w:t>
      </w:r>
      <w:r w:rsidR="00D66F80">
        <w:rPr>
          <w:rFonts w:ascii="Segoe UI" w:hAnsi="Segoe UI" w:cs="Segoe UI"/>
          <w:sz w:val="20"/>
          <w:lang w:val="en-US"/>
        </w:rPr>
        <w:t>o</w:t>
      </w:r>
      <w:r w:rsidRPr="00E8454D">
        <w:rPr>
          <w:rFonts w:ascii="Segoe UI" w:hAnsi="Segoe UI" w:cs="Segoe UI"/>
          <w:sz w:val="20"/>
        </w:rPr>
        <w:t xml:space="preserve"> </w:t>
      </w:r>
      <w:r w:rsidR="00D66F80">
        <w:rPr>
          <w:rFonts w:ascii="Segoe UI" w:hAnsi="Segoe UI" w:cs="Segoe UI"/>
          <w:sz w:val="20"/>
        </w:rPr>
        <w:t>προοριζόμενο</w:t>
      </w:r>
      <w:r w:rsidRPr="00E8454D">
        <w:rPr>
          <w:rFonts w:ascii="Segoe UI" w:hAnsi="Segoe UI" w:cs="Segoe UI"/>
          <w:sz w:val="20"/>
        </w:rPr>
        <w:t xml:space="preserve"> προς πώληση</w:t>
      </w:r>
      <w:r w:rsidR="00D66F80" w:rsidRPr="00D66F80">
        <w:rPr>
          <w:rFonts w:ascii="Segoe UI" w:hAnsi="Segoe UI" w:cs="Segoe UI"/>
          <w:sz w:val="20"/>
        </w:rPr>
        <w:t xml:space="preserve">, </w:t>
      </w:r>
      <w:r w:rsidR="00D66F80">
        <w:rPr>
          <w:rFonts w:ascii="Segoe UI" w:hAnsi="Segoe UI" w:cs="Segoe UI"/>
          <w:sz w:val="20"/>
          <w:lang w:val="en-US"/>
        </w:rPr>
        <w:t>o</w:t>
      </w:r>
      <w:r w:rsidR="007F28B8">
        <w:rPr>
          <w:rFonts w:ascii="Segoe UI" w:hAnsi="Segoe UI" w:cs="Segoe UI"/>
          <w:sz w:val="20"/>
        </w:rPr>
        <w:t xml:space="preserve"> </w:t>
      </w:r>
      <w:r w:rsidR="007F28B8" w:rsidRPr="00D20698">
        <w:rPr>
          <w:rFonts w:ascii="Segoe UI" w:hAnsi="Segoe UI" w:cs="Segoe UI"/>
          <w:b/>
          <w:sz w:val="20"/>
        </w:rPr>
        <w:t>δείκτης ΜΕΑ</w:t>
      </w:r>
      <w:r w:rsidR="007F28B8" w:rsidRPr="001C4829">
        <w:rPr>
          <w:rFonts w:ascii="Segoe UI" w:hAnsi="Segoe UI" w:cs="Segoe UI"/>
          <w:sz w:val="20"/>
        </w:rPr>
        <w:t xml:space="preserve"> στην Ελλάδα μειώθηκε κατά περίπου </w:t>
      </w:r>
      <w:r w:rsidR="00B41952">
        <w:rPr>
          <w:rFonts w:ascii="Segoe UI" w:hAnsi="Segoe UI" w:cs="Segoe UI"/>
          <w:sz w:val="20"/>
        </w:rPr>
        <w:t>16,</w:t>
      </w:r>
      <w:r w:rsidR="008302AF">
        <w:rPr>
          <w:rFonts w:ascii="Segoe UI" w:hAnsi="Segoe UI" w:cs="Segoe UI"/>
          <w:sz w:val="20"/>
        </w:rPr>
        <w:t>2</w:t>
      </w:r>
      <w:r w:rsidR="00B41952">
        <w:rPr>
          <w:rFonts w:ascii="Segoe UI" w:hAnsi="Segoe UI" w:cs="Segoe UI"/>
          <w:sz w:val="20"/>
        </w:rPr>
        <w:t>π.μ.</w:t>
      </w:r>
      <w:r w:rsidR="007F28B8">
        <w:rPr>
          <w:rFonts w:ascii="Segoe UI" w:hAnsi="Segoe UI" w:cs="Segoe UI"/>
          <w:sz w:val="20"/>
        </w:rPr>
        <w:t xml:space="preserve"> </w:t>
      </w:r>
      <w:r w:rsidR="007B2A11">
        <w:rPr>
          <w:rFonts w:ascii="Segoe UI" w:hAnsi="Segoe UI" w:cs="Segoe UI"/>
          <w:sz w:val="20"/>
        </w:rPr>
        <w:t xml:space="preserve">σε τριμηνιαία βάση, </w:t>
      </w:r>
      <w:r w:rsidR="001B5318">
        <w:rPr>
          <w:rFonts w:ascii="Segoe UI" w:hAnsi="Segoe UI" w:cs="Segoe UI"/>
          <w:sz w:val="20"/>
        </w:rPr>
        <w:t>σε</w:t>
      </w:r>
      <w:r w:rsidR="007F28B8">
        <w:rPr>
          <w:rFonts w:ascii="Segoe UI" w:hAnsi="Segoe UI" w:cs="Segoe UI"/>
          <w:sz w:val="20"/>
        </w:rPr>
        <w:t xml:space="preserve"> </w:t>
      </w:r>
      <w:r w:rsidR="00B41952">
        <w:rPr>
          <w:rFonts w:ascii="Segoe UI" w:hAnsi="Segoe UI" w:cs="Segoe UI"/>
          <w:sz w:val="20"/>
        </w:rPr>
        <w:t>13,8</w:t>
      </w:r>
      <w:r w:rsidR="007F28B8" w:rsidRPr="001C4829">
        <w:rPr>
          <w:rFonts w:ascii="Segoe UI" w:hAnsi="Segoe UI" w:cs="Segoe UI"/>
          <w:sz w:val="20"/>
        </w:rPr>
        <w:t>%</w:t>
      </w:r>
      <w:r w:rsidR="00E76A9D" w:rsidRPr="00E76A9D">
        <w:rPr>
          <w:rFonts w:ascii="Segoe UI" w:hAnsi="Segoe UI" w:cs="Segoe UI"/>
          <w:vertAlign w:val="superscript"/>
        </w:rPr>
        <w:footnoteReference w:id="2"/>
      </w:r>
      <w:r w:rsidR="007F28B8" w:rsidRPr="001C4829">
        <w:rPr>
          <w:rFonts w:ascii="Segoe UI" w:hAnsi="Segoe UI" w:cs="Segoe UI"/>
          <w:sz w:val="20"/>
        </w:rPr>
        <w:t xml:space="preserve"> το </w:t>
      </w:r>
      <w:r w:rsidR="00B41952">
        <w:rPr>
          <w:rFonts w:ascii="Segoe UI" w:hAnsi="Segoe UI" w:cs="Segoe UI"/>
          <w:sz w:val="20"/>
        </w:rPr>
        <w:t>Δ</w:t>
      </w:r>
      <w:r w:rsidR="007F28B8" w:rsidRPr="001C4829">
        <w:rPr>
          <w:rFonts w:ascii="Segoe UI" w:hAnsi="Segoe UI" w:cs="Segoe UI"/>
          <w:sz w:val="20"/>
        </w:rPr>
        <w:t>’ τρίμηνο 20</w:t>
      </w:r>
      <w:r w:rsidR="007F28B8">
        <w:rPr>
          <w:rFonts w:ascii="Segoe UI" w:hAnsi="Segoe UI" w:cs="Segoe UI"/>
          <w:sz w:val="20"/>
        </w:rPr>
        <w:t>20. Ο</w:t>
      </w:r>
      <w:r w:rsidR="007F28B8" w:rsidRPr="001C4829">
        <w:rPr>
          <w:rFonts w:ascii="Segoe UI" w:hAnsi="Segoe UI" w:cs="Segoe UI"/>
          <w:sz w:val="20"/>
        </w:rPr>
        <w:t xml:space="preserve"> </w:t>
      </w:r>
      <w:r w:rsidR="007F28B8" w:rsidRPr="00900846">
        <w:rPr>
          <w:rFonts w:ascii="Segoe UI" w:hAnsi="Segoe UI" w:cs="Segoe UI"/>
          <w:b/>
          <w:sz w:val="20"/>
        </w:rPr>
        <w:t>δείκτη</w:t>
      </w:r>
      <w:r w:rsidR="008222C3">
        <w:rPr>
          <w:rFonts w:ascii="Segoe UI" w:hAnsi="Segoe UI" w:cs="Segoe UI"/>
          <w:b/>
          <w:sz w:val="20"/>
        </w:rPr>
        <w:t>ς</w:t>
      </w:r>
      <w:r w:rsidR="007F28B8" w:rsidRPr="00900846">
        <w:rPr>
          <w:rFonts w:ascii="Segoe UI" w:hAnsi="Segoe UI" w:cs="Segoe UI"/>
          <w:b/>
          <w:sz w:val="20"/>
        </w:rPr>
        <w:t xml:space="preserve"> κάλυψης ΜΕΑ </w:t>
      </w:r>
      <w:r w:rsidR="007F28B8" w:rsidRPr="008222C3">
        <w:rPr>
          <w:rFonts w:ascii="Segoe UI" w:hAnsi="Segoe UI" w:cs="Segoe UI"/>
          <w:sz w:val="20"/>
        </w:rPr>
        <w:t>από σωρευμένες προβλέψεις</w:t>
      </w:r>
      <w:r w:rsidR="007F28B8" w:rsidRPr="001C4829">
        <w:rPr>
          <w:rFonts w:ascii="Segoe UI" w:hAnsi="Segoe UI" w:cs="Segoe UI"/>
          <w:sz w:val="20"/>
        </w:rPr>
        <w:t xml:space="preserve"> </w:t>
      </w:r>
      <w:r w:rsidR="00D229E3">
        <w:rPr>
          <w:rFonts w:ascii="Segoe UI" w:hAnsi="Segoe UI" w:cs="Segoe UI"/>
          <w:sz w:val="20"/>
        </w:rPr>
        <w:t xml:space="preserve">ανήλθε </w:t>
      </w:r>
      <w:r w:rsidR="007F28B8" w:rsidRPr="001C4829">
        <w:rPr>
          <w:rFonts w:ascii="Segoe UI" w:hAnsi="Segoe UI" w:cs="Segoe UI"/>
          <w:sz w:val="20"/>
        </w:rPr>
        <w:t xml:space="preserve">σε </w:t>
      </w:r>
      <w:r w:rsidR="00D229E3">
        <w:rPr>
          <w:rFonts w:ascii="Segoe UI" w:hAnsi="Segoe UI" w:cs="Segoe UI"/>
          <w:sz w:val="20"/>
        </w:rPr>
        <w:t xml:space="preserve">62,8% από </w:t>
      </w:r>
      <w:r w:rsidR="007F28B8">
        <w:rPr>
          <w:rFonts w:ascii="Segoe UI" w:hAnsi="Segoe UI" w:cs="Segoe UI"/>
          <w:sz w:val="20"/>
        </w:rPr>
        <w:t>56,</w:t>
      </w:r>
      <w:r w:rsidR="00A735A1">
        <w:rPr>
          <w:rFonts w:ascii="Segoe UI" w:hAnsi="Segoe UI" w:cs="Segoe UI"/>
          <w:sz w:val="20"/>
        </w:rPr>
        <w:t>4</w:t>
      </w:r>
      <w:r w:rsidR="007F28B8" w:rsidRPr="001C4829">
        <w:rPr>
          <w:rFonts w:ascii="Segoe UI" w:hAnsi="Segoe UI" w:cs="Segoe UI"/>
          <w:sz w:val="20"/>
        </w:rPr>
        <w:t>%</w:t>
      </w:r>
      <w:r w:rsidR="007F28B8">
        <w:rPr>
          <w:rFonts w:ascii="Segoe UI" w:hAnsi="Segoe UI" w:cs="Segoe UI"/>
          <w:sz w:val="20"/>
        </w:rPr>
        <w:t xml:space="preserve"> </w:t>
      </w:r>
      <w:r w:rsidR="00A735A1" w:rsidRPr="00A735A1">
        <w:rPr>
          <w:rFonts w:ascii="Segoe UI" w:hAnsi="Segoe UI" w:cs="Segoe UI"/>
          <w:sz w:val="20"/>
        </w:rPr>
        <w:t xml:space="preserve">το </w:t>
      </w:r>
      <w:r w:rsidR="001C2F52">
        <w:rPr>
          <w:rFonts w:ascii="Segoe UI" w:hAnsi="Segoe UI" w:cs="Segoe UI"/>
          <w:sz w:val="20"/>
        </w:rPr>
        <w:t>προηγούμενο</w:t>
      </w:r>
      <w:r w:rsidR="00A735A1" w:rsidRPr="00A735A1">
        <w:rPr>
          <w:rFonts w:ascii="Segoe UI" w:hAnsi="Segoe UI" w:cs="Segoe UI"/>
          <w:sz w:val="20"/>
        </w:rPr>
        <w:t xml:space="preserve"> τρίμηνο</w:t>
      </w:r>
      <w:r w:rsidR="00EB3983">
        <w:rPr>
          <w:rFonts w:ascii="Segoe UI" w:hAnsi="Segoe UI" w:cs="Segoe UI"/>
          <w:sz w:val="20"/>
        </w:rPr>
        <w:t xml:space="preserve">. </w:t>
      </w:r>
      <w:r w:rsidR="001C4829" w:rsidRPr="00D20698">
        <w:rPr>
          <w:rFonts w:ascii="Segoe UI" w:hAnsi="Segoe UI" w:cs="Segoe UI"/>
          <w:sz w:val="20"/>
        </w:rPr>
        <w:t>Στις διεθνείς δραστηριότητες</w:t>
      </w:r>
      <w:r w:rsidR="00702F61" w:rsidRPr="004531D1">
        <w:rPr>
          <w:rFonts w:ascii="Segoe UI" w:hAnsi="Segoe UI" w:cs="Segoe UI"/>
          <w:vertAlign w:val="superscript"/>
        </w:rPr>
        <w:footnoteReference w:id="3"/>
      </w:r>
      <w:r w:rsidR="001C4829" w:rsidRPr="00D20698">
        <w:rPr>
          <w:rFonts w:ascii="Segoe UI" w:hAnsi="Segoe UI" w:cs="Segoe UI"/>
          <w:sz w:val="20"/>
        </w:rPr>
        <w:t xml:space="preserve">, ο δείκτης ΜΕΑ διαμορφώθηκε σε </w:t>
      </w:r>
      <w:r w:rsidR="00A76B77">
        <w:rPr>
          <w:rFonts w:ascii="Segoe UI" w:hAnsi="Segoe UI" w:cs="Segoe UI"/>
          <w:sz w:val="20"/>
        </w:rPr>
        <w:t>8,2</w:t>
      </w:r>
      <w:r w:rsidR="001C4829" w:rsidRPr="00D20698">
        <w:rPr>
          <w:rFonts w:ascii="Segoe UI" w:hAnsi="Segoe UI" w:cs="Segoe UI"/>
          <w:sz w:val="20"/>
        </w:rPr>
        <w:t xml:space="preserve">% το </w:t>
      </w:r>
      <w:r w:rsidR="00A76B77">
        <w:rPr>
          <w:rFonts w:ascii="Segoe UI" w:hAnsi="Segoe UI" w:cs="Segoe UI"/>
          <w:sz w:val="20"/>
        </w:rPr>
        <w:t>Δ</w:t>
      </w:r>
      <w:r w:rsidR="001C4829" w:rsidRPr="00D20698">
        <w:rPr>
          <w:rFonts w:ascii="Segoe UI" w:hAnsi="Segoe UI" w:cs="Segoe UI"/>
          <w:sz w:val="20"/>
        </w:rPr>
        <w:t>’ τρίμηνο 20</w:t>
      </w:r>
      <w:r w:rsidR="004655E6">
        <w:rPr>
          <w:rFonts w:ascii="Segoe UI" w:hAnsi="Segoe UI" w:cs="Segoe UI"/>
          <w:sz w:val="20"/>
        </w:rPr>
        <w:t>20</w:t>
      </w:r>
      <w:r w:rsidR="001C4829" w:rsidRPr="00D20698">
        <w:rPr>
          <w:rFonts w:ascii="Segoe UI" w:hAnsi="Segoe UI" w:cs="Segoe UI"/>
          <w:sz w:val="20"/>
        </w:rPr>
        <w:t xml:space="preserve">, με τον αντίστοιχο δείκτη κάλυψης από σωρευμένες προβλέψεις να ανέρχεται σε </w:t>
      </w:r>
      <w:r w:rsidR="00A76B77">
        <w:rPr>
          <w:rFonts w:ascii="Segoe UI" w:hAnsi="Segoe UI" w:cs="Segoe UI"/>
          <w:sz w:val="20"/>
        </w:rPr>
        <w:t>81,9</w:t>
      </w:r>
      <w:r w:rsidR="001C4829" w:rsidRPr="00D20698">
        <w:rPr>
          <w:rFonts w:ascii="Segoe UI" w:hAnsi="Segoe UI" w:cs="Segoe UI"/>
          <w:sz w:val="20"/>
        </w:rPr>
        <w:t>%.</w:t>
      </w:r>
    </w:p>
    <w:p w:rsidR="00DA6F59" w:rsidRPr="006A33C2" w:rsidRDefault="00DA6F59" w:rsidP="00DA6F59">
      <w:pPr>
        <w:kinsoku w:val="0"/>
        <w:overflowPunct w:val="0"/>
        <w:spacing w:before="40"/>
        <w:ind w:left="34"/>
        <w:textAlignment w:val="baseline"/>
        <w:rPr>
          <w:rFonts w:ascii="Segoe UI" w:hAnsi="Segoe UI" w:cs="Segoe UI"/>
          <w:sz w:val="12"/>
        </w:rPr>
      </w:pP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rsidTr="00D17AB5">
        <w:trPr>
          <w:trHeight w:val="2098"/>
          <w:jc w:val="center"/>
        </w:trPr>
        <w:tc>
          <w:tcPr>
            <w:tcW w:w="5103" w:type="dxa"/>
            <w:vAlign w:val="bottom"/>
          </w:tcPr>
          <w:p w:rsidR="00DA6F59"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δανείων σε</w:t>
            </w:r>
            <w:r w:rsidR="000D2509">
              <w:rPr>
                <w:rFonts w:ascii="Segoe UI" w:eastAsia="Segoe UI" w:hAnsi="Segoe UI" w:cs="Segoe UI"/>
                <w:b/>
                <w:color w:val="008080"/>
                <w:kern w:val="24"/>
              </w:rPr>
              <w:t xml:space="preserve"> </w:t>
            </w:r>
            <w:r w:rsidRPr="00DA6F59">
              <w:rPr>
                <w:rFonts w:ascii="Segoe UI" w:eastAsia="Segoe UI" w:hAnsi="Segoe UI" w:cs="Segoe UI"/>
                <w:b/>
                <w:color w:val="008080"/>
                <w:kern w:val="24"/>
              </w:rPr>
              <w:t>καθυστέρηση άνω των 90 ημερών</w:t>
            </w:r>
            <w:r w:rsidR="00541398">
              <w:rPr>
                <w:rFonts w:ascii="Segoe UI" w:eastAsia="Segoe UI" w:hAnsi="Segoe UI" w:cs="Segoe UI"/>
                <w:b/>
                <w:color w:val="008080"/>
                <w:kern w:val="24"/>
              </w:rPr>
              <w:t xml:space="preserve"> </w:t>
            </w:r>
            <w:r w:rsidR="00541398" w:rsidRPr="00541398">
              <w:rPr>
                <w:rFonts w:ascii="Segoe UI" w:eastAsia="Segoe UI" w:hAnsi="Segoe UI" w:cs="Segoe UI"/>
                <w:b/>
                <w:color w:val="008080"/>
                <w:kern w:val="24"/>
              </w:rPr>
              <w:t>| Ελλάδα</w:t>
            </w:r>
          </w:p>
          <w:p w:rsidR="00DA6F59" w:rsidRPr="00DA6F59" w:rsidRDefault="00E55AED" w:rsidP="00DA6F59">
            <w:pPr>
              <w:kinsoku w:val="0"/>
              <w:overflowPunct w:val="0"/>
              <w:spacing w:before="40"/>
              <w:ind w:left="547" w:hanging="547"/>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14:anchorId="130BC887" wp14:editId="46188F7A">
                  <wp:extent cx="2997200" cy="1579418"/>
                  <wp:effectExtent l="0" t="0" r="12700" b="1905"/>
                  <wp:docPr id="75084711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rsidR="00E55AED"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Μη Εξυπηρετούμενων Ανοιγμάτων (ΜΕΑ)</w:t>
            </w:r>
            <w:r w:rsidR="00541398">
              <w:t xml:space="preserve"> </w:t>
            </w:r>
            <w:r w:rsidR="00541398" w:rsidRPr="00541398">
              <w:rPr>
                <w:rFonts w:ascii="Segoe UI" w:eastAsia="Segoe UI" w:hAnsi="Segoe UI" w:cs="Segoe UI"/>
                <w:b/>
                <w:color w:val="008080"/>
                <w:kern w:val="24"/>
              </w:rPr>
              <w:t>| Ελλάδα</w:t>
            </w:r>
          </w:p>
          <w:p w:rsidR="00E55AED" w:rsidRPr="00DA6F59" w:rsidRDefault="00E55AED" w:rsidP="00D12150">
            <w:pPr>
              <w:kinsoku w:val="0"/>
              <w:overflowPunct w:val="0"/>
              <w:spacing w:before="40"/>
              <w:ind w:left="547" w:hanging="547"/>
              <w:jc w:val="right"/>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14:anchorId="37450A25" wp14:editId="6EA30A93">
                  <wp:extent cx="3130550" cy="1578866"/>
                  <wp:effectExtent l="0" t="0" r="12700" b="2540"/>
                  <wp:docPr id="7508471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55AED" w:rsidRPr="006A33C2" w:rsidRDefault="00E55AED" w:rsidP="00E55AED">
      <w:pPr>
        <w:kinsoku w:val="0"/>
        <w:overflowPunct w:val="0"/>
        <w:spacing w:before="40"/>
        <w:ind w:left="547" w:hanging="547"/>
        <w:textAlignment w:val="baseline"/>
        <w:rPr>
          <w:rFonts w:ascii="Segoe UI" w:eastAsia="Segoe UI" w:hAnsi="Segoe UI" w:cs="Segoe UI"/>
          <w:b/>
          <w:color w:val="008080"/>
          <w:kern w:val="24"/>
          <w:sz w:val="12"/>
          <w:szCs w:val="18"/>
          <w:lang w:val="en-US" w:eastAsia="el-GR"/>
        </w:rPr>
      </w:pPr>
    </w:p>
    <w:p w:rsidR="00E55AED" w:rsidRPr="00201DF8" w:rsidRDefault="00DA6F59"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DA6F59">
        <w:rPr>
          <w:rFonts w:ascii="Segoe UI" w:eastAsia="Segoe UI" w:hAnsi="Segoe UI" w:cs="Segoe UI"/>
          <w:b/>
          <w:color w:val="008080"/>
          <w:kern w:val="24"/>
          <w:sz w:val="20"/>
          <w:lang w:eastAsia="el-GR"/>
        </w:rPr>
        <w:t xml:space="preserve">Μεταβολή ΜΕΑ </w:t>
      </w:r>
      <w:r w:rsidR="00B2082C" w:rsidRPr="00DA6F59">
        <w:rPr>
          <w:rFonts w:ascii="Segoe UI" w:eastAsia="Segoe UI" w:hAnsi="Segoe UI" w:cs="Segoe UI"/>
          <w:b/>
          <w:color w:val="008080"/>
          <w:kern w:val="24"/>
          <w:sz w:val="20"/>
          <w:lang w:eastAsia="el-GR"/>
        </w:rPr>
        <w:t>(€ δισ.)</w:t>
      </w:r>
      <w:r w:rsidR="00B2082C" w:rsidRPr="00201DF8">
        <w:rPr>
          <w:rFonts w:ascii="Segoe UI" w:eastAsia="Segoe UI" w:hAnsi="Segoe UI" w:cs="Segoe UI"/>
          <w:b/>
          <w:color w:val="008080"/>
          <w:kern w:val="24"/>
          <w:sz w:val="20"/>
          <w:lang w:eastAsia="el-GR"/>
        </w:rPr>
        <w:t xml:space="preserve"> </w:t>
      </w:r>
      <w:r w:rsidR="00B2082C" w:rsidRPr="00B2082C">
        <w:rPr>
          <w:rFonts w:ascii="Segoe UI" w:eastAsia="Segoe UI" w:hAnsi="Segoe UI" w:cs="Segoe UI"/>
          <w:b/>
          <w:color w:val="008080"/>
          <w:kern w:val="24"/>
          <w:sz w:val="20"/>
          <w:lang w:eastAsia="el-GR"/>
        </w:rPr>
        <w:t>| Ελλάδα</w:t>
      </w:r>
    </w:p>
    <w:p w:rsidR="00E55AED" w:rsidRPr="00EE40A0" w:rsidRDefault="007D52E2" w:rsidP="00D12150">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7D52E2">
        <w:rPr>
          <w:rFonts w:ascii="Segoe UI" w:hAnsi="Segoe UI" w:cs="Segoe UI"/>
          <w:noProof/>
          <w:lang w:eastAsia="el-GR"/>
        </w:rPr>
        <mc:AlternateContent>
          <mc:Choice Requires="wps">
            <w:drawing>
              <wp:anchor distT="0" distB="0" distL="114300" distR="114300" simplePos="0" relativeHeight="251705856" behindDoc="0" locked="0" layoutInCell="1" allowOverlap="1" wp14:anchorId="68DFFBFB" wp14:editId="73D2B155">
                <wp:simplePos x="0" y="0"/>
                <wp:positionH relativeFrom="column">
                  <wp:posOffset>4550093</wp:posOffset>
                </wp:positionH>
                <wp:positionV relativeFrom="paragraph">
                  <wp:posOffset>29210</wp:posOffset>
                </wp:positionV>
                <wp:extent cx="575945" cy="323850"/>
                <wp:effectExtent l="0" t="0" r="0" b="0"/>
                <wp:wrapNone/>
                <wp:docPr id="6"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 cy="323850"/>
                        </a:xfrm>
                        <a:prstGeom prst="wedgeRectCallout">
                          <a:avLst>
                            <a:gd name="adj1" fmla="val -47983"/>
                            <a:gd name="adj2" fmla="val -13961"/>
                          </a:avLst>
                        </a:prstGeom>
                        <a:noFill/>
                        <a:ln w="12700" cap="flat" cmpd="sng" algn="ctr">
                          <a:noFill/>
                          <a:prstDash val="solid"/>
                          <a:miter lim="800000"/>
                        </a:ln>
                        <a:effectLst/>
                      </wps:spPr>
                      <wps:txbx>
                        <w:txbxContent>
                          <w:p w:rsidR="00817D20" w:rsidRPr="007D52E2" w:rsidRDefault="00817D20" w:rsidP="007D52E2">
                            <w:pPr>
                              <w:pStyle w:val="Calibri9IFRS"/>
                              <w:spacing w:before="0" w:after="0"/>
                              <w:textAlignment w:val="baseline"/>
                              <w:rPr>
                                <w:rFonts w:ascii="Segoe UI" w:hAnsi="Segoe UI" w:cs="Segoe UI"/>
                                <w:b w:val="0"/>
                                <w:bCs/>
                                <w:color w:val="000000" w:themeColor="text1"/>
                                <w:kern w:val="24"/>
                                <w:sz w:val="10"/>
                                <w:szCs w:val="20"/>
                              </w:rPr>
                            </w:pPr>
                            <w:r w:rsidRPr="007D52E2">
                              <w:rPr>
                                <w:rFonts w:ascii="Segoe UI" w:hAnsi="Segoe UI" w:cs="Segoe UI"/>
                                <w:bCs/>
                                <w:color w:val="000000" w:themeColor="text1"/>
                                <w:kern w:val="24"/>
                                <w:sz w:val="10"/>
                                <w:szCs w:val="20"/>
                              </w:rPr>
                              <w:t>-€6</w:t>
                            </w:r>
                            <w:proofErr w:type="gramStart"/>
                            <w:r>
                              <w:rPr>
                                <w:rFonts w:ascii="Segoe UI" w:hAnsi="Segoe UI" w:cs="Segoe UI"/>
                                <w:bCs/>
                                <w:color w:val="000000" w:themeColor="text1"/>
                                <w:kern w:val="24"/>
                                <w:sz w:val="10"/>
                                <w:szCs w:val="20"/>
                                <w:lang w:val="el-GR"/>
                              </w:rPr>
                              <w:t>,</w:t>
                            </w:r>
                            <w:r w:rsidRPr="007D52E2">
                              <w:rPr>
                                <w:rFonts w:ascii="Segoe UI" w:hAnsi="Segoe UI" w:cs="Segoe UI"/>
                                <w:bCs/>
                                <w:color w:val="000000" w:themeColor="text1"/>
                                <w:kern w:val="24"/>
                                <w:sz w:val="10"/>
                                <w:szCs w:val="20"/>
                              </w:rPr>
                              <w:t>5</w:t>
                            </w:r>
                            <w:proofErr w:type="gramEnd"/>
                            <w:r w:rsidRPr="007D52E2">
                              <w:rPr>
                                <w:rFonts w:ascii="Segoe UI" w:hAnsi="Segoe UI" w:cs="Segoe UI"/>
                                <w:bCs/>
                                <w:color w:val="000000" w:themeColor="text1"/>
                                <w:kern w:val="24"/>
                                <w:sz w:val="10"/>
                                <w:szCs w:val="20"/>
                                <w:lang w:val="el-GR"/>
                              </w:rPr>
                              <w:t xml:space="preserve"> δι</w:t>
                            </w:r>
                            <w:r>
                              <w:rPr>
                                <w:rFonts w:ascii="Segoe UI" w:hAnsi="Segoe UI" w:cs="Segoe UI"/>
                                <w:bCs/>
                                <w:color w:val="000000" w:themeColor="text1"/>
                                <w:kern w:val="24"/>
                                <w:sz w:val="10"/>
                                <w:szCs w:val="20"/>
                                <w:lang w:val="el-GR"/>
                              </w:rPr>
                              <w:t>σ</w:t>
                            </w:r>
                            <w:r w:rsidRPr="007D52E2">
                              <w:rPr>
                                <w:rFonts w:ascii="Segoe UI" w:hAnsi="Segoe UI" w:cs="Segoe UI"/>
                                <w:bCs/>
                                <w:color w:val="000000" w:themeColor="text1"/>
                                <w:kern w:val="24"/>
                                <w:sz w:val="10"/>
                                <w:szCs w:val="20"/>
                                <w:lang w:val="el-GR"/>
                              </w:rPr>
                              <w:t>.</w:t>
                            </w:r>
                            <w:r>
                              <w:rPr>
                                <w:rFonts w:ascii="Segoe UI" w:hAnsi="Segoe UI" w:cs="Segoe UI"/>
                                <w:bCs/>
                                <w:color w:val="000000" w:themeColor="text1"/>
                                <w:kern w:val="24"/>
                                <w:sz w:val="10"/>
                                <w:szCs w:val="20"/>
                                <w:lang w:val="el-GR"/>
                              </w:rPr>
                              <w:t xml:space="preserve"> σε</w:t>
                            </w:r>
                            <w:r w:rsidRPr="007D52E2">
                              <w:rPr>
                                <w:rFonts w:ascii="Segoe UI" w:hAnsi="Segoe UI" w:cs="Segoe UI"/>
                                <w:bCs/>
                                <w:color w:val="000000" w:themeColor="text1"/>
                                <w:kern w:val="24"/>
                                <w:sz w:val="10"/>
                                <w:szCs w:val="20"/>
                                <w:lang w:val="el-GR"/>
                              </w:rPr>
                              <w:t xml:space="preserve"> </w:t>
                            </w:r>
                            <w:r>
                              <w:rPr>
                                <w:rFonts w:ascii="Segoe UI" w:hAnsi="Segoe UI" w:cs="Segoe UI"/>
                                <w:bCs/>
                                <w:color w:val="000000" w:themeColor="text1"/>
                                <w:kern w:val="24"/>
                                <w:sz w:val="10"/>
                                <w:szCs w:val="20"/>
                                <w:lang w:val="el-GR"/>
                              </w:rPr>
                              <w:t>ετήσια βάση</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68DFFB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7" o:spid="_x0000_s1036" type="#_x0000_t61" style="position:absolute;left:0;text-align:left;margin-left:358.3pt;margin-top:2.3pt;width:45.3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SvFAIAABIEAAAOAAAAZHJzL2Uyb0RvYy54bWysU9tu2zAMfR+wfxD03viS5mbEKYYF3Uux&#10;Fev2AYws29p0m6TEyd+PUpw03d6G+UGwRPLw8JBcPxyVJAfuvDC6psUkp4RrZhqhu5p+//Z4t6TE&#10;B9ANSKN5TU/c04fN+3frwVa8NL2RDXcEQbSvBlvTPgRbZZlnPVfgJ8ZyjcbWOAUBr67LGgcDoiuZ&#10;lXk+zwbjGusM497j6/ZspJuE37achS9t63kgsqbILaTTpXMXz2yzhqpzYHvBRhrwDywUCI1Jr1Bb&#10;CED2TvwFpQRzxps2TJhRmWlbwXiqAasp8j+qeenB8lQLiuPtVSb//2DZ58OzI6Kp6ZwSDQpb9BVF&#10;A93tJTjyEaQ0+0DKRVRqsL7CgBf77GKt3j4Z9tOjIXtjiRc/+hxbp6IvVkqOSfbTVXZ+DITh42wx&#10;W93PKGFompbT5Sy1JYPqEmydD5+4UST+1HTgTccjy5FdEh4OTz6kDjRjHdD8KChplcSGHkCSu/vF&#10;ajkdO37jVL5xKqareRGdMP+IiX8XBjGBNo9CyjQ4UpMBp75c5DhbDHB+WwkBf5VFRb3uKAHZ4WKw&#10;4BLLm9gIuQXfE+SGvkaK5sxNiYArIYWq6TKP38hG6pidp6HGWi+yn5WOmofj7phaWaSQ+LQzzQn7&#10;O+CAY45fe3AcKWnWG9yBV1If9sG04gp5jhrbioOXxBiXJE727T15va7y5jcAAAD//wMAUEsDBBQA&#10;BgAIAAAAIQD46znu3AAAAAgBAAAPAAAAZHJzL2Rvd25yZXYueG1sTI/NTsMwEITvSLyDtUjcqFMg&#10;aQlxKoSEECdEKfetvfkR9jrEbhLeHnOC02g1o5lvq93irJhoDL1nBetVBoJYe9Nzq+Dw/nS1BREi&#10;skHrmRR8U4BdfX5WYWn8zG807WMrUgmHEhV0MQ6llEF35DCs/ECcvMaPDmM6x1aaEedU7qy8zrJC&#10;Ouw5LXQ40GNH+nN/cgruZMNT89W/HvoPfLH8rGfKtVKXF8vDPYhIS/wLwy9+Qoc6MR39iU0QVsFm&#10;XRQpquA2SfK32eYGxFFBnhcg60r+f6D+AQAA//8DAFBLAQItABQABgAIAAAAIQC2gziS/gAAAOEB&#10;AAATAAAAAAAAAAAAAAAAAAAAAABbQ29udGVudF9UeXBlc10ueG1sUEsBAi0AFAAGAAgAAAAhADj9&#10;If/WAAAAlAEAAAsAAAAAAAAAAAAAAAAALwEAAF9yZWxzLy5yZWxzUEsBAi0AFAAGAAgAAAAhACW2&#10;NK8UAgAAEgQAAA4AAAAAAAAAAAAAAAAALgIAAGRycy9lMm9Eb2MueG1sUEsBAi0AFAAGAAgAAAAh&#10;APjrOe7cAAAACAEAAA8AAAAAAAAAAAAAAAAAbgQAAGRycy9kb3ducmV2LnhtbFBLBQYAAAAABAAE&#10;APMAAAB3BQAAAAA=&#10;" adj="436,7784" filled="f" stroked="f" strokeweight="1pt">
                <v:path arrowok="t"/>
                <v:textbox>
                  <w:txbxContent>
                    <w:p w:rsidR="00817D20" w:rsidRPr="007D52E2" w:rsidRDefault="00817D20" w:rsidP="007D52E2">
                      <w:pPr>
                        <w:pStyle w:val="Calibri9IFRS"/>
                        <w:spacing w:before="0" w:after="0"/>
                        <w:textAlignment w:val="baseline"/>
                        <w:rPr>
                          <w:rFonts w:ascii="Segoe UI" w:hAnsi="Segoe UI" w:cs="Segoe UI"/>
                          <w:b w:val="0"/>
                          <w:bCs/>
                          <w:color w:val="000000" w:themeColor="text1"/>
                          <w:kern w:val="24"/>
                          <w:sz w:val="10"/>
                          <w:szCs w:val="20"/>
                        </w:rPr>
                      </w:pPr>
                      <w:r w:rsidRPr="007D52E2">
                        <w:rPr>
                          <w:rFonts w:ascii="Segoe UI" w:hAnsi="Segoe UI" w:cs="Segoe UI"/>
                          <w:bCs/>
                          <w:color w:val="000000" w:themeColor="text1"/>
                          <w:kern w:val="24"/>
                          <w:sz w:val="10"/>
                          <w:szCs w:val="20"/>
                        </w:rPr>
                        <w:t>-€6</w:t>
                      </w:r>
                      <w:proofErr w:type="gramStart"/>
                      <w:r>
                        <w:rPr>
                          <w:rFonts w:ascii="Segoe UI" w:hAnsi="Segoe UI" w:cs="Segoe UI"/>
                          <w:bCs/>
                          <w:color w:val="000000" w:themeColor="text1"/>
                          <w:kern w:val="24"/>
                          <w:sz w:val="10"/>
                          <w:szCs w:val="20"/>
                          <w:lang w:val="el-GR"/>
                        </w:rPr>
                        <w:t>,</w:t>
                      </w:r>
                      <w:r w:rsidRPr="007D52E2">
                        <w:rPr>
                          <w:rFonts w:ascii="Segoe UI" w:hAnsi="Segoe UI" w:cs="Segoe UI"/>
                          <w:bCs/>
                          <w:color w:val="000000" w:themeColor="text1"/>
                          <w:kern w:val="24"/>
                          <w:sz w:val="10"/>
                          <w:szCs w:val="20"/>
                        </w:rPr>
                        <w:t>5</w:t>
                      </w:r>
                      <w:proofErr w:type="gramEnd"/>
                      <w:r w:rsidRPr="007D52E2">
                        <w:rPr>
                          <w:rFonts w:ascii="Segoe UI" w:hAnsi="Segoe UI" w:cs="Segoe UI"/>
                          <w:bCs/>
                          <w:color w:val="000000" w:themeColor="text1"/>
                          <w:kern w:val="24"/>
                          <w:sz w:val="10"/>
                          <w:szCs w:val="20"/>
                          <w:lang w:val="el-GR"/>
                        </w:rPr>
                        <w:t xml:space="preserve"> δι</w:t>
                      </w:r>
                      <w:r>
                        <w:rPr>
                          <w:rFonts w:ascii="Segoe UI" w:hAnsi="Segoe UI" w:cs="Segoe UI"/>
                          <w:bCs/>
                          <w:color w:val="000000" w:themeColor="text1"/>
                          <w:kern w:val="24"/>
                          <w:sz w:val="10"/>
                          <w:szCs w:val="20"/>
                          <w:lang w:val="el-GR"/>
                        </w:rPr>
                        <w:t>σ</w:t>
                      </w:r>
                      <w:r w:rsidRPr="007D52E2">
                        <w:rPr>
                          <w:rFonts w:ascii="Segoe UI" w:hAnsi="Segoe UI" w:cs="Segoe UI"/>
                          <w:bCs/>
                          <w:color w:val="000000" w:themeColor="text1"/>
                          <w:kern w:val="24"/>
                          <w:sz w:val="10"/>
                          <w:szCs w:val="20"/>
                          <w:lang w:val="el-GR"/>
                        </w:rPr>
                        <w:t>.</w:t>
                      </w:r>
                      <w:r>
                        <w:rPr>
                          <w:rFonts w:ascii="Segoe UI" w:hAnsi="Segoe UI" w:cs="Segoe UI"/>
                          <w:bCs/>
                          <w:color w:val="000000" w:themeColor="text1"/>
                          <w:kern w:val="24"/>
                          <w:sz w:val="10"/>
                          <w:szCs w:val="20"/>
                          <w:lang w:val="el-GR"/>
                        </w:rPr>
                        <w:t xml:space="preserve"> σε</w:t>
                      </w:r>
                      <w:r w:rsidRPr="007D52E2">
                        <w:rPr>
                          <w:rFonts w:ascii="Segoe UI" w:hAnsi="Segoe UI" w:cs="Segoe UI"/>
                          <w:bCs/>
                          <w:color w:val="000000" w:themeColor="text1"/>
                          <w:kern w:val="24"/>
                          <w:sz w:val="10"/>
                          <w:szCs w:val="20"/>
                          <w:lang w:val="el-GR"/>
                        </w:rPr>
                        <w:t xml:space="preserve"> </w:t>
                      </w:r>
                      <w:r>
                        <w:rPr>
                          <w:rFonts w:ascii="Segoe UI" w:hAnsi="Segoe UI" w:cs="Segoe UI"/>
                          <w:bCs/>
                          <w:color w:val="000000" w:themeColor="text1"/>
                          <w:kern w:val="24"/>
                          <w:sz w:val="10"/>
                          <w:szCs w:val="20"/>
                          <w:lang w:val="el-GR"/>
                        </w:rPr>
                        <w:t>ετήσια βάση</w:t>
                      </w:r>
                    </w:p>
                  </w:txbxContent>
                </v:textbox>
              </v:shape>
            </w:pict>
          </mc:Fallback>
        </mc:AlternateContent>
      </w:r>
      <w:r>
        <w:rPr>
          <w:noProof/>
          <w:lang w:eastAsia="el-GR"/>
        </w:rPr>
        <mc:AlternateContent>
          <mc:Choice Requires="wps">
            <w:drawing>
              <wp:anchor distT="0" distB="0" distL="114300" distR="114300" simplePos="0" relativeHeight="251700736" behindDoc="0" locked="0" layoutInCell="1" allowOverlap="1" wp14:anchorId="33A57D4B" wp14:editId="74B7832C">
                <wp:simplePos x="0" y="0"/>
                <wp:positionH relativeFrom="column">
                  <wp:posOffset>3173730</wp:posOffset>
                </wp:positionH>
                <wp:positionV relativeFrom="paragraph">
                  <wp:posOffset>172403</wp:posOffset>
                </wp:positionV>
                <wp:extent cx="0" cy="252000"/>
                <wp:effectExtent l="0" t="0" r="19050" b="15240"/>
                <wp:wrapNone/>
                <wp:docPr id="16" name="Ευθεία γραμμή σύνδεσης 1"/>
                <wp:cNvGraphicFramePr/>
                <a:graphic xmlns:a="http://schemas.openxmlformats.org/drawingml/2006/main">
                  <a:graphicData uri="http://schemas.microsoft.com/office/word/2010/wordprocessingShape">
                    <wps:wsp>
                      <wps:cNvCnPr/>
                      <wps:spPr>
                        <a:xfrm flipV="1">
                          <a:off x="0" y="0"/>
                          <a:ext cx="0" cy="2520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7FEEBD" id="Ευθεία γραμμή σύνδεσης 1" o:spid="_x0000_s1026" style="position:absolute;flip:y;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9pt,13.6pt" to="249.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aHAIAAFIEAAAOAAAAZHJzL2Uyb0RvYy54bWysVMtuEzEU3SPxD5b3ZJKgRCjKpItWZcMj&#10;4rV3PHZiyS/ZbiZZQsWSJb8BqqCCBfyC55e4tpNpCysQimSNr+8995zj68xPdkqiLXNeGF3j0WCI&#10;EdPUNEKva/z61fmDRxj5QHRDpNGsxnvm8cni/r15a2dsbDZGNswhANF+1toab0Kws6rydMMU8QNj&#10;mYZDbpwiAbZuXTWOtICuZDUeDqdVa1xjnaHMe4ielUO8yPicMxqec+5ZQLLGwC3k1eV1ldZqMSez&#10;tSN2I+iBBvkHFooIDU17qDMSCLpw4g8oJagz3vAwoEZVhnNBWdYAakbD39S83BDLshYwx9veJv//&#10;YOmz7dIh0cDdTTHSRMEdxY/d+/g9XsfP8QrFL93beBV/wO8T6i67D/Fn/Bqvu8v4rXuHRsnA1voZ&#10;4JzqpTvsvF265MaOO4W4FPYN4Gd/QDHaZfv3vf1sFxAtQQrR8QQuNt9MVRASknU+PGZGofRRYyl0&#10;MobMyPaJD9AVUo8pKSw1ams8fTgZ5ixvpGjOhZTpLM8WO5UObQlMxWpdmMkL9dQ0JTYBAkcGfXpu&#10;cgsJWkoNwSS/CM5fYS9ZofCCcXAWhJUGPVDpQShlOmQDMxJkpzIOLPvCA/v0GG4I3y085KdSluf9&#10;b4r7itzZ6NAXK6GNK97d7R52R8q85B8dKLqTBSvT7PMoZGtgcLNzh0eWXsbtfS6/+StY/AIAAP//&#10;AwBQSwMEFAAGAAgAAAAhAPZkjVjdAAAACQEAAA8AAABkcnMvZG93bnJldi54bWxMj0FPg0AQhe8m&#10;/ofNmHizS5GgIEOjVaMHL239AQs7BVJ2lrBbwH/vGg96nDcv732v2CymFxONrrOMsF5FIIhrqztu&#10;ED4Przf3IJxXrFVvmRC+yMGmvLwoVK7tzDua9r4RIYRdrhBa74dcSle3ZJRb2YE4/I52NMqHc2yk&#10;HtUcwk0v4yhKpVEdh4ZWDbRtqT7tzwbh/WV3eLrdRvNbNR0/XKLt+KwSxOur5fEBhKfF/5nhBz+g&#10;QxmYKntm7USPkGRZQPcI8V0MIhh+hQohTTOQZSH/Lyi/AQAA//8DAFBLAQItABQABgAIAAAAIQC2&#10;gziS/gAAAOEBAAATAAAAAAAAAAAAAAAAAAAAAABbQ29udGVudF9UeXBlc10ueG1sUEsBAi0AFAAG&#10;AAgAAAAhADj9If/WAAAAlAEAAAsAAAAAAAAAAAAAAAAALwEAAF9yZWxzLy5yZWxzUEsBAi0AFAAG&#10;AAgAAAAhAIbL+hocAgAAUgQAAA4AAAAAAAAAAAAAAAAALgIAAGRycy9lMm9Eb2MueG1sUEsBAi0A&#10;FAAGAAgAAAAhAPZkjVjdAAAACQEAAA8AAAAAAAAAAAAAAAAAdgQAAGRycy9kb3ducmV2LnhtbFBL&#10;BQYAAAAABAAEAPMAAACABQ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03808" behindDoc="0" locked="0" layoutInCell="1" allowOverlap="1" wp14:anchorId="577CD289" wp14:editId="79734387">
                <wp:simplePos x="0" y="0"/>
                <wp:positionH relativeFrom="column">
                  <wp:posOffset>6294120</wp:posOffset>
                </wp:positionH>
                <wp:positionV relativeFrom="paragraph">
                  <wp:posOffset>182245</wp:posOffset>
                </wp:positionV>
                <wp:extent cx="0" cy="504000"/>
                <wp:effectExtent l="0" t="0" r="19050" b="10795"/>
                <wp:wrapNone/>
                <wp:docPr id="750847108" name="Ευθεία γραμμή σύνδεσης 4"/>
                <wp:cNvGraphicFramePr/>
                <a:graphic xmlns:a="http://schemas.openxmlformats.org/drawingml/2006/main">
                  <a:graphicData uri="http://schemas.microsoft.com/office/word/2010/wordprocessingShape">
                    <wps:wsp>
                      <wps:cNvCnPr/>
                      <wps:spPr>
                        <a:xfrm flipV="1">
                          <a:off x="0" y="0"/>
                          <a:ext cx="0" cy="50400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9AC3BC" id="Ευθεία γραμμή σύνδεσης 4" o:spid="_x0000_s1026" style="position:absolute;flip:y;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6pt,14.35pt" to="495.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lJgIAAFkEAAAOAAAAZHJzL2Uyb0RvYy54bWysVMtuEzEU3SPxD9bsyUxK0lajTLpoVTY8&#10;Il57x2MnlvyS7eaxhIolS36jqIIKFvALnl/i2k6mLaxAKJI1vr733HOOrzM52UiBVtQ6rlVTDAdV&#10;gagiuuVq0RRvXp8/Oi6Q81i1WGhFm2JLXXEyffhgsjY1PdBLLVpqEYAoV69NUyy9N3VZOrKkEruB&#10;NlTBIdNWYg9buyhbi9eALkV5UFWH5Vrb1lhNqHMQPcuHxTThM0aJf8GYox6JpgBuPq02rfO4ltMJ&#10;rhcWmyUnOxr4H1hIzBU07aHOsMfowvI/oCQnVjvN/IBoWWrGOKFJA6gZVr+pebXEhiYtYI4zvU3u&#10;/8GS56uZRbxtiqNxdTw6GlZwYQpLuKrwqfsQvoeb8Dlco/Clexeuww/4XaHusvsYfoav4aa7DN+6&#10;92gUfVwbVwPcqZrZ3c6ZmY2mbJiViAlu3sKIJJtAONqkW9j2t0A3HpEcJBAdV6OqShdUZoSIZKzz&#10;T6iWKH40heAq+oNrvHrqPHSF1H1KDAuF1k1x+HhcpSynBW/PuRDxLI0YPRUWrTAMx3yRmYkL+Uy3&#10;OTYGAnsGfXpqcgcJWgoFwSg/C05ffitopvCSMjAYhOUGPVDugQmhyg+jgQkJsmMZA5Z94Y59fBO3&#10;hO8X7vJjKU1j/zfFfUXqrJXviyVX2mbv7nf3mz1llvP3DmTd0YK5brdpFJI1ML9J4e6txQdyd5/K&#10;b/8Rpr8AAAD//wMAUEsDBBQABgAIAAAAIQBJ3OD13QAAAAoBAAAPAAAAZHJzL2Rvd25yZXYueG1s&#10;TI9BTsMwEEX3SNzBGiR21E6oIE3jVFBAdMGmLQeYxG4SNR5HtpuE22PEApYz8/Tn/WIzm56N2vnO&#10;koRkIYBpqq3qqJHweXy7y4D5gKSwt6QlfGkPm/L6qsBc2Yn2ejyEhsUQ8jlKaEMYcs593WqDfmEH&#10;TfF2ss5giKNruHI4xXDT81SIB26wo/ihxUFvW12fDxcjYfe6Pz7fb8X0Xo2nD79U1r3gUsrbm/lp&#10;DSzoOfzB8KMf1aGMTpW9kPKsl7BaJWlEJaTZI7AI/C6qSIosAV4W/H+F8hsAAP//AwBQSwECLQAU&#10;AAYACAAAACEAtoM4kv4AAADhAQAAEwAAAAAAAAAAAAAAAAAAAAAAW0NvbnRlbnRfVHlwZXNdLnht&#10;bFBLAQItABQABgAIAAAAIQA4/SH/1gAAAJQBAAALAAAAAAAAAAAAAAAAAC8BAABfcmVscy8ucmVs&#10;c1BLAQItABQABgAIAAAAIQCborwlJgIAAFkEAAAOAAAAAAAAAAAAAAAAAC4CAABkcnMvZTJvRG9j&#10;LnhtbFBLAQItABQABgAIAAAAIQBJ3OD13QAAAAoBAAAPAAAAAAAAAAAAAAAAAIAEAABkcnMvZG93&#10;bnJldi54bWxQSwUGAAAAAAQABADzAAAAigU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02784" behindDoc="0" locked="0" layoutInCell="1" allowOverlap="1" wp14:anchorId="0043C2B3" wp14:editId="347B4E2F">
                <wp:simplePos x="0" y="0"/>
                <wp:positionH relativeFrom="column">
                  <wp:posOffset>5246370</wp:posOffset>
                </wp:positionH>
                <wp:positionV relativeFrom="paragraph">
                  <wp:posOffset>183198</wp:posOffset>
                </wp:positionV>
                <wp:extent cx="1043940" cy="6350"/>
                <wp:effectExtent l="0" t="0" r="22860" b="31750"/>
                <wp:wrapNone/>
                <wp:docPr id="750847105" name="Ευθεία γραμμή σύνδεσης 3"/>
                <wp:cNvGraphicFramePr/>
                <a:graphic xmlns:a="http://schemas.openxmlformats.org/drawingml/2006/main">
                  <a:graphicData uri="http://schemas.microsoft.com/office/word/2010/wordprocessingShape">
                    <wps:wsp>
                      <wps:cNvCnPr/>
                      <wps:spPr>
                        <a:xfrm flipV="1">
                          <a:off x="0" y="0"/>
                          <a:ext cx="1043940" cy="635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BABAE8" id="Ευθεία γραμμή σύνδεσης 3" o:spid="_x0000_s1026" style="position:absolute;flip:y;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1pt,14.45pt" to="495.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VFJwIAAF0EAAAOAAAAZHJzL2Uyb0RvYy54bWysVM2O0zAQviPxDpbvNOm23V2ipnvY1XLh&#10;Z8Xf3XXs1pL/ZHub9ggrjhx5DdAKVnCAV0heibGTZhEgIRCtZGXGM9/M980k85OtkmjDnBdGl3g8&#10;yjFimppK6FWJXzw/v3eMkQ9EV0QazUq8Yx6fLO7emde2YAdmbWTFHAIQ7Yvalngdgi2yzNM1U8SP&#10;jGUaLrlxigQw3SqrHKkBXcnsIM8Ps9q4yjpDmffgPesu8SLhc85oeMK5ZwHJEkNvIZ0unct4Zos5&#10;KVaO2LWgfRvkH7pQRGgoOkCdkUDQpRO/QClBnfGGhxE1KjOcC8oSB2Azzn9i82xNLEtcQBxvB5n8&#10;/4OljzcXDomqxEez/Hh6NM5nGGmiYFTNu/ZN86W5aT4016j52L5qrpuv8H+P2qv2bfOt+dTctFfN&#10;5/Y1mkQda+sLgDvVF663vL1wUZQtdwpxKexLWJEkExBH2zSF3TAFtg2IgnOcTyf3pzAsCneHk1ka&#10;UtahRDTrfHjAjELxocRS6KgRKcjmoQ9QGUL3IdEtNap7nGh6I0V1LqRMRlwzdiod2hBYkOWq605e&#10;qkem6nyzHH6RHsCmrYzhnXWLBHdSgzNK0JFOT2EnWdfCU8ZB5EgutToAdTUIpUyHcV9FaoiOaRy6&#10;HBLzPyf28TGVpdX/m+QhI1U2OgzJSmjjflc9bPct8y5+r0DHO0qwNNUurUOSBnY4Kde/b/El+dFO&#10;6bdfhcV3AAAA//8DAFBLAwQUAAYACAAAACEACMCmGN4AAAAJAQAADwAAAGRycy9kb3ducmV2Lnht&#10;bEyPQU7DMBBF90jcwRokdtQmVFGcxqmggGDBpi0HmMRuEjW2o9hNwu0ZVnQ5M09/3i+2i+3ZZMbQ&#10;eafgcSWAGVd73blGwffx/SEDFiI6jb13RsGPCbAtb28KzLWf3d5Mh9gwCnEhRwVtjEPOeahbYzGs&#10;/GAc3U5+tBhpHBuuR5wp3PY8ESLlFjtHH1oczK419flwsQo+3/bHl6edmD+q6fQV1tqPr7hW6v5u&#10;ed4Ai2aJ/zD86ZM6lORU+YvTgfUKsiRNCFWQZBIYAVKKFFhFCymBlwW/blD+AgAA//8DAFBLAQIt&#10;ABQABgAIAAAAIQC2gziS/gAAAOEBAAATAAAAAAAAAAAAAAAAAAAAAABbQ29udGVudF9UeXBlc10u&#10;eG1sUEsBAi0AFAAGAAgAAAAhADj9If/WAAAAlAEAAAsAAAAAAAAAAAAAAAAALwEAAF9yZWxzLy5y&#10;ZWxzUEsBAi0AFAAGAAgAAAAhAIy6pUUnAgAAXQQAAA4AAAAAAAAAAAAAAAAALgIAAGRycy9lMm9E&#10;b2MueG1sUEsBAi0AFAAGAAgAAAAhAAjAphjeAAAACQEAAA8AAAAAAAAAAAAAAAAAgQQAAGRycy9k&#10;b3ducmV2LnhtbFBLBQYAAAAABAAEAPMAAACMBQAAAAA=&#10;" strokecolor="#7f7f7f [1612]" strokeweight=".5pt">
                <v:stroke joinstyle="miter"/>
              </v:line>
            </w:pict>
          </mc:Fallback>
        </mc:AlternateContent>
      </w:r>
      <w:r>
        <w:rPr>
          <w:noProof/>
          <w:lang w:eastAsia="el-GR"/>
        </w:rPr>
        <mc:AlternateContent>
          <mc:Choice Requires="wps">
            <w:drawing>
              <wp:anchor distT="0" distB="0" distL="114300" distR="114300" simplePos="0" relativeHeight="251701760" behindDoc="0" locked="0" layoutInCell="1" allowOverlap="1" wp14:anchorId="68D80AAE" wp14:editId="3F302153">
                <wp:simplePos x="0" y="0"/>
                <wp:positionH relativeFrom="column">
                  <wp:posOffset>3175000</wp:posOffset>
                </wp:positionH>
                <wp:positionV relativeFrom="paragraph">
                  <wp:posOffset>176213</wp:posOffset>
                </wp:positionV>
                <wp:extent cx="1259840" cy="5715"/>
                <wp:effectExtent l="0" t="0" r="35560" b="32385"/>
                <wp:wrapNone/>
                <wp:docPr id="21" name="Ευθεία γραμμή σύνδεσης 2"/>
                <wp:cNvGraphicFramePr/>
                <a:graphic xmlns:a="http://schemas.openxmlformats.org/drawingml/2006/main">
                  <a:graphicData uri="http://schemas.microsoft.com/office/word/2010/wordprocessingShape">
                    <wps:wsp>
                      <wps:cNvCnPr/>
                      <wps:spPr>
                        <a:xfrm>
                          <a:off x="0" y="0"/>
                          <a:ext cx="1259840" cy="571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BEB68" id="Ευθεία γραμμή σύνδεσης 2"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pt,13.9pt" to="349.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xSGgIAAEwEAAAOAAAAZHJzL2Uyb0RvYy54bWysVMuO0zAU3SPxD5b3NE2hwxA1ncWMhg2P&#10;iscHuI7dWvIjsj1Nu4QRS5b8xqARjGABv+D8EtdOmo4AIYFIJCe+vuf43OObzE62SqINs04YXeJ8&#10;NMaIaWoqoVclfv3q/N4xRs4TXRFpNCvxjjl8Mr97Z9bUBZuYtZEVswhItCuausRr7+siyxxdM0Xc&#10;yNRMwyI3VhEPU7vKKksaYFcym4zHR1ljbFVbQ5lzED3rFvE88XPOqH/OuWMeyRKDNp9Gm8ZlHLP5&#10;jBQrS+q1oL0M8g8qFBEaNh2ozogn6MKKX6iUoNY4w/2IGpUZzgVlqQaoJh//VM3LNalZqgXMcfVg&#10;k/t/tPTZZmGRqEo8yTHSRMEZhQ/tu/A13ISP4RqFT+2bcB2+wX2F2sv2ffgePoeb9jJ8ad+iSTSw&#10;qV0BPKd6YfuZqxc2urHlVsUn1Im2yfTdYDrbekQhmE+mj44fwNlQWJs+zKeRMjtga+v8Y2YUii8l&#10;lkJHS0hBNk+c71L3KTEsNWpKfHR/Ok5ZzkhRnQsp41rqKnYqLdoQ6IflKk858kI9NVUXm47h6hUM&#10;6UnPLSZQJzUEY+FdqenN7yTrJLxgHDyNxXUiYjcf9iWUMu3zfhepITvCOKgcgL36PwH7/AhlqdP/&#10;Bjwg0s5G+wGshDb2d7L9di+Zd/l7B7q6owVLU+1SEyRroGWTc/3nFb+J2/MEP/wE5j8AAAD//wMA&#10;UEsDBBQABgAIAAAAIQByKfEm3gAAAAkBAAAPAAAAZHJzL2Rvd25yZXYueG1sTI/BTsMwDIbvSLxD&#10;ZCRuLKEaWylNJ1TgwA26aeKYNaataJyqSbvy9pgTHG3/+v19+W5xvZhxDJ0nDbcrBQKp9rajRsNh&#10;/3KTggjRkDW9J9TwjQF2xeVFbjLrz/SOcxUbwSUUMqOhjXHIpAx1i86ElR+Q+PbpR2cij2Mj7WjO&#10;XO56mSi1kc50xB9aM2DZYv1VTU6Deyqfj/tpruYS12/LR5MczOtR6+ur5fEBRMQl/oXhF5/RoWCm&#10;k5/IBtFruFOKXaKGZMsKHNjcp2sQJ16kW5BFLv8bFD8AAAD//wMAUEsBAi0AFAAGAAgAAAAhALaD&#10;OJL+AAAA4QEAABMAAAAAAAAAAAAAAAAAAAAAAFtDb250ZW50X1R5cGVzXS54bWxQSwECLQAUAAYA&#10;CAAAACEAOP0h/9YAAACUAQAACwAAAAAAAAAAAAAAAAAvAQAAX3JlbHMvLnJlbHNQSwECLQAUAAYA&#10;CAAAACEA83UcUhoCAABMBAAADgAAAAAAAAAAAAAAAAAuAgAAZHJzL2Uyb0RvYy54bWxQSwECLQAU&#10;AAYACAAAACEAcinxJt4AAAAJAQAADwAAAAAAAAAAAAAAAAB0BAAAZHJzL2Rvd25yZXYueG1sUEsF&#10;BgAAAAAEAAQA8wAAAH8FAAAAAA==&#10;" strokecolor="#7f7f7f [1612]" strokeweight=".5pt">
                <v:stroke joinstyle="miter"/>
              </v:line>
            </w:pict>
          </mc:Fallback>
        </mc:AlternateContent>
      </w:r>
      <w:r w:rsidRPr="00E7058E">
        <w:rPr>
          <w:rFonts w:ascii="Segoe UI" w:hAnsi="Segoe UI" w:cs="Segoe UI"/>
          <w:noProof/>
          <w:lang w:eastAsia="el-GR"/>
        </w:rPr>
        <mc:AlternateContent>
          <mc:Choice Requires="wps">
            <w:drawing>
              <wp:anchor distT="0" distB="0" distL="114300" distR="114300" simplePos="0" relativeHeight="251707904" behindDoc="0" locked="0" layoutInCell="1" allowOverlap="1" wp14:anchorId="3CEAA10B" wp14:editId="1030EAB5">
                <wp:simplePos x="0" y="0"/>
                <wp:positionH relativeFrom="column">
                  <wp:posOffset>4505325</wp:posOffset>
                </wp:positionH>
                <wp:positionV relativeFrom="paragraph">
                  <wp:posOffset>63817</wp:posOffset>
                </wp:positionV>
                <wp:extent cx="683895" cy="251460"/>
                <wp:effectExtent l="0" t="0" r="20955" b="15240"/>
                <wp:wrapNone/>
                <wp:docPr id="7508471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251460"/>
                        </a:xfrm>
                        <a:prstGeom prst="ellipse">
                          <a:avLst/>
                        </a:prstGeom>
                        <a:noFill/>
                        <a:ln w="12700" cap="flat" cmpd="sng" algn="ctr">
                          <a:solidFill>
                            <a:srgbClr val="00808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7F387" id="Oval 20" o:spid="_x0000_s1026" style="position:absolute;margin-left:354.75pt;margin-top:5pt;width:53.85pt;height:19.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BWeAIAAOcEAAAOAAAAZHJzL2Uyb0RvYy54bWysVNtu2zAMfR+wfxD0vtpOkyY16hRBiw4D&#10;grZAO/SZkaVYmG6TlDjd14+SnV7WPQ1LAIESKVLn8NAXlwetyJ77IK1paHVSUsINs60024Z+f7z5&#10;sqAkRDAtKGt4Q595oJfLz58uelfzie2sarknmMSEuncN7WJ0dVEE1nEN4cQ6btAprNcQceu3Reuh&#10;x+xaFZOyPCt661vnLeMh4On14KTLnF8IzuKdEIFHohqKb4t59XndpLVYXkC99eA6ycZnwD+8QoM0&#10;WPQl1TVEIDsvP6TSknkbrIgnzOrCCiEZzxgQTVX+geahA8czFiQnuBeawv9Ly273957ItqHzWbmY&#10;zqvqlBIDGlt1twdFJpmi3oUaIx/cvU8gg1tb9iMgd8U7T9qEMeYgvE6xCJEcMt/PL3zzQyQMD88W&#10;p4vzGSUMXZNZNT3LxQqoj5edD/Ert5oko6FcKelCYgRq2K9DTC+A+hiVjo29kUrlripDepTkZF5i&#10;4xmguISCiKZ2CDeYLSWgtqhaFn1OGaySbbqeMfrt5kp5giTgu8sF/pNYsNy7sFT7GkI3xGXXoCkt&#10;IwpbSd3QRZl+421lUnaepTkieKUtWRvbPmNLvB20Ghy7kVhkDSHeg0dxIhocuHiHi1AWIdrRoqSz&#10;/tffzlM8aga9lPQodoT/cweeU6K+GVTTeTWdpunIm+lsjl0n/q1n89ZjdvrKIisVjrZj2UzxUR1N&#10;4a1+wrlcparoAsOw9kD0uLmKwxDiZDO+WuUwnAgHcW0eHEvJE0+J3sfDE3g3SiCidm7tcTA+yGCI&#10;HYSw2kUrZNbIK6+jZHGaci/HyU/j+nafo16/T8vfAAAA//8DAFBLAwQUAAYACAAAACEA6HZAQeAA&#10;AAAJAQAADwAAAGRycy9kb3ducmV2LnhtbEyPy07DMBBF90j8gzVI7KjdCvoIcSreZUMRLUIs3XhI&#10;IuJxFLtJytczrOhydI/unJsuB1eLDttQedIwHikQSLm3FRUa3rePF3MQIRqypvaEGg4YYJmdnqQm&#10;sb6nN+w2sRBcQiExGsoYm0TKkJfoTBj5BomzL986E/lsC2lb03O5q+VEqal0piL+UJoG70rMvzd7&#10;p0G+/tz23T09f2xfVr19OvgHXH9qfX423FyDiDjEfxj+9FkdMnba+T3ZIGoNM7W4YpQDxZsYmI9n&#10;ExA7DZeLKcgslccLsl8AAAD//wMAUEsBAi0AFAAGAAgAAAAhALaDOJL+AAAA4QEAABMAAAAAAAAA&#10;AAAAAAAAAAAAAFtDb250ZW50X1R5cGVzXS54bWxQSwECLQAUAAYACAAAACEAOP0h/9YAAACUAQAA&#10;CwAAAAAAAAAAAAAAAAAvAQAAX3JlbHMvLnJlbHNQSwECLQAUAAYACAAAACEAwiSAVngCAADnBAAA&#10;DgAAAAAAAAAAAAAAAAAuAgAAZHJzL2Uyb0RvYy54bWxQSwECLQAUAAYACAAAACEA6HZAQeAAAAAJ&#10;AQAADwAAAAAAAAAAAAAAAADSBAAAZHJzL2Rvd25yZXYueG1sUEsFBgAAAAAEAAQA8wAAAN8FAAAA&#10;AA==&#10;" filled="f" strokecolor="teal" strokeweight="1pt">
                <v:stroke joinstyle="miter"/>
                <v:path arrowok="t"/>
              </v:oval>
            </w:pict>
          </mc:Fallback>
        </mc:AlternateContent>
      </w:r>
      <w:r w:rsidR="00931D2C" w:rsidRPr="00EE40A0">
        <w:rPr>
          <w:rFonts w:ascii="Segoe UI" w:hAnsi="Segoe UI" w:cs="Segoe UI"/>
          <w:b/>
          <w:noProof/>
          <w:color w:val="008080"/>
          <w:sz w:val="32"/>
          <w:lang w:eastAsia="el-GR"/>
        </w:rPr>
        <w:drawing>
          <wp:inline distT="0" distB="0" distL="0" distR="0" wp14:anchorId="7FD9A122" wp14:editId="5B079F98">
            <wp:extent cx="6437376" cy="1689811"/>
            <wp:effectExtent l="0" t="0" r="1905" b="5715"/>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37EF" w:rsidRPr="0036728B" w:rsidRDefault="008537EF">
      <w:pPr>
        <w:rPr>
          <w:rFonts w:ascii="Segoe UI" w:eastAsia="Segoe UI" w:hAnsi="Segoe UI" w:cs="Segoe UI"/>
          <w:b/>
          <w:color w:val="008080"/>
          <w:kern w:val="24"/>
          <w:sz w:val="6"/>
          <w:lang w:eastAsia="el-GR"/>
        </w:rPr>
      </w:pPr>
      <w:r w:rsidRPr="0036728B">
        <w:rPr>
          <w:rFonts w:ascii="Segoe UI" w:eastAsia="Segoe UI" w:hAnsi="Segoe UI" w:cs="Segoe UI"/>
          <w:b/>
          <w:color w:val="008080"/>
          <w:kern w:val="24"/>
          <w:sz w:val="6"/>
          <w:lang w:val="en-US" w:eastAsia="el-GR"/>
        </w:rPr>
        <w:br w:type="page"/>
      </w:r>
    </w:p>
    <w:p w:rsidR="008E0A91" w:rsidRPr="000F701B" w:rsidRDefault="007241DD" w:rsidP="008E0A91">
      <w:pPr>
        <w:pStyle w:val="TITLEINBODY"/>
        <w:rPr>
          <w:rFonts w:ascii="Segoe UI" w:hAnsi="Segoe UI" w:cs="Segoe UI"/>
          <w:lang w:val="el-GR"/>
        </w:rPr>
      </w:pPr>
      <w:r w:rsidRPr="000F701B">
        <w:rPr>
          <w:rFonts w:ascii="Segoe UI" w:hAnsi="Segoe UI" w:cs="Segoe UI"/>
          <w:lang w:val="el-GR"/>
        </w:rPr>
        <w:lastRenderedPageBreak/>
        <w:t>Κεφαλαιακή Επάρκεια</w:t>
      </w:r>
    </w:p>
    <w:p w:rsidR="00A94EC5" w:rsidRDefault="00077EE6" w:rsidP="00473419">
      <w:pPr>
        <w:autoSpaceDE w:val="0"/>
        <w:autoSpaceDN w:val="0"/>
        <w:adjustRightInd w:val="0"/>
        <w:spacing w:before="240" w:after="160" w:line="320" w:lineRule="atLeast"/>
        <w:jc w:val="both"/>
        <w:rPr>
          <w:rFonts w:ascii="Segoe UI" w:hAnsi="Segoe UI" w:cs="Segoe UI"/>
          <w:sz w:val="20"/>
        </w:rPr>
      </w:pPr>
      <w:r>
        <w:rPr>
          <w:rFonts w:ascii="Segoe UI" w:hAnsi="Segoe UI" w:cs="Segoe UI"/>
          <w:sz w:val="20"/>
          <w:lang w:val="en-US"/>
        </w:rPr>
        <w:t>O</w:t>
      </w:r>
      <w:r w:rsidR="00397202" w:rsidRPr="000F701B">
        <w:rPr>
          <w:rFonts w:ascii="Segoe UI" w:hAnsi="Segoe UI" w:cs="Segoe UI"/>
          <w:sz w:val="20"/>
        </w:rPr>
        <w:t xml:space="preserve"> </w:t>
      </w:r>
      <w:r w:rsidR="00397202" w:rsidRPr="000E651C">
        <w:rPr>
          <w:rFonts w:ascii="Segoe UI" w:hAnsi="Segoe UI" w:cs="Segoe UI"/>
          <w:b/>
          <w:sz w:val="20"/>
        </w:rPr>
        <w:t xml:space="preserve">δείκτης </w:t>
      </w:r>
      <w:r w:rsidR="00397202" w:rsidRPr="000E651C">
        <w:rPr>
          <w:rFonts w:ascii="Segoe UI" w:hAnsi="Segoe UI" w:cs="Segoe UI"/>
          <w:b/>
          <w:sz w:val="20"/>
          <w:lang w:val="en-US"/>
        </w:rPr>
        <w:t>CET</w:t>
      </w:r>
      <w:r w:rsidR="00397202" w:rsidRPr="000E651C">
        <w:rPr>
          <w:rFonts w:ascii="Segoe UI" w:hAnsi="Segoe UI" w:cs="Segoe UI"/>
          <w:b/>
          <w:sz w:val="20"/>
        </w:rPr>
        <w:t>1</w:t>
      </w:r>
      <w:r w:rsidR="00397202" w:rsidRPr="000F701B">
        <w:rPr>
          <w:rFonts w:ascii="Segoe UI" w:hAnsi="Segoe UI" w:cs="Segoe UI"/>
          <w:sz w:val="20"/>
        </w:rPr>
        <w:t xml:space="preserve"> διαμορφώ</w:t>
      </w:r>
      <w:r w:rsidR="000E6714">
        <w:rPr>
          <w:rFonts w:ascii="Segoe UI" w:hAnsi="Segoe UI" w:cs="Segoe UI"/>
          <w:sz w:val="20"/>
        </w:rPr>
        <w:t xml:space="preserve">θηκε </w:t>
      </w:r>
      <w:r w:rsidR="00397202" w:rsidRPr="000F701B">
        <w:rPr>
          <w:rFonts w:ascii="Segoe UI" w:hAnsi="Segoe UI" w:cs="Segoe UI"/>
          <w:sz w:val="20"/>
        </w:rPr>
        <w:t>σε 1</w:t>
      </w:r>
      <w:r w:rsidR="00397202">
        <w:rPr>
          <w:rFonts w:ascii="Segoe UI" w:hAnsi="Segoe UI" w:cs="Segoe UI"/>
          <w:sz w:val="20"/>
        </w:rPr>
        <w:t>5</w:t>
      </w:r>
      <w:proofErr w:type="gramStart"/>
      <w:r w:rsidR="00397202" w:rsidRPr="000F701B">
        <w:rPr>
          <w:rFonts w:ascii="Segoe UI" w:hAnsi="Segoe UI" w:cs="Segoe UI"/>
          <w:sz w:val="20"/>
        </w:rPr>
        <w:t>,</w:t>
      </w:r>
      <w:r w:rsidRPr="00077EE6">
        <w:rPr>
          <w:rFonts w:ascii="Segoe UI" w:hAnsi="Segoe UI" w:cs="Segoe UI"/>
          <w:sz w:val="20"/>
        </w:rPr>
        <w:t>7</w:t>
      </w:r>
      <w:proofErr w:type="gramEnd"/>
      <w:r w:rsidR="00397202" w:rsidRPr="000F701B">
        <w:rPr>
          <w:rFonts w:ascii="Segoe UI" w:hAnsi="Segoe UI" w:cs="Segoe UI"/>
          <w:sz w:val="20"/>
        </w:rPr>
        <w:t>%</w:t>
      </w:r>
      <w:r w:rsidR="00E5315C" w:rsidRPr="00E5315C">
        <w:t xml:space="preserve"> </w:t>
      </w:r>
      <w:r w:rsidR="00E5315C" w:rsidRPr="00E5315C">
        <w:rPr>
          <w:rFonts w:ascii="Segoe UI" w:hAnsi="Segoe UI" w:cs="Segoe UI"/>
          <w:sz w:val="20"/>
        </w:rPr>
        <w:t>το Δ’ τρίμηνο 2020</w:t>
      </w:r>
      <w:r w:rsidR="00397202">
        <w:rPr>
          <w:rFonts w:ascii="Segoe UI" w:hAnsi="Segoe UI" w:cs="Segoe UI"/>
          <w:sz w:val="20"/>
        </w:rPr>
        <w:t>,</w:t>
      </w:r>
      <w:r w:rsidR="0020173D">
        <w:rPr>
          <w:rFonts w:ascii="Segoe UI" w:hAnsi="Segoe UI" w:cs="Segoe UI"/>
          <w:sz w:val="20"/>
        </w:rPr>
        <w:t xml:space="preserve"> </w:t>
      </w:r>
      <w:r>
        <w:rPr>
          <w:rFonts w:ascii="Segoe UI" w:hAnsi="Segoe UI" w:cs="Segoe UI"/>
          <w:sz w:val="20"/>
        </w:rPr>
        <w:t xml:space="preserve">οριακά χαμηλότερα σε </w:t>
      </w:r>
      <w:r w:rsidR="00E831E5" w:rsidRPr="00E831E5">
        <w:rPr>
          <w:rFonts w:ascii="Segoe UI" w:hAnsi="Segoe UI" w:cs="Segoe UI"/>
          <w:sz w:val="20"/>
        </w:rPr>
        <w:t xml:space="preserve">σύγκριση </w:t>
      </w:r>
      <w:r>
        <w:rPr>
          <w:rFonts w:ascii="Segoe UI" w:hAnsi="Segoe UI" w:cs="Segoe UI"/>
          <w:sz w:val="20"/>
        </w:rPr>
        <w:t xml:space="preserve">με το προηγούμενο τρίμηνο, </w:t>
      </w:r>
      <w:r w:rsidR="00F274BA">
        <w:rPr>
          <w:rFonts w:ascii="Segoe UI" w:hAnsi="Segoe UI" w:cs="Segoe UI"/>
          <w:sz w:val="20"/>
        </w:rPr>
        <w:t>παρά την απορρόφηση των</w:t>
      </w:r>
      <w:r>
        <w:rPr>
          <w:rFonts w:ascii="Segoe UI" w:hAnsi="Segoe UI" w:cs="Segoe UI"/>
          <w:sz w:val="20"/>
        </w:rPr>
        <w:t xml:space="preserve"> </w:t>
      </w:r>
      <w:r w:rsidR="00E831E5">
        <w:rPr>
          <w:rFonts w:ascii="Segoe UI" w:hAnsi="Segoe UI" w:cs="Segoe UI"/>
          <w:sz w:val="20"/>
        </w:rPr>
        <w:t>πρόσθετ</w:t>
      </w:r>
      <w:r w:rsidR="00F274BA">
        <w:rPr>
          <w:rFonts w:ascii="Segoe UI" w:hAnsi="Segoe UI" w:cs="Segoe UI"/>
          <w:sz w:val="20"/>
        </w:rPr>
        <w:t>ων</w:t>
      </w:r>
      <w:r w:rsidR="00E831E5">
        <w:rPr>
          <w:rFonts w:ascii="Segoe UI" w:hAnsi="Segoe UI" w:cs="Segoe UI"/>
          <w:sz w:val="20"/>
        </w:rPr>
        <w:t xml:space="preserve"> </w:t>
      </w:r>
      <w:r>
        <w:rPr>
          <w:rFonts w:ascii="Segoe UI" w:hAnsi="Segoe UI" w:cs="Segoe UI"/>
          <w:sz w:val="20"/>
        </w:rPr>
        <w:t>προβλέψε</w:t>
      </w:r>
      <w:r w:rsidR="00F274BA">
        <w:rPr>
          <w:rFonts w:ascii="Segoe UI" w:hAnsi="Segoe UI" w:cs="Segoe UI"/>
          <w:sz w:val="20"/>
        </w:rPr>
        <w:t>ων</w:t>
      </w:r>
      <w:r>
        <w:rPr>
          <w:rFonts w:ascii="Segoe UI" w:hAnsi="Segoe UI" w:cs="Segoe UI"/>
          <w:sz w:val="20"/>
        </w:rPr>
        <w:t xml:space="preserve"> </w:t>
      </w:r>
      <w:r w:rsidR="00F274BA">
        <w:rPr>
          <w:rFonts w:ascii="Segoe UI" w:hAnsi="Segoe UI" w:cs="Segoe UI"/>
          <w:sz w:val="20"/>
        </w:rPr>
        <w:t xml:space="preserve">σχετιζόμενων </w:t>
      </w:r>
      <w:r w:rsidR="00F622FF">
        <w:rPr>
          <w:rFonts w:ascii="Segoe UI" w:hAnsi="Segoe UI" w:cs="Segoe UI"/>
          <w:sz w:val="20"/>
        </w:rPr>
        <w:t xml:space="preserve">με την </w:t>
      </w:r>
      <w:r w:rsidR="00F622FF" w:rsidRPr="00F622FF">
        <w:rPr>
          <w:rFonts w:ascii="Segoe UI" w:hAnsi="Segoe UI" w:cs="Segoe UI"/>
          <w:sz w:val="20"/>
        </w:rPr>
        <w:t xml:space="preserve">ταξινόμηση του χαρτοφυλακίου Frontier ως περιουσιακό </w:t>
      </w:r>
      <w:r w:rsidR="00F622FF">
        <w:rPr>
          <w:rFonts w:ascii="Segoe UI" w:hAnsi="Segoe UI" w:cs="Segoe UI"/>
          <w:sz w:val="20"/>
        </w:rPr>
        <w:t xml:space="preserve">στοιχείο </w:t>
      </w:r>
      <w:r w:rsidR="00F622FF" w:rsidRPr="00F622FF">
        <w:rPr>
          <w:rFonts w:ascii="Segoe UI" w:hAnsi="Segoe UI" w:cs="Segoe UI"/>
          <w:sz w:val="20"/>
        </w:rPr>
        <w:t>προοριζόμενο προς πώληση</w:t>
      </w:r>
      <w:r w:rsidR="00F622FF">
        <w:rPr>
          <w:rFonts w:ascii="Segoe UI" w:hAnsi="Segoe UI" w:cs="Segoe UI"/>
          <w:sz w:val="20"/>
        </w:rPr>
        <w:t xml:space="preserve"> </w:t>
      </w:r>
      <w:r>
        <w:rPr>
          <w:rFonts w:ascii="Segoe UI" w:hAnsi="Segoe UI" w:cs="Segoe UI"/>
          <w:sz w:val="20"/>
        </w:rPr>
        <w:t>(-110μ.β.</w:t>
      </w:r>
      <w:r w:rsidR="003E3BA8" w:rsidRPr="003E3BA8">
        <w:rPr>
          <w:rFonts w:ascii="Segoe UI" w:hAnsi="Segoe UI" w:cs="Segoe UI"/>
          <w:sz w:val="20"/>
        </w:rPr>
        <w:t xml:space="preserve"> </w:t>
      </w:r>
      <w:r w:rsidR="003E3BA8">
        <w:rPr>
          <w:rFonts w:ascii="Segoe UI" w:hAnsi="Segoe UI" w:cs="Segoe UI"/>
          <w:sz w:val="20"/>
        </w:rPr>
        <w:t>περίπου</w:t>
      </w:r>
      <w:r>
        <w:rPr>
          <w:rFonts w:ascii="Segoe UI" w:hAnsi="Segoe UI" w:cs="Segoe UI"/>
          <w:sz w:val="20"/>
        </w:rPr>
        <w:t xml:space="preserve">). Ο </w:t>
      </w:r>
      <w:r w:rsidR="006F4D81" w:rsidRPr="000E651C">
        <w:rPr>
          <w:rFonts w:ascii="Segoe UI" w:hAnsi="Segoe UI" w:cs="Segoe UI"/>
          <w:b/>
          <w:sz w:val="20"/>
        </w:rPr>
        <w:t>Συνολικό</w:t>
      </w:r>
      <w:r w:rsidRPr="000E651C">
        <w:rPr>
          <w:rFonts w:ascii="Segoe UI" w:hAnsi="Segoe UI" w:cs="Segoe UI"/>
          <w:b/>
          <w:sz w:val="20"/>
        </w:rPr>
        <w:t>ς</w:t>
      </w:r>
      <w:r w:rsidR="006F4D81" w:rsidRPr="000E651C">
        <w:rPr>
          <w:rFonts w:ascii="Segoe UI" w:hAnsi="Segoe UI" w:cs="Segoe UI"/>
          <w:b/>
          <w:sz w:val="20"/>
        </w:rPr>
        <w:t xml:space="preserve"> Δείκτη</w:t>
      </w:r>
      <w:r w:rsidRPr="000E651C">
        <w:rPr>
          <w:rFonts w:ascii="Segoe UI" w:hAnsi="Segoe UI" w:cs="Segoe UI"/>
          <w:b/>
          <w:sz w:val="20"/>
        </w:rPr>
        <w:t>ς</w:t>
      </w:r>
      <w:r w:rsidR="006F4D81" w:rsidRPr="000E651C">
        <w:rPr>
          <w:rFonts w:ascii="Segoe UI" w:hAnsi="Segoe UI" w:cs="Segoe UI"/>
          <w:b/>
          <w:sz w:val="20"/>
        </w:rPr>
        <w:t xml:space="preserve"> Κεφαλαιακής Επάρκειας </w:t>
      </w:r>
      <w:r>
        <w:rPr>
          <w:rFonts w:ascii="Segoe UI" w:hAnsi="Segoe UI" w:cs="Segoe UI"/>
          <w:sz w:val="20"/>
        </w:rPr>
        <w:t>διαμορφώθηκε σε 1</w:t>
      </w:r>
      <w:r w:rsidR="006F4D81" w:rsidRPr="002F3CE8">
        <w:rPr>
          <w:rFonts w:ascii="Segoe UI" w:hAnsi="Segoe UI" w:cs="Segoe UI"/>
          <w:sz w:val="20"/>
        </w:rPr>
        <w:t>6,</w:t>
      </w:r>
      <w:r>
        <w:rPr>
          <w:rFonts w:ascii="Segoe UI" w:hAnsi="Segoe UI" w:cs="Segoe UI"/>
          <w:sz w:val="20"/>
        </w:rPr>
        <w:t>7</w:t>
      </w:r>
      <w:r w:rsidR="006F4D81" w:rsidRPr="002F3CE8">
        <w:rPr>
          <w:rFonts w:ascii="Segoe UI" w:hAnsi="Segoe UI" w:cs="Segoe UI"/>
          <w:sz w:val="20"/>
        </w:rPr>
        <w:t>%</w:t>
      </w:r>
      <w:r>
        <w:rPr>
          <w:rFonts w:ascii="Segoe UI" w:hAnsi="Segoe UI" w:cs="Segoe UI"/>
          <w:sz w:val="20"/>
        </w:rPr>
        <w:t xml:space="preserve">, </w:t>
      </w:r>
      <w:r w:rsidRPr="002F3CE8">
        <w:rPr>
          <w:rFonts w:ascii="Segoe UI" w:hAnsi="Segoe UI" w:cs="Segoe UI"/>
          <w:sz w:val="20"/>
        </w:rPr>
        <w:t>υπερβαίν</w:t>
      </w:r>
      <w:r>
        <w:rPr>
          <w:rFonts w:ascii="Segoe UI" w:hAnsi="Segoe UI" w:cs="Segoe UI"/>
          <w:sz w:val="20"/>
        </w:rPr>
        <w:t xml:space="preserve">οντας </w:t>
      </w:r>
      <w:r w:rsidRPr="002F3CE8">
        <w:rPr>
          <w:rFonts w:ascii="Segoe UI" w:hAnsi="Segoe UI" w:cs="Segoe UI"/>
          <w:sz w:val="20"/>
        </w:rPr>
        <w:t>τις κεφαλαιακές απαιτήσεις</w:t>
      </w:r>
      <w:r w:rsidRPr="004F4622">
        <w:rPr>
          <w:rFonts w:ascii="Segoe UI" w:hAnsi="Segoe UI" w:cs="Segoe UI"/>
          <w:vertAlign w:val="superscript"/>
        </w:rPr>
        <w:footnoteReference w:id="4"/>
      </w:r>
      <w:r w:rsidRPr="002F3CE8">
        <w:rPr>
          <w:rFonts w:ascii="Segoe UI" w:hAnsi="Segoe UI" w:cs="Segoe UI"/>
          <w:sz w:val="20"/>
        </w:rPr>
        <w:t xml:space="preserve"> για το 202</w:t>
      </w:r>
      <w:r>
        <w:rPr>
          <w:rFonts w:ascii="Segoe UI" w:hAnsi="Segoe UI" w:cs="Segoe UI"/>
          <w:sz w:val="20"/>
        </w:rPr>
        <w:t xml:space="preserve">1 κατά </w:t>
      </w:r>
      <w:r w:rsidR="00F274BA">
        <w:rPr>
          <w:rFonts w:ascii="Segoe UI" w:hAnsi="Segoe UI" w:cs="Segoe UI"/>
          <w:sz w:val="20"/>
        </w:rPr>
        <w:t>&gt;</w:t>
      </w:r>
      <w:r>
        <w:rPr>
          <w:rFonts w:ascii="Segoe UI" w:hAnsi="Segoe UI" w:cs="Segoe UI"/>
          <w:sz w:val="20"/>
        </w:rPr>
        <w:t xml:space="preserve">550μ.β. Η θετική επίπτωση στους </w:t>
      </w:r>
      <w:r w:rsidR="006F4D81">
        <w:rPr>
          <w:rFonts w:ascii="Segoe UI" w:hAnsi="Segoe UI" w:cs="Segoe UI"/>
          <w:sz w:val="20"/>
        </w:rPr>
        <w:t xml:space="preserve">δείκτες κεφαλαιακής επάρκειας </w:t>
      </w:r>
      <w:r w:rsidR="002642C4">
        <w:rPr>
          <w:rFonts w:ascii="Segoe UI" w:hAnsi="Segoe UI" w:cs="Segoe UI"/>
          <w:sz w:val="20"/>
        </w:rPr>
        <w:t xml:space="preserve">από τη μείωση των </w:t>
      </w:r>
      <w:r w:rsidR="004846BD">
        <w:rPr>
          <w:rFonts w:ascii="Segoe UI" w:hAnsi="Segoe UI" w:cs="Segoe UI"/>
          <w:sz w:val="20"/>
        </w:rPr>
        <w:t>Σ</w:t>
      </w:r>
      <w:r w:rsidR="002642C4">
        <w:rPr>
          <w:rFonts w:ascii="Segoe UI" w:hAnsi="Segoe UI" w:cs="Segoe UI"/>
          <w:sz w:val="20"/>
        </w:rPr>
        <w:t xml:space="preserve">ταθμισμένων </w:t>
      </w:r>
      <w:r w:rsidR="004846BD">
        <w:rPr>
          <w:rFonts w:ascii="Segoe UI" w:hAnsi="Segoe UI" w:cs="Segoe UI"/>
          <w:sz w:val="20"/>
        </w:rPr>
        <w:t>Σ</w:t>
      </w:r>
      <w:r w:rsidR="002642C4">
        <w:rPr>
          <w:rFonts w:ascii="Segoe UI" w:hAnsi="Segoe UI" w:cs="Segoe UI"/>
          <w:sz w:val="20"/>
        </w:rPr>
        <w:t>τοιχείων του Ενεργητικο</w:t>
      </w:r>
      <w:r w:rsidR="00D409EA">
        <w:rPr>
          <w:rFonts w:ascii="Segoe UI" w:hAnsi="Segoe UI" w:cs="Segoe UI"/>
          <w:sz w:val="20"/>
        </w:rPr>
        <w:t>ύ</w:t>
      </w:r>
      <w:r w:rsidR="004846BD">
        <w:rPr>
          <w:rFonts w:ascii="Segoe UI" w:hAnsi="Segoe UI" w:cs="Segoe UI"/>
          <w:sz w:val="20"/>
        </w:rPr>
        <w:t xml:space="preserve"> </w:t>
      </w:r>
      <w:r w:rsidR="00D409EA">
        <w:rPr>
          <w:rFonts w:ascii="Segoe UI" w:hAnsi="Segoe UI" w:cs="Segoe UI"/>
          <w:sz w:val="20"/>
        </w:rPr>
        <w:t>ως αποτέλεσμα της</w:t>
      </w:r>
      <w:r w:rsidR="002642C4">
        <w:rPr>
          <w:rFonts w:ascii="Segoe UI" w:hAnsi="Segoe UI" w:cs="Segoe UI"/>
          <w:sz w:val="20"/>
        </w:rPr>
        <w:t xml:space="preserve"> ολοκλήρωση</w:t>
      </w:r>
      <w:r w:rsidR="00D409EA">
        <w:rPr>
          <w:rFonts w:ascii="Segoe UI" w:hAnsi="Segoe UI" w:cs="Segoe UI"/>
          <w:sz w:val="20"/>
        </w:rPr>
        <w:t>ς</w:t>
      </w:r>
      <w:r w:rsidR="002642C4">
        <w:rPr>
          <w:rFonts w:ascii="Segoe UI" w:hAnsi="Segoe UI" w:cs="Segoe UI"/>
          <w:sz w:val="20"/>
        </w:rPr>
        <w:t xml:space="preserve"> της συναλλαγής </w:t>
      </w:r>
      <w:r w:rsidR="002642C4">
        <w:rPr>
          <w:rFonts w:ascii="Segoe UI" w:hAnsi="Segoe UI" w:cs="Segoe UI"/>
          <w:sz w:val="20"/>
          <w:lang w:val="en-US"/>
        </w:rPr>
        <w:t>Frontier</w:t>
      </w:r>
      <w:r w:rsidR="002642C4" w:rsidRPr="002642C4">
        <w:rPr>
          <w:rFonts w:ascii="Segoe UI" w:hAnsi="Segoe UI" w:cs="Segoe UI"/>
          <w:sz w:val="20"/>
        </w:rPr>
        <w:t xml:space="preserve"> </w:t>
      </w:r>
      <w:r w:rsidR="002642C4">
        <w:rPr>
          <w:rFonts w:ascii="Segoe UI" w:hAnsi="Segoe UI" w:cs="Segoe UI"/>
          <w:sz w:val="20"/>
        </w:rPr>
        <w:t>εκτιμάται σε περίπου 110μ.β.</w:t>
      </w:r>
      <w:r w:rsidR="00D409EA">
        <w:rPr>
          <w:rFonts w:ascii="Segoe UI" w:hAnsi="Segoe UI" w:cs="Segoe UI"/>
          <w:sz w:val="20"/>
        </w:rPr>
        <w:t xml:space="preserve"> και </w:t>
      </w:r>
      <w:r w:rsidR="00E831E5" w:rsidRPr="00E831E5">
        <w:rPr>
          <w:rFonts w:ascii="Segoe UI" w:hAnsi="Segoe UI" w:cs="Segoe UI"/>
          <w:sz w:val="20"/>
        </w:rPr>
        <w:t xml:space="preserve">προβλέπεται να υλοποιηθεί </w:t>
      </w:r>
      <w:r w:rsidR="00D409EA">
        <w:rPr>
          <w:rFonts w:ascii="Segoe UI" w:hAnsi="Segoe UI" w:cs="Segoe UI"/>
          <w:sz w:val="20"/>
        </w:rPr>
        <w:t>εντός του Α’ εξαμήνου 202</w:t>
      </w:r>
      <w:r w:rsidR="007A588F">
        <w:rPr>
          <w:rFonts w:ascii="Segoe UI" w:hAnsi="Segoe UI" w:cs="Segoe UI"/>
          <w:sz w:val="20"/>
        </w:rPr>
        <w:t>1</w:t>
      </w:r>
      <w:r w:rsidR="002642C4">
        <w:rPr>
          <w:rFonts w:ascii="Segoe UI" w:hAnsi="Segoe UI" w:cs="Segoe UI"/>
          <w:sz w:val="20"/>
        </w:rPr>
        <w:t xml:space="preserve">, αντισταθμίζοντας πλήρως την αρνητική </w:t>
      </w:r>
      <w:r w:rsidR="004D2116">
        <w:rPr>
          <w:rFonts w:ascii="Segoe UI" w:hAnsi="Segoe UI" w:cs="Segoe UI"/>
          <w:sz w:val="20"/>
        </w:rPr>
        <w:t>επίδραση</w:t>
      </w:r>
      <w:r w:rsidR="002642C4">
        <w:rPr>
          <w:rFonts w:ascii="Segoe UI" w:hAnsi="Segoe UI" w:cs="Segoe UI"/>
          <w:sz w:val="20"/>
        </w:rPr>
        <w:t xml:space="preserve"> στα κεφάλαια της Τράπεζας </w:t>
      </w:r>
      <w:r w:rsidR="00B25606">
        <w:rPr>
          <w:rFonts w:ascii="Segoe UI" w:hAnsi="Segoe UI" w:cs="Segoe UI"/>
          <w:sz w:val="20"/>
        </w:rPr>
        <w:t xml:space="preserve">από τον σχηματισμό των προβλέψεων για το </w:t>
      </w:r>
      <w:r w:rsidR="00B25606">
        <w:rPr>
          <w:rFonts w:ascii="Segoe UI" w:hAnsi="Segoe UI" w:cs="Segoe UI"/>
          <w:sz w:val="20"/>
          <w:lang w:val="en-US"/>
        </w:rPr>
        <w:t>Project</w:t>
      </w:r>
      <w:r w:rsidR="00B25606" w:rsidRPr="00B25606">
        <w:rPr>
          <w:rFonts w:ascii="Segoe UI" w:hAnsi="Segoe UI" w:cs="Segoe UI"/>
          <w:sz w:val="20"/>
        </w:rPr>
        <w:t xml:space="preserve"> </w:t>
      </w:r>
      <w:r w:rsidR="00B25606">
        <w:rPr>
          <w:rFonts w:ascii="Segoe UI" w:hAnsi="Segoe UI" w:cs="Segoe UI"/>
          <w:sz w:val="20"/>
          <w:lang w:val="en-US"/>
        </w:rPr>
        <w:t>Frontier</w:t>
      </w:r>
      <w:r w:rsidR="004C0F0F" w:rsidRPr="004C0F0F">
        <w:rPr>
          <w:rFonts w:ascii="Segoe UI" w:hAnsi="Segoe UI" w:cs="Segoe UI"/>
          <w:sz w:val="20"/>
        </w:rPr>
        <w:t xml:space="preserve"> </w:t>
      </w:r>
      <w:r w:rsidR="004C0F0F">
        <w:rPr>
          <w:rFonts w:ascii="Segoe UI" w:hAnsi="Segoe UI" w:cs="Segoe UI"/>
          <w:sz w:val="20"/>
        </w:rPr>
        <w:t>το Δ’ τρίμηνο 2020</w:t>
      </w:r>
      <w:r w:rsidR="00473419">
        <w:rPr>
          <w:rFonts w:ascii="Segoe UI" w:hAnsi="Segoe UI" w:cs="Segoe UI"/>
          <w:sz w:val="20"/>
        </w:rPr>
        <w:t>.</w:t>
      </w:r>
      <w:r w:rsidR="00E10E3C">
        <w:rPr>
          <w:rFonts w:ascii="Segoe UI" w:hAnsi="Segoe UI" w:cs="Segoe UI"/>
          <w:sz w:val="20"/>
        </w:rPr>
        <w:t xml:space="preserve"> </w:t>
      </w:r>
    </w:p>
    <w:p w:rsidR="00587423" w:rsidRPr="00473419" w:rsidRDefault="00E10E3C" w:rsidP="00473419">
      <w:pPr>
        <w:autoSpaceDE w:val="0"/>
        <w:autoSpaceDN w:val="0"/>
        <w:adjustRightInd w:val="0"/>
        <w:spacing w:before="240" w:after="160" w:line="320" w:lineRule="atLeast"/>
        <w:jc w:val="both"/>
        <w:rPr>
          <w:rFonts w:ascii="Segoe UI" w:hAnsi="Segoe UI" w:cs="Segoe UI"/>
          <w:sz w:val="20"/>
        </w:rPr>
      </w:pPr>
      <w:r>
        <w:rPr>
          <w:rFonts w:ascii="Segoe UI" w:hAnsi="Segoe UI" w:cs="Segoe UI"/>
          <w:sz w:val="20"/>
        </w:rPr>
        <w:t xml:space="preserve">Η ολοκλήρωση της συναλλαγής Frontier και της πώλησης της </w:t>
      </w:r>
      <w:r w:rsidRPr="00E10E3C">
        <w:rPr>
          <w:rFonts w:ascii="Segoe UI" w:hAnsi="Segoe UI" w:cs="Segoe UI"/>
          <w:sz w:val="20"/>
        </w:rPr>
        <w:t>Εθνικής Ασφαλιστικής</w:t>
      </w:r>
      <w:r>
        <w:rPr>
          <w:rFonts w:ascii="Segoe UI" w:hAnsi="Segoe UI" w:cs="Segoe UI"/>
          <w:sz w:val="20"/>
        </w:rPr>
        <w:t xml:space="preserve"> θα ενισχύσει </w:t>
      </w:r>
      <w:r w:rsidR="00F274BA">
        <w:rPr>
          <w:rFonts w:ascii="Segoe UI" w:hAnsi="Segoe UI" w:cs="Segoe UI"/>
          <w:sz w:val="20"/>
        </w:rPr>
        <w:t xml:space="preserve">συνολικά </w:t>
      </w:r>
      <w:r w:rsidR="00B8584D">
        <w:rPr>
          <w:rFonts w:ascii="Segoe UI" w:hAnsi="Segoe UI" w:cs="Segoe UI"/>
          <w:sz w:val="20"/>
        </w:rPr>
        <w:t>την</w:t>
      </w:r>
      <w:r w:rsidR="009157C7">
        <w:rPr>
          <w:rFonts w:ascii="Segoe UI" w:hAnsi="Segoe UI" w:cs="Segoe UI"/>
          <w:sz w:val="20"/>
        </w:rPr>
        <w:t xml:space="preserve"> κεφαλαιακή</w:t>
      </w:r>
      <w:r w:rsidR="00B8584D" w:rsidRPr="00B8584D">
        <w:rPr>
          <w:rFonts w:ascii="Segoe UI" w:hAnsi="Segoe UI" w:cs="Segoe UI"/>
          <w:sz w:val="20"/>
        </w:rPr>
        <w:t xml:space="preserve"> θέση </w:t>
      </w:r>
      <w:r w:rsidR="00B8584D">
        <w:rPr>
          <w:rFonts w:ascii="Segoe UI" w:hAnsi="Segoe UI" w:cs="Segoe UI"/>
          <w:sz w:val="20"/>
        </w:rPr>
        <w:t xml:space="preserve">της Τράπεζας </w:t>
      </w:r>
      <w:r>
        <w:rPr>
          <w:rFonts w:ascii="Segoe UI" w:hAnsi="Segoe UI" w:cs="Segoe UI"/>
          <w:sz w:val="20"/>
        </w:rPr>
        <w:t xml:space="preserve">κατά </w:t>
      </w:r>
      <w:r w:rsidR="00F274BA">
        <w:rPr>
          <w:rFonts w:ascii="Segoe UI" w:hAnsi="Segoe UI" w:cs="Segoe UI"/>
          <w:sz w:val="20"/>
        </w:rPr>
        <w:t>περίπου</w:t>
      </w:r>
      <w:r>
        <w:rPr>
          <w:rFonts w:ascii="Segoe UI" w:hAnsi="Segoe UI" w:cs="Segoe UI"/>
          <w:sz w:val="20"/>
        </w:rPr>
        <w:t xml:space="preserve"> 1</w:t>
      </w:r>
      <w:r w:rsidR="00E831E5">
        <w:rPr>
          <w:rFonts w:ascii="Segoe UI" w:hAnsi="Segoe UI" w:cs="Segoe UI"/>
          <w:sz w:val="20"/>
        </w:rPr>
        <w:t>7</w:t>
      </w:r>
      <w:r w:rsidR="00473419" w:rsidRPr="00473419">
        <w:rPr>
          <w:rFonts w:ascii="Segoe UI" w:hAnsi="Segoe UI" w:cs="Segoe UI"/>
          <w:sz w:val="20"/>
        </w:rPr>
        <w:t>0</w:t>
      </w:r>
      <w:r w:rsidR="00473419">
        <w:rPr>
          <w:rFonts w:ascii="Segoe UI" w:hAnsi="Segoe UI" w:cs="Segoe UI"/>
          <w:sz w:val="20"/>
        </w:rPr>
        <w:t xml:space="preserve">μ.β. </w:t>
      </w:r>
      <w:r>
        <w:rPr>
          <w:rFonts w:ascii="Segoe UI" w:hAnsi="Segoe UI" w:cs="Segoe UI"/>
          <w:sz w:val="20"/>
        </w:rPr>
        <w:t>σε σχέση με το τέλος του 2020</w:t>
      </w:r>
      <w:r w:rsidR="00473419">
        <w:rPr>
          <w:rFonts w:ascii="Segoe UI" w:hAnsi="Segoe UI" w:cs="Segoe UI"/>
          <w:sz w:val="20"/>
        </w:rPr>
        <w:t>.</w:t>
      </w:r>
    </w:p>
    <w:p w:rsidR="001541D6" w:rsidRDefault="0097157B" w:rsidP="00D12150">
      <w:pPr>
        <w:kinsoku w:val="0"/>
        <w:overflowPunct w:val="0"/>
        <w:spacing w:before="40"/>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 xml:space="preserve">Μεταβολή </w:t>
      </w:r>
      <w:r w:rsidR="00464272">
        <w:rPr>
          <w:rFonts w:ascii="Segoe UI" w:eastAsia="Segoe UI" w:hAnsi="Segoe UI" w:cs="Segoe UI"/>
          <w:b/>
          <w:color w:val="008080"/>
          <w:kern w:val="24"/>
          <w:sz w:val="20"/>
          <w:lang w:eastAsia="el-GR"/>
        </w:rPr>
        <w:t>στους δείκτες κεφαλαιακής επάρκειας</w:t>
      </w:r>
      <w:r w:rsidRPr="000F701B">
        <w:rPr>
          <w:rFonts w:ascii="Segoe UI" w:eastAsia="Segoe UI" w:hAnsi="Segoe UI" w:cs="Segoe UI"/>
          <w:b/>
          <w:color w:val="008080"/>
          <w:kern w:val="24"/>
          <w:sz w:val="20"/>
          <w:lang w:eastAsia="el-GR"/>
        </w:rPr>
        <w:t xml:space="preserve"> το </w:t>
      </w:r>
      <w:r w:rsidR="00C61CDC">
        <w:rPr>
          <w:rFonts w:ascii="Segoe UI" w:eastAsia="Segoe UI" w:hAnsi="Segoe UI" w:cs="Segoe UI"/>
          <w:b/>
          <w:color w:val="008080"/>
          <w:kern w:val="24"/>
          <w:sz w:val="20"/>
          <w:lang w:eastAsia="el-GR"/>
        </w:rPr>
        <w:t>Δ</w:t>
      </w:r>
      <w:r w:rsidR="00054FA3" w:rsidRPr="00054FA3">
        <w:rPr>
          <w:rFonts w:ascii="Segoe UI" w:eastAsia="Segoe UI" w:hAnsi="Segoe UI" w:cs="Segoe UI"/>
          <w:b/>
          <w:color w:val="008080"/>
          <w:kern w:val="24"/>
          <w:sz w:val="20"/>
          <w:lang w:eastAsia="el-GR"/>
        </w:rPr>
        <w:t>’</w:t>
      </w:r>
      <w:r w:rsidRPr="000F701B">
        <w:rPr>
          <w:rFonts w:ascii="Segoe UI" w:eastAsia="Segoe UI" w:hAnsi="Segoe UI" w:cs="Segoe UI"/>
          <w:b/>
          <w:color w:val="008080"/>
          <w:kern w:val="24"/>
          <w:sz w:val="20"/>
          <w:lang w:eastAsia="el-GR"/>
        </w:rPr>
        <w:t xml:space="preserve"> τρίμηνο 20</w:t>
      </w:r>
      <w:r w:rsidR="00054FA3" w:rsidRPr="00054FA3">
        <w:rPr>
          <w:rFonts w:ascii="Segoe UI" w:eastAsia="Segoe UI" w:hAnsi="Segoe UI" w:cs="Segoe UI"/>
          <w:b/>
          <w:color w:val="008080"/>
          <w:kern w:val="24"/>
          <w:sz w:val="20"/>
          <w:lang w:eastAsia="el-GR"/>
        </w:rPr>
        <w:t>20</w:t>
      </w:r>
    </w:p>
    <w:p w:rsidR="00C61CDC" w:rsidRDefault="00267EAA" w:rsidP="00D12150">
      <w:pPr>
        <w:kinsoku w:val="0"/>
        <w:overflowPunct w:val="0"/>
        <w:spacing w:before="40"/>
        <w:textAlignment w:val="baseline"/>
        <w:rPr>
          <w:rFonts w:ascii="Segoe UI" w:eastAsia="Segoe UI" w:hAnsi="Segoe UI" w:cs="Segoe UI"/>
          <w:b/>
          <w:color w:val="008080"/>
          <w:kern w:val="24"/>
          <w:sz w:val="20"/>
          <w:lang w:eastAsia="el-GR"/>
        </w:rPr>
      </w:pPr>
      <w:r w:rsidRPr="00E6031F">
        <w:rPr>
          <w:rFonts w:ascii="Segoe UI" w:hAnsi="Segoe UI" w:cs="Segoe UI"/>
          <w:noProof/>
          <w:lang w:eastAsia="el-GR"/>
        </w:rPr>
        <mc:AlternateContent>
          <mc:Choice Requires="wps">
            <w:drawing>
              <wp:anchor distT="0" distB="0" distL="114300" distR="114300" simplePos="0" relativeHeight="251696640" behindDoc="0" locked="0" layoutInCell="1" allowOverlap="1" wp14:anchorId="1FB54B66" wp14:editId="091A5A08">
                <wp:simplePos x="0" y="0"/>
                <wp:positionH relativeFrom="column">
                  <wp:posOffset>3125152</wp:posOffset>
                </wp:positionH>
                <wp:positionV relativeFrom="paragraph">
                  <wp:posOffset>123190</wp:posOffset>
                </wp:positionV>
                <wp:extent cx="1043940" cy="323850"/>
                <wp:effectExtent l="0" t="0" r="0" b="0"/>
                <wp:wrapNone/>
                <wp:docPr id="12" name="Rectangular Callou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323850"/>
                        </a:xfrm>
                        <a:prstGeom prst="wedgeRectCallout">
                          <a:avLst>
                            <a:gd name="adj1" fmla="val -47983"/>
                            <a:gd name="adj2" fmla="val -13961"/>
                          </a:avLst>
                        </a:prstGeom>
                        <a:noFill/>
                        <a:ln w="12700" cap="flat" cmpd="sng" algn="ctr">
                          <a:noFill/>
                          <a:prstDash val="solid"/>
                          <a:miter lim="800000"/>
                        </a:ln>
                        <a:effectLst/>
                      </wps:spPr>
                      <wps:txbx>
                        <w:txbxContent>
                          <w:p w:rsidR="00817D20" w:rsidRPr="00E6031F" w:rsidRDefault="00817D20" w:rsidP="00E6031F">
                            <w:pPr>
                              <w:pStyle w:val="Web"/>
                              <w:spacing w:before="0" w:beforeAutospacing="0" w:after="0" w:afterAutospacing="0"/>
                              <w:jc w:val="center"/>
                              <w:textAlignment w:val="baseline"/>
                              <w:rPr>
                                <w:sz w:val="18"/>
                              </w:rPr>
                            </w:pPr>
                            <w:r w:rsidRPr="00E6031F">
                              <w:rPr>
                                <w:rFonts w:ascii="Segoe UI" w:eastAsia="MS Mincho" w:hAnsi="Segoe UI" w:cs="Segoe UI"/>
                                <w:color w:val="000000"/>
                                <w:kern w:val="24"/>
                                <w:sz w:val="9"/>
                                <w:szCs w:val="9"/>
                                <w:lang w:eastAsia="en-US"/>
                              </w:rPr>
                              <w:t>Συνολικός Δείκτης Κεφαλαιακής Επάρκειας στο 13,8% με πλήρη επίδραση του ΔΠΧΑ 9</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FB54B66" id="_x0000_s1037" type="#_x0000_t61" style="position:absolute;margin-left:246.05pt;margin-top:9.7pt;width:82.2pt;height: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VVEgIAABQEAAAOAAAAZHJzL2Uyb0RvYy54bWysU0uP0zAQviPxHyzft0kfbNuo6QpRLZcV&#10;rFj4AVPHTgx+YbtN+u8Zu2m3wA2RgxV7xjPfY7x5GLQiR+6DtKam00lJCTfMNtK0Nf329fFuRUmI&#10;YBpQ1vCannigD9u3bza9q/jMdlY13BMsYkLVu5p2MbqqKALruIYwsY4bDArrNUTc+rZoPPRYXati&#10;Vpb3RW9947xlPAQ83Z2DdJvrC8FZ/CxE4JGomiK2mFef131ai+0GqtaD6yQbYcA/oNAgDTa9ltpB&#10;BHLw8q9SWjJvgxVxwqwurBCS8cwB2UzLP9i8dOB45oLiBHeVKfy/suzT8dkT2aB3M0oMaPToC6oG&#10;pj0o8OQDKGUPkcyWSarehQpvvLhnn8gG92TZj4CB4rdI2oQxZxBep1ykSoas++mqOx8iYXg4LRfz&#10;9QLtYRibz+ard9mYAqrLbedD/MitJumnpj1vWp5gjvCy9HB8CjF70IxEoPk+pURohZYeQZG7xXK9&#10;mo+e3yQh85uk6Xx9P01J2H+siX8XBKmBsY9SqTw6ypA+abcsE3zACRYKIv5qh5oG01ICqsWnwaLP&#10;KG/uppI7CB1BbJhrlWzO2LSM+CiU1DVdlekb0SiTuvM81sj1ovtZ6iR6HPbD2cxMIB3tbXNCh3sc&#10;cezx8wCeIyTDOouv4BXU+0O0Ql5Lnm+NvuLoZTHGZ5Jm+3afs14f8/YXAAAA//8DAFBLAwQUAAYA&#10;CAAAACEAiiS1SNwAAAAJAQAADwAAAGRycy9kb3ducmV2LnhtbEyPQU+EMBCF7yb+h2ZMvLllN4CC&#10;lI0xMcaTcV3v3XaAxnaKtAv4760nPU7el/e+afars2zGKRhPArabDBiS8tpQL+D4/nRzByxESVpa&#10;TyjgGwPs28uLRtbaL/SG8yH2LJVQqKWAIcax5jyoAZ0MGz8ipazzk5MxnVPP9SSXVO4s32VZyZ00&#10;lBYGOeLjgOrzcHYCKt7R3H2Z16P5kC+WntWChRLi+mp9uAcWcY1/MPzqJ3Vok9PJn0kHZgXk1W6b&#10;0BRUObAElEVZADsJuM1y4G3D/3/Q/gAAAP//AwBQSwECLQAUAAYACAAAACEAtoM4kv4AAADhAQAA&#10;EwAAAAAAAAAAAAAAAAAAAAAAW0NvbnRlbnRfVHlwZXNdLnhtbFBLAQItABQABgAIAAAAIQA4/SH/&#10;1gAAAJQBAAALAAAAAAAAAAAAAAAAAC8BAABfcmVscy8ucmVsc1BLAQItABQABgAIAAAAIQDxdUVV&#10;EgIAABQEAAAOAAAAAAAAAAAAAAAAAC4CAABkcnMvZTJvRG9jLnhtbFBLAQItABQABgAIAAAAIQCK&#10;JLVI3AAAAAkBAAAPAAAAAAAAAAAAAAAAAGwEAABkcnMvZG93bnJldi54bWxQSwUGAAAAAAQABADz&#10;AAAAdQUAAAAA&#10;" adj="436,7784" filled="f" stroked="f" strokeweight="1pt">
                <v:path arrowok="t"/>
                <v:textbox>
                  <w:txbxContent>
                    <w:p w:rsidR="00817D20" w:rsidRPr="00E6031F" w:rsidRDefault="00817D20" w:rsidP="00E6031F">
                      <w:pPr>
                        <w:pStyle w:val="Web"/>
                        <w:spacing w:before="0" w:beforeAutospacing="0" w:after="0" w:afterAutospacing="0"/>
                        <w:jc w:val="center"/>
                        <w:textAlignment w:val="baseline"/>
                        <w:rPr>
                          <w:sz w:val="18"/>
                        </w:rPr>
                      </w:pPr>
                      <w:r w:rsidRPr="00E6031F">
                        <w:rPr>
                          <w:rFonts w:ascii="Segoe UI" w:eastAsia="MS Mincho" w:hAnsi="Segoe UI" w:cs="Segoe UI"/>
                          <w:color w:val="000000"/>
                          <w:kern w:val="24"/>
                          <w:sz w:val="9"/>
                          <w:szCs w:val="9"/>
                          <w:lang w:eastAsia="en-US"/>
                        </w:rPr>
                        <w:t>Συνολικός Δείκτης Κεφαλαιακής Επάρκειας στο 13,8% με πλήρη επίδραση του ΔΠΧΑ 9</w:t>
                      </w:r>
                    </w:p>
                  </w:txbxContent>
                </v:textbox>
              </v:shape>
            </w:pict>
          </mc:Fallback>
        </mc:AlternateContent>
      </w:r>
      <w:r>
        <w:rPr>
          <w:rFonts w:ascii="Segoe UI" w:hAnsi="Segoe UI" w:cs="Segoe UI"/>
          <w:noProof/>
          <w:lang w:eastAsia="el-GR"/>
        </w:rPr>
        <mc:AlternateContent>
          <mc:Choice Requires="wps">
            <w:drawing>
              <wp:anchor distT="0" distB="0" distL="114300" distR="114300" simplePos="0" relativeHeight="251698688" behindDoc="0" locked="0" layoutInCell="1" allowOverlap="1" wp14:anchorId="52FC065B" wp14:editId="298CBC35">
                <wp:simplePos x="0" y="0"/>
                <wp:positionH relativeFrom="column">
                  <wp:posOffset>3105467</wp:posOffset>
                </wp:positionH>
                <wp:positionV relativeFrom="paragraph">
                  <wp:posOffset>113030</wp:posOffset>
                </wp:positionV>
                <wp:extent cx="1079500" cy="323850"/>
                <wp:effectExtent l="0" t="0" r="25400" b="19050"/>
                <wp:wrapNone/>
                <wp:docPr id="1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323850"/>
                        </a:xfrm>
                        <a:prstGeom prst="ellipse">
                          <a:avLst/>
                        </a:prstGeom>
                        <a:noFill/>
                        <a:ln w="9525" cap="flat" cmpd="sng" algn="ctr">
                          <a:solidFill>
                            <a:srgbClr val="00808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5AC29" id="Oval 20" o:spid="_x0000_s1026" style="position:absolute;margin-left:244.5pt;margin-top:8.9pt;width:85pt;height: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CXcgIAAN8EAAAOAAAAZHJzL2Uyb0RvYy54bWysVNtu2zAMfR+wfxD0vtpJmzU16hRBiw4D&#10;grZAW/SZkeVYmCRqkhKn+/pRstPLuqdhCSCQIsXL4aHPL/ZGs530QaGt+eSo5ExagY2ym5o/Plx/&#10;mXMWItgGNFpZ82cZ+MXi86fz3lVyih3qRnpGQWyoelfzLkZXFUUQnTQQjtBJS8YWvYFIqt8UjYee&#10;ohtdTMvya9Gjb5xHIUOg26vByBc5fttKEW/bNsjIdM2ptphPn891OovFOVQbD65TYiwD/qEKA8pS&#10;0pdQVxCBbb36EMoo4TFgG48EmgLbVgmZe6BuJuUf3dx34GTuhcAJ7gWm8P/CipvdnWeqodkdc2bB&#10;0Ixud6DZNGPTu1CRy72786m74FYofgQCrXhnSUoYffatN8mXemP7DPTzC9ByH5mgy0l5ejYraR6C&#10;bMfT4/ksZyugOrx2PsRvEg1LQs2l1sqFhAVUsFuFmEqA6uCVri1eK63zPLVlfc3PZtMZZQBiVash&#10;kmgc9RnshjPQG6KriD5HDKhVk17nHv1mfak9IxCo7nJO/8QSyvbOLaW+gtANfg1JA5eMikRorUzN&#10;52X6jY+1TcFlpuRY/ytqSVpj80yj8DhwNDhxrSjHCkK8A0+kJLho0eItHa1GahBHibMO/a+/3Sd/&#10;4gpZOeuJ5NT9zy14yZn+bolFZ5OTk7QVWTmZndLQmX9rWb+12K25RAJlQivtRBaTf9QHsfVonmgf&#10;lykrmcAKyj3gPCqXcVg+2mghl8vsRpvgIK7svRMpeMIpofuwfwLvRgJEos4NHhbiAwkG34EGy23E&#10;VmWGvOI6Mpa2KI9y3Pi0pm/17PX6XVr8BgAA//8DAFBLAwQUAAYACAAAACEA+rCNI98AAAAJAQAA&#10;DwAAAGRycy9kb3ducmV2LnhtbEyPQU/DMAyF70j8h8hIXBBLQTBKaTpNSIgLTGJbD7tlTWgrEqdK&#10;vK78e7zTuNl+T8/vKxeTd2K0MfUBFdzNMhAWm2B6bBVsN2+3OYhEGo12Aa2CX5tgUV1elLow4Yhf&#10;dlxTKzgEU6EVdERDIWVqOut1moXBImvfIXpNvMZWmqiPHO6dvM+yufS6R/7Q6cG+drb5WR+8Akf1&#10;MI2f7zXtPnB1s1nV2TLWSl1fTcsXEGQnOpvhVJ+rQ8Wd9uGAJgmn4CF/ZhZi4YkR2DB/PB32POQ5&#10;yKqU/wmqPwAAAP//AwBQSwECLQAUAAYACAAAACEAtoM4kv4AAADhAQAAEwAAAAAAAAAAAAAAAAAA&#10;AAAAW0NvbnRlbnRfVHlwZXNdLnhtbFBLAQItABQABgAIAAAAIQA4/SH/1gAAAJQBAAALAAAAAAAA&#10;AAAAAAAAAC8BAABfcmVscy8ucmVsc1BLAQItABQABgAIAAAAIQAmSKCXcgIAAN8EAAAOAAAAAAAA&#10;AAAAAAAAAC4CAABkcnMvZTJvRG9jLnhtbFBLAQItABQABgAIAAAAIQD6sI0j3wAAAAkBAAAPAAAA&#10;AAAAAAAAAAAAAMwEAABkcnMvZG93bnJldi54bWxQSwUGAAAAAAQABADzAAAA2AUAAAAA&#10;" filled="f" strokecolor="teal">
                <v:stroke dashstyle="dash" joinstyle="miter"/>
                <v:path arrowok="t"/>
              </v:oval>
            </w:pict>
          </mc:Fallback>
        </mc:AlternateContent>
      </w:r>
      <w:r w:rsidR="003968E6">
        <w:rPr>
          <w:noProof/>
          <w:lang w:eastAsia="el-GR"/>
        </w:rPr>
        <mc:AlternateContent>
          <mc:Choice Requires="wps">
            <w:drawing>
              <wp:anchor distT="0" distB="0" distL="114300" distR="114300" simplePos="0" relativeHeight="251694592" behindDoc="0" locked="0" layoutInCell="1" allowOverlap="1" wp14:anchorId="00E1ACF5" wp14:editId="6CB4EA26">
                <wp:simplePos x="0" y="0"/>
                <wp:positionH relativeFrom="column">
                  <wp:posOffset>3714964</wp:posOffset>
                </wp:positionH>
                <wp:positionV relativeFrom="paragraph">
                  <wp:posOffset>1435003</wp:posOffset>
                </wp:positionV>
                <wp:extent cx="741680" cy="251460"/>
                <wp:effectExtent l="0" t="0" r="0" b="0"/>
                <wp:wrapNone/>
                <wp:docPr id="750847117"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251460"/>
                        </a:xfrm>
                        <a:prstGeom prst="wedgeRectCallout">
                          <a:avLst>
                            <a:gd name="adj1" fmla="val -37758"/>
                            <a:gd name="adj2" fmla="val 40854"/>
                          </a:avLst>
                        </a:prstGeom>
                        <a:noFill/>
                        <a:ln w="9525" cap="flat" cmpd="sng" algn="ctr">
                          <a:noFill/>
                          <a:prstDash val="solid"/>
                        </a:ln>
                        <a:effectLst/>
                      </wps:spPr>
                      <wps:txbx>
                        <w:txbxContent>
                          <w:p w:rsidR="00817D20" w:rsidRPr="003F6942" w:rsidRDefault="00817D20" w:rsidP="00A265E8">
                            <w:pPr>
                              <w:pStyle w:val="Web"/>
                              <w:spacing w:before="0" w:beforeAutospacing="0" w:after="0" w:afterAutospacing="0"/>
                              <w:jc w:val="center"/>
                            </w:pPr>
                            <w:r w:rsidRPr="003F6942">
                              <w:rPr>
                                <w:rFonts w:ascii="Segoe UI" w:hAnsi="Segoe UI" w:cs="Segoe UI"/>
                                <w:sz w:val="12"/>
                                <w:szCs w:val="12"/>
                                <w:lang w:val="en-US"/>
                              </w:rPr>
                              <w:t>CET1 FL: 1</w:t>
                            </w:r>
                            <w:r w:rsidRPr="003F6942">
                              <w:rPr>
                                <w:rFonts w:ascii="Segoe UI" w:hAnsi="Segoe UI" w:cs="Segoe UI"/>
                                <w:sz w:val="12"/>
                                <w:szCs w:val="12"/>
                              </w:rPr>
                              <w:t>2</w:t>
                            </w:r>
                            <w:proofErr w:type="gramStart"/>
                            <w:r w:rsidRPr="003F6942">
                              <w:rPr>
                                <w:rFonts w:ascii="Segoe UI" w:hAnsi="Segoe UI" w:cs="Segoe UI"/>
                                <w:sz w:val="12"/>
                                <w:szCs w:val="12"/>
                              </w:rPr>
                              <w:t>,8</w:t>
                            </w:r>
                            <w:proofErr w:type="gramEnd"/>
                            <w:r w:rsidRPr="003F6942">
                              <w:rPr>
                                <w:rFonts w:ascii="Segoe UI" w:hAnsi="Segoe UI" w:cs="Segoe UI"/>
                                <w:sz w:val="12"/>
                                <w:szCs w:val="12"/>
                                <w:lang w:val="en-US"/>
                              </w:rPr>
                              <w:t>%</w:t>
                            </w:r>
                          </w:p>
                        </w:txbxContent>
                      </wps:txbx>
                      <wps:bodyPr wrap="square" anchor="ctr">
                        <a:noAutofit/>
                      </wps:bodyPr>
                    </wps:wsp>
                  </a:graphicData>
                </a:graphic>
              </wp:anchor>
            </w:drawing>
          </mc:Choice>
          <mc:Fallback>
            <w:pict>
              <v:shape w14:anchorId="00E1ACF5" id="Rectangular Callout 28" o:spid="_x0000_s1038" type="#_x0000_t61" style="position:absolute;margin-left:292.5pt;margin-top:113pt;width:58.4pt;height:19.8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m7DAIAAAEEAAAOAAAAZHJzL2Uyb0RvYy54bWysU02P0zAQvSPxHyzft/mgaUrUdIWolssK&#10;VrvwA6aOnQQc29huk/57xm7aLXBDXCzbM34z773x5n4aJDly63qtapotUkq4YrrpVVvTb18f7taU&#10;OA+qAakVr+mJO3q/fftmM5qK57rTsuGWIIhy1Whq2nlvqiRxrOMDuIU2XGFQaDuAx6Ntk8bCiOiD&#10;TPI0XSWjto2xmnHn8HZ3DtJtxBeCM/9FCMc9kTXF3nxcbVz3YU22G6haC6br2dwG/EMXA/QKi16h&#10;duCBHGz/F9TQM6udFn7B9JBoIXrGIwdkk6V/sHnpwPDIBcVx5iqT+3+w7PPxyZK+qWlZpOtlmWUl&#10;JQoGtOoZxQPVHiRY8hGk1AdP8nVQbDSuwocv5skGzs48avbDYSD5LRIObs6ZhB1CLjImU5T/dJWf&#10;T54wvCyX2WqNJjEM5UW2XEV7Eqguj411/hPXAwmbmo68aXnocu4uGgDHR+ejE83MA5rvGSVikGjs&#10;ESS5e1eWReSBdt0k5bdJy3RdLANXLD9D4u7SQMBX+qGXMs6PVGSs6fsiL7B5wCkWEjxuB4O6OtVS&#10;ArLF78G8jT3ePA2IO3Adwc4wV8u+matKFarwOMNI6aLuWdAgrZ/2U3Quyy+m7HVzQjtHnGcE+3kA&#10;y7G2Yp3GkX+t/uHgteivkOdXs3s4Z5H0/CfCIN+eY9brz93+AgAA//8DAFBLAwQUAAYACAAAACEA&#10;1KIlFuEAAAALAQAADwAAAGRycy9kb3ducmV2LnhtbEyPQU/DMAyF70j8h8hI3Fi6Su2m0nQCBEJw&#10;QRtM2jFrTFuWOKXJuu7fY05ws/2enr9XriZnxYhD6DwpmM8SEEi1Nx01Cj7en26WIELUZLT1hArO&#10;GGBVXV6UujD+RGscN7ERHEKh0AraGPtCylC36HSY+R6JtU8/OB15HRppBn3icGdlmiS5dLoj/tDq&#10;Hh9arA+bo1PwdU+PbrLBvj7v3Hm7+H57GQ+jUtdX090tiIhT/DPDLz6jQ8VMe38kE4RVkC0z7hIV&#10;pGnOAzsWyZzL7PmSZznIqpT/O1Q/AAAA//8DAFBLAQItABQABgAIAAAAIQC2gziS/gAAAOEBAAAT&#10;AAAAAAAAAAAAAAAAAAAAAABbQ29udGVudF9UeXBlc10ueG1sUEsBAi0AFAAGAAgAAAAhADj9If/W&#10;AAAAlAEAAAsAAAAAAAAAAAAAAAAALwEAAF9yZWxzLy5yZWxzUEsBAi0AFAAGAAgAAAAhAOwzCbsM&#10;AgAAAQQAAA4AAAAAAAAAAAAAAAAALgIAAGRycy9lMm9Eb2MueG1sUEsBAi0AFAAGAAgAAAAhANSi&#10;JRbhAAAACwEAAA8AAAAAAAAAAAAAAAAAZgQAAGRycy9kb3ducmV2LnhtbFBLBQYAAAAABAAEAPMA&#10;AAB0BQAAAAA=&#10;" adj="2644,19624" filled="f" stroked="f">
                <v:path arrowok="t"/>
                <v:textbox>
                  <w:txbxContent>
                    <w:p w:rsidR="00817D20" w:rsidRPr="003F6942" w:rsidRDefault="00817D20" w:rsidP="00A265E8">
                      <w:pPr>
                        <w:pStyle w:val="Web"/>
                        <w:spacing w:before="0" w:beforeAutospacing="0" w:after="0" w:afterAutospacing="0"/>
                        <w:jc w:val="center"/>
                      </w:pPr>
                      <w:r w:rsidRPr="003F6942">
                        <w:rPr>
                          <w:rFonts w:ascii="Segoe UI" w:hAnsi="Segoe UI" w:cs="Segoe UI"/>
                          <w:sz w:val="12"/>
                          <w:szCs w:val="12"/>
                          <w:lang w:val="en-US"/>
                        </w:rPr>
                        <w:t>CET1 FL: 1</w:t>
                      </w:r>
                      <w:r w:rsidRPr="003F6942">
                        <w:rPr>
                          <w:rFonts w:ascii="Segoe UI" w:hAnsi="Segoe UI" w:cs="Segoe UI"/>
                          <w:sz w:val="12"/>
                          <w:szCs w:val="12"/>
                        </w:rPr>
                        <w:t>2</w:t>
                      </w:r>
                      <w:proofErr w:type="gramStart"/>
                      <w:r w:rsidRPr="003F6942">
                        <w:rPr>
                          <w:rFonts w:ascii="Segoe UI" w:hAnsi="Segoe UI" w:cs="Segoe UI"/>
                          <w:sz w:val="12"/>
                          <w:szCs w:val="12"/>
                        </w:rPr>
                        <w:t>,8</w:t>
                      </w:r>
                      <w:proofErr w:type="gramEnd"/>
                      <w:r w:rsidRPr="003F6942">
                        <w:rPr>
                          <w:rFonts w:ascii="Segoe UI" w:hAnsi="Segoe UI" w:cs="Segoe UI"/>
                          <w:sz w:val="12"/>
                          <w:szCs w:val="12"/>
                          <w:lang w:val="en-US"/>
                        </w:rPr>
                        <w:t>%</w:t>
                      </w:r>
                    </w:p>
                  </w:txbxContent>
                </v:textbox>
              </v:shape>
            </w:pict>
          </mc:Fallback>
        </mc:AlternateContent>
      </w:r>
      <w:r w:rsidR="00D23AFB" w:rsidRPr="00833372">
        <w:rPr>
          <w:noProof/>
          <w:lang w:eastAsia="el-GR"/>
        </w:rPr>
        <mc:AlternateContent>
          <mc:Choice Requires="wps">
            <w:drawing>
              <wp:anchor distT="0" distB="0" distL="114300" distR="114300" simplePos="0" relativeHeight="251692544" behindDoc="0" locked="0" layoutInCell="1" allowOverlap="1" wp14:anchorId="0CC9FFF6" wp14:editId="3C6D327F">
                <wp:simplePos x="0" y="0"/>
                <wp:positionH relativeFrom="column">
                  <wp:posOffset>-33020</wp:posOffset>
                </wp:positionH>
                <wp:positionV relativeFrom="paragraph">
                  <wp:posOffset>360362</wp:posOffset>
                </wp:positionV>
                <wp:extent cx="773430" cy="395605"/>
                <wp:effectExtent l="0" t="0" r="0" b="444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430" cy="395605"/>
                        </a:xfrm>
                        <a:prstGeom prst="rect">
                          <a:avLst/>
                        </a:prstGeom>
                        <a:noFill/>
                        <a:ln w="9525" cap="flat" cmpd="sng" algn="ctr">
                          <a:noFill/>
                          <a:prstDash val="solid"/>
                        </a:ln>
                        <a:effectLst/>
                      </wps:spPr>
                      <wps:txbx>
                        <w:txbxContent>
                          <w:p w:rsidR="00817D20" w:rsidRPr="00A265E8" w:rsidRDefault="00817D20" w:rsidP="00A265E8">
                            <w:pPr>
                              <w:pStyle w:val="body"/>
                              <w:spacing w:before="0" w:after="0"/>
                              <w:jc w:val="center"/>
                              <w:textAlignment w:val="baseline"/>
                              <w:rPr>
                                <w:rFonts w:ascii="Segoe UI" w:hAnsi="Segoe UI" w:cs="Segoe UI"/>
                                <w:b/>
                                <w:color w:val="auto"/>
                                <w:sz w:val="16"/>
                              </w:rPr>
                            </w:pPr>
                            <w:r w:rsidRPr="00A265E8">
                              <w:rPr>
                                <w:rFonts w:ascii="Segoe UI" w:hAnsi="Segoe UI" w:cs="Segoe UI"/>
                                <w:b/>
                                <w:color w:val="auto"/>
                                <w:kern w:val="24"/>
                                <w:sz w:val="10"/>
                                <w:szCs w:val="16"/>
                              </w:rPr>
                              <w:t>Συνολικός Δείκτης Κεφαλαιακής Επάρκειας</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0CC9FFF6" id="Rectangle 15" o:spid="_x0000_s1039" style="position:absolute;margin-left:-2.6pt;margin-top:28.35pt;width:60.9pt;height:31.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HH0wEAAJIDAAAOAAAAZHJzL2Uyb0RvYy54bWysU8uOEzEQvCPxD5bvZPIgG3aUyQopWi4r&#10;WLHwAR2PPWPhF24nM/l72s5rgRviYtnudlVXdXv9MFrDDjKi9q7hs8mUM+mEb7XrGv792+O7D5xh&#10;AteC8U42/CiRP2zevlkPoZZz33vTysgIxGE9hIb3KYW6qlD00gJOfJCOgspHC4mOsavaCAOhW1PN&#10;p9O7avCxDdELiUi321OQbwq+UlKkL0qhTMw0nGpLZY1l3eW12qyh7iKEXotzGfAPVVjQjkivUFtI&#10;wPZR/wVltYgevUoT4W3lldJCFg2kZjb9Q81LD0EWLWQOhqtN+P9gxefDc2S6pd6tOHNgqUdfyTVw&#10;nZFstswGDQFrynsJzzFLxPDkxQ+kQPVbJB/wnDOqaHMuCWRjcft4dVuOiQm6XK0W7xfUE0Ghxf3y&#10;blrIKqgvj0PE9El6y/Km4ZHKKh7D4QlTpof6kpK5nH/UxpSGGseGht8v50uCBxorZSDR1gYSiq7j&#10;DExH8ypSLIivnmbELWDPDkAjg97oNntAXMZlFlmG6lzATXLepXE3nqxcXGzb+fZI/g40YAT2cw9R&#10;ErcTvacZvLF/3CevdNGUgU6vzv5S4wv9eUjzZL0+l6zbV9r8AgAA//8DAFBLAwQUAAYACAAAACEA&#10;CxY54+AAAAAJAQAADwAAAGRycy9kb3ducmV2LnhtbEyPQUvDQBCF74L/YRnBi7SbFpvamE2pggfB&#10;i6kg3qbZMQnNzobdTZv+ezcne3vDe7z3Tb4dTSdO5HxrWcFinoAgrqxuuVbwtX+bPYHwAVljZ5kU&#10;XMjDtri9yTHT9syfdCpDLWIJ+wwVNCH0mZS+asign9ueOHq/1hkM8XS11A7Psdx0cpkkqTTYclxo&#10;sKfXhqpjORgFx8uHedk9vtv9evx2g3loN/hTKnV/N+6eQQQaw38YJvyIDkVkOtiBtRedgtlqGZMK&#10;VukaxOQv0hTEYRKbBGSRy+sPij8AAAD//wMAUEsBAi0AFAAGAAgAAAAhALaDOJL+AAAA4QEAABMA&#10;AAAAAAAAAAAAAAAAAAAAAFtDb250ZW50X1R5cGVzXS54bWxQSwECLQAUAAYACAAAACEAOP0h/9YA&#10;AACUAQAACwAAAAAAAAAAAAAAAAAvAQAAX3JlbHMvLnJlbHNQSwECLQAUAAYACAAAACEAk9VRx9MB&#10;AACSAwAADgAAAAAAAAAAAAAAAAAuAgAAZHJzL2Uyb0RvYy54bWxQSwECLQAUAAYACAAAACEACxY5&#10;4+AAAAAJAQAADwAAAAAAAAAAAAAAAAAtBAAAZHJzL2Rvd25yZXYueG1sUEsFBgAAAAAEAAQA8wAA&#10;ADoFAAAAAA==&#10;" filled="f" stroked="f">
                <v:path arrowok="t"/>
                <v:textbox>
                  <w:txbxContent>
                    <w:p w:rsidR="00817D20" w:rsidRPr="00A265E8" w:rsidRDefault="00817D20" w:rsidP="00A265E8">
                      <w:pPr>
                        <w:pStyle w:val="body"/>
                        <w:spacing w:before="0" w:after="0"/>
                        <w:jc w:val="center"/>
                        <w:textAlignment w:val="baseline"/>
                        <w:rPr>
                          <w:rFonts w:ascii="Segoe UI" w:hAnsi="Segoe UI" w:cs="Segoe UI"/>
                          <w:b/>
                          <w:color w:val="auto"/>
                          <w:sz w:val="16"/>
                        </w:rPr>
                      </w:pPr>
                      <w:r w:rsidRPr="00A265E8">
                        <w:rPr>
                          <w:rFonts w:ascii="Segoe UI" w:hAnsi="Segoe UI" w:cs="Segoe UI"/>
                          <w:b/>
                          <w:color w:val="auto"/>
                          <w:kern w:val="24"/>
                          <w:sz w:val="10"/>
                          <w:szCs w:val="16"/>
                        </w:rPr>
                        <w:t>Συνολικός Δείκτης Κεφαλαιακής Επάρκειας</w:t>
                      </w:r>
                    </w:p>
                  </w:txbxContent>
                </v:textbox>
              </v:rect>
            </w:pict>
          </mc:Fallback>
        </mc:AlternateContent>
      </w:r>
      <w:r w:rsidR="00C61CDC" w:rsidRPr="003F6942">
        <w:rPr>
          <w:rFonts w:ascii="Segoe UI" w:eastAsia="Segoe UI" w:hAnsi="Segoe UI" w:cs="Segoe UI"/>
          <w:b/>
          <w:noProof/>
          <w:color w:val="FF0000"/>
          <w:kern w:val="24"/>
          <w:sz w:val="20"/>
          <w:lang w:eastAsia="el-GR"/>
        </w:rPr>
        <w:drawing>
          <wp:inline distT="0" distB="0" distL="0" distR="0" wp14:anchorId="49A27E1C" wp14:editId="79CCDB99">
            <wp:extent cx="6466637" cy="2706624"/>
            <wp:effectExtent l="0" t="0" r="10795" b="17780"/>
            <wp:docPr id="750847109" name="Γράφημα 750847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2510" w:rsidRPr="001A2FB5" w:rsidRDefault="00AD2510" w:rsidP="00AD2510">
      <w:pPr>
        <w:rPr>
          <w:rFonts w:ascii="Segoe UI" w:hAnsi="Segoe UI" w:cs="Segoe UI"/>
          <w:sz w:val="8"/>
          <w:szCs w:val="10"/>
        </w:rPr>
      </w:pPr>
      <w:r w:rsidRPr="001A2FB5">
        <w:rPr>
          <w:rFonts w:ascii="Segoe UI" w:hAnsi="Segoe UI" w:cs="Segoe UI"/>
          <w:b/>
          <w:sz w:val="8"/>
          <w:szCs w:val="10"/>
        </w:rPr>
        <w:t>*</w:t>
      </w:r>
      <w:r w:rsidRPr="001A2FB5">
        <w:rPr>
          <w:rFonts w:ascii="Segoe UI" w:hAnsi="Segoe UI" w:cs="Segoe UI"/>
          <w:sz w:val="8"/>
          <w:szCs w:val="10"/>
        </w:rPr>
        <w:t>Περιλαμβάνει</w:t>
      </w:r>
      <w:r w:rsidRPr="001A2FB5">
        <w:rPr>
          <w:rFonts w:ascii="Segoe UI" w:hAnsi="Segoe UI" w:cs="Segoe UI"/>
          <w:b/>
          <w:sz w:val="8"/>
          <w:szCs w:val="10"/>
        </w:rPr>
        <w:t xml:space="preserve"> </w:t>
      </w:r>
      <w:r w:rsidRPr="001A2FB5">
        <w:rPr>
          <w:rFonts w:ascii="Segoe UI" w:hAnsi="Segoe UI" w:cs="Segoe UI"/>
          <w:sz w:val="8"/>
          <w:szCs w:val="10"/>
        </w:rPr>
        <w:t>το αποτέλεσμα αποτίμησης ομολόγων (FVTOCI),</w:t>
      </w:r>
      <w:r>
        <w:rPr>
          <w:rFonts w:ascii="Segoe UI" w:hAnsi="Segoe UI" w:cs="Segoe UI"/>
          <w:sz w:val="8"/>
          <w:szCs w:val="10"/>
        </w:rPr>
        <w:t xml:space="preserve"> </w:t>
      </w:r>
      <w:r w:rsidR="001D0F1B" w:rsidRPr="001D0F1B">
        <w:rPr>
          <w:rFonts w:ascii="Segoe UI" w:hAnsi="Segoe UI" w:cs="Segoe UI"/>
          <w:sz w:val="8"/>
          <w:szCs w:val="10"/>
        </w:rPr>
        <w:t>τα Σταθμισμένα Στοιχεία Ενεργητικού</w:t>
      </w:r>
      <w:r w:rsidR="001D0F1B">
        <w:rPr>
          <w:rFonts w:ascii="Segoe UI" w:hAnsi="Segoe UI" w:cs="Segoe UI"/>
          <w:sz w:val="8"/>
          <w:szCs w:val="10"/>
        </w:rPr>
        <w:t>,</w:t>
      </w:r>
      <w:r w:rsidR="00070846">
        <w:rPr>
          <w:rFonts w:ascii="Segoe UI" w:hAnsi="Segoe UI" w:cs="Segoe UI"/>
          <w:sz w:val="8"/>
          <w:szCs w:val="10"/>
        </w:rPr>
        <w:t xml:space="preserve"> </w:t>
      </w:r>
      <w:r w:rsidRPr="001A2FB5">
        <w:rPr>
          <w:rFonts w:ascii="Segoe UI" w:hAnsi="Segoe UI" w:cs="Segoe UI"/>
          <w:sz w:val="8"/>
          <w:szCs w:val="10"/>
        </w:rPr>
        <w:t>την επίπτωση από την εφαρμογή των μεταβατικών διατάξεων του ΔΛΠΧ 9</w:t>
      </w:r>
      <w:r w:rsidR="004846BD">
        <w:rPr>
          <w:rFonts w:ascii="Segoe UI" w:hAnsi="Segoe UI" w:cs="Segoe UI"/>
          <w:sz w:val="8"/>
          <w:szCs w:val="10"/>
        </w:rPr>
        <w:t xml:space="preserve">, το </w:t>
      </w:r>
      <w:r w:rsidR="004846BD" w:rsidRPr="004846BD">
        <w:rPr>
          <w:rFonts w:ascii="Segoe UI" w:hAnsi="Segoe UI" w:cs="Segoe UI"/>
          <w:sz w:val="8"/>
          <w:szCs w:val="10"/>
        </w:rPr>
        <w:t>όφελος από την εποπτική μεταχείριση του λογισμικού</w:t>
      </w:r>
      <w:r w:rsidR="00070846">
        <w:rPr>
          <w:rFonts w:ascii="Segoe UI" w:hAnsi="Segoe UI" w:cs="Segoe UI"/>
          <w:sz w:val="8"/>
          <w:szCs w:val="10"/>
        </w:rPr>
        <w:t xml:space="preserve"> και λοιπά </w:t>
      </w:r>
    </w:p>
    <w:p w:rsidR="00C92797" w:rsidRDefault="00C92797" w:rsidP="008E0A91">
      <w:pPr>
        <w:pStyle w:val="TITLEINBODY"/>
        <w:rPr>
          <w:rFonts w:ascii="Segoe UI" w:hAnsi="Segoe UI" w:cs="Segoe UI"/>
          <w:lang w:val="el-GR"/>
        </w:rPr>
      </w:pPr>
    </w:p>
    <w:p w:rsidR="008E0A91" w:rsidRPr="000F701B" w:rsidRDefault="001E012B" w:rsidP="008E0A91">
      <w:pPr>
        <w:pStyle w:val="TITLEINBODY"/>
        <w:rPr>
          <w:rFonts w:ascii="Segoe UI" w:hAnsi="Segoe UI" w:cs="Segoe UI"/>
          <w:lang w:val="el-GR"/>
        </w:rPr>
      </w:pPr>
      <w:r w:rsidRPr="000F701B">
        <w:rPr>
          <w:rFonts w:ascii="Segoe UI" w:hAnsi="Segoe UI" w:cs="Segoe UI"/>
          <w:lang w:val="el-GR"/>
        </w:rPr>
        <w:t>Ρευστότητα</w:t>
      </w:r>
    </w:p>
    <w:p w:rsidR="00ED38A5" w:rsidRPr="00ED38A5" w:rsidRDefault="00305DE9" w:rsidP="005A1BC1">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Ο</w:t>
      </w:r>
      <w:r w:rsidRPr="00305DE9">
        <w:rPr>
          <w:rFonts w:ascii="Segoe UI" w:eastAsia="MS Mincho" w:hAnsi="Segoe UI" w:cs="Segoe UI"/>
          <w:sz w:val="20"/>
          <w:szCs w:val="22"/>
          <w:lang w:eastAsia="el-GR" w:bidi="el-GR"/>
        </w:rPr>
        <w:t xml:space="preserve">ι </w:t>
      </w:r>
      <w:r w:rsidRPr="00A425DC">
        <w:rPr>
          <w:rFonts w:ascii="Segoe UI" w:eastAsia="MS Mincho" w:hAnsi="Segoe UI" w:cs="Segoe UI"/>
          <w:b/>
          <w:sz w:val="20"/>
          <w:szCs w:val="22"/>
          <w:lang w:eastAsia="el-GR" w:bidi="el-GR"/>
        </w:rPr>
        <w:t>καταθέσεις</w:t>
      </w:r>
      <w:r w:rsidRPr="00305DE9">
        <w:rPr>
          <w:rFonts w:ascii="Segoe UI" w:eastAsia="MS Mincho" w:hAnsi="Segoe UI" w:cs="Segoe UI"/>
          <w:sz w:val="20"/>
          <w:szCs w:val="22"/>
          <w:lang w:eastAsia="el-GR" w:bidi="el-GR"/>
        </w:rPr>
        <w:t xml:space="preserve"> του Ομίλου αυξήθηκαν κατά </w:t>
      </w:r>
      <w:r w:rsidR="00002C2B" w:rsidRPr="00002C2B">
        <w:rPr>
          <w:rFonts w:ascii="Segoe UI" w:eastAsia="MS Mincho" w:hAnsi="Segoe UI" w:cs="Segoe UI"/>
          <w:sz w:val="20"/>
          <w:szCs w:val="22"/>
          <w:lang w:eastAsia="el-GR" w:bidi="el-GR"/>
        </w:rPr>
        <w:t>€</w:t>
      </w:r>
      <w:r w:rsidR="00002C2B">
        <w:rPr>
          <w:rFonts w:ascii="Segoe UI" w:eastAsia="MS Mincho" w:hAnsi="Segoe UI" w:cs="Segoe UI"/>
          <w:sz w:val="20"/>
          <w:szCs w:val="22"/>
          <w:lang w:eastAsia="el-GR" w:bidi="el-GR"/>
        </w:rPr>
        <w:t>4,</w:t>
      </w:r>
      <w:r w:rsidR="00CD5270">
        <w:rPr>
          <w:rFonts w:ascii="Segoe UI" w:eastAsia="MS Mincho" w:hAnsi="Segoe UI" w:cs="Segoe UI"/>
          <w:sz w:val="20"/>
          <w:szCs w:val="22"/>
          <w:lang w:eastAsia="el-GR" w:bidi="el-GR"/>
        </w:rPr>
        <w:t>8</w:t>
      </w:r>
      <w:r w:rsidR="00002C2B" w:rsidRPr="00002C2B">
        <w:rPr>
          <w:rFonts w:ascii="Segoe UI" w:eastAsia="MS Mincho" w:hAnsi="Segoe UI" w:cs="Segoe UI"/>
          <w:sz w:val="20"/>
          <w:szCs w:val="22"/>
          <w:lang w:eastAsia="el-GR" w:bidi="el-GR"/>
        </w:rPr>
        <w:t xml:space="preserve"> δισ. </w:t>
      </w:r>
      <w:r w:rsidR="00002C2B">
        <w:rPr>
          <w:rFonts w:ascii="Segoe UI" w:eastAsia="MS Mincho" w:hAnsi="Segoe UI" w:cs="Segoe UI"/>
          <w:sz w:val="20"/>
          <w:szCs w:val="22"/>
          <w:lang w:eastAsia="el-GR" w:bidi="el-GR"/>
        </w:rPr>
        <w:t>ή 1</w:t>
      </w:r>
      <w:r w:rsidR="00A425DC">
        <w:rPr>
          <w:rFonts w:ascii="Segoe UI" w:eastAsia="MS Mincho" w:hAnsi="Segoe UI" w:cs="Segoe UI"/>
          <w:sz w:val="20"/>
          <w:szCs w:val="22"/>
          <w:lang w:eastAsia="el-GR" w:bidi="el-GR"/>
        </w:rPr>
        <w:t>0</w:t>
      </w:r>
      <w:r w:rsidR="00002C2B">
        <w:rPr>
          <w:rFonts w:ascii="Segoe UI" w:eastAsia="MS Mincho" w:hAnsi="Segoe UI" w:cs="Segoe UI"/>
          <w:sz w:val="20"/>
          <w:szCs w:val="22"/>
          <w:lang w:eastAsia="el-GR" w:bidi="el-GR"/>
        </w:rPr>
        <w:t>,9</w:t>
      </w:r>
      <w:r w:rsidRPr="00305DE9">
        <w:rPr>
          <w:rFonts w:ascii="Segoe UI" w:eastAsia="MS Mincho" w:hAnsi="Segoe UI" w:cs="Segoe UI"/>
          <w:sz w:val="20"/>
          <w:szCs w:val="22"/>
          <w:lang w:eastAsia="el-GR" w:bidi="el-GR"/>
        </w:rPr>
        <w:t xml:space="preserve">% σε </w:t>
      </w:r>
      <w:r w:rsidR="00002C2B">
        <w:rPr>
          <w:rFonts w:ascii="Segoe UI" w:eastAsia="MS Mincho" w:hAnsi="Segoe UI" w:cs="Segoe UI"/>
          <w:sz w:val="20"/>
          <w:szCs w:val="22"/>
          <w:lang w:eastAsia="el-GR" w:bidi="el-GR"/>
        </w:rPr>
        <w:t>ετήσια</w:t>
      </w:r>
      <w:r w:rsidR="00A425DC">
        <w:rPr>
          <w:rFonts w:ascii="Segoe UI" w:eastAsia="MS Mincho" w:hAnsi="Segoe UI" w:cs="Segoe UI"/>
          <w:sz w:val="20"/>
          <w:szCs w:val="22"/>
          <w:lang w:eastAsia="el-GR" w:bidi="el-GR"/>
        </w:rPr>
        <w:t xml:space="preserve"> βάση</w:t>
      </w:r>
      <w:r w:rsidR="003C6BDB">
        <w:rPr>
          <w:rFonts w:ascii="Segoe UI" w:eastAsia="MS Mincho" w:hAnsi="Segoe UI" w:cs="Segoe UI"/>
          <w:sz w:val="20"/>
          <w:szCs w:val="22"/>
          <w:lang w:eastAsia="el-GR" w:bidi="el-GR"/>
        </w:rPr>
        <w:t>,</w:t>
      </w:r>
      <w:r w:rsidR="00A425DC">
        <w:rPr>
          <w:rFonts w:ascii="Segoe UI" w:eastAsia="MS Mincho" w:hAnsi="Segoe UI" w:cs="Segoe UI"/>
          <w:sz w:val="20"/>
          <w:szCs w:val="22"/>
          <w:lang w:eastAsia="el-GR" w:bidi="el-GR"/>
        </w:rPr>
        <w:t xml:space="preserve"> σε €4</w:t>
      </w:r>
      <w:r w:rsidR="00002C2B">
        <w:rPr>
          <w:rFonts w:ascii="Segoe UI" w:eastAsia="MS Mincho" w:hAnsi="Segoe UI" w:cs="Segoe UI"/>
          <w:sz w:val="20"/>
          <w:szCs w:val="22"/>
          <w:lang w:eastAsia="el-GR" w:bidi="el-GR"/>
        </w:rPr>
        <w:t>8,5</w:t>
      </w:r>
      <w:r w:rsidR="00A425DC" w:rsidRPr="00A425DC">
        <w:rPr>
          <w:rFonts w:ascii="Segoe UI" w:eastAsia="MS Mincho" w:hAnsi="Segoe UI" w:cs="Segoe UI"/>
          <w:sz w:val="20"/>
          <w:szCs w:val="22"/>
          <w:lang w:eastAsia="el-GR" w:bidi="el-GR"/>
        </w:rPr>
        <w:t xml:space="preserve"> δισ.</w:t>
      </w:r>
      <w:r w:rsidR="003D1AEF" w:rsidRPr="003D1AEF">
        <w:rPr>
          <w:rFonts w:ascii="Segoe UI" w:eastAsia="MS Mincho" w:hAnsi="Segoe UI" w:cs="Segoe UI"/>
          <w:sz w:val="20"/>
          <w:szCs w:val="22"/>
          <w:lang w:eastAsia="el-GR" w:bidi="el-GR"/>
        </w:rPr>
        <w:t xml:space="preserve"> </w:t>
      </w:r>
      <w:r w:rsidR="003D1AEF">
        <w:rPr>
          <w:rFonts w:ascii="Segoe UI" w:eastAsia="MS Mincho" w:hAnsi="Segoe UI" w:cs="Segoe UI"/>
          <w:sz w:val="20"/>
          <w:szCs w:val="22"/>
          <w:lang w:eastAsia="el-GR" w:bidi="el-GR"/>
        </w:rPr>
        <w:t>το Δ’ τρίμηνο 2020</w:t>
      </w:r>
      <w:r w:rsidR="00A425DC" w:rsidRPr="00A425DC">
        <w:rPr>
          <w:rFonts w:ascii="Segoe UI" w:eastAsia="MS Mincho" w:hAnsi="Segoe UI" w:cs="Segoe UI"/>
          <w:sz w:val="20"/>
          <w:szCs w:val="22"/>
          <w:lang w:eastAsia="el-GR" w:bidi="el-GR"/>
        </w:rPr>
        <w:t xml:space="preserve">, </w:t>
      </w:r>
      <w:r w:rsidRPr="00305DE9">
        <w:rPr>
          <w:rFonts w:ascii="Segoe UI" w:eastAsia="MS Mincho" w:hAnsi="Segoe UI" w:cs="Segoe UI"/>
          <w:sz w:val="20"/>
          <w:szCs w:val="22"/>
          <w:lang w:eastAsia="el-GR" w:bidi="el-GR"/>
        </w:rPr>
        <w:t xml:space="preserve">αντανακλώντας </w:t>
      </w:r>
      <w:r w:rsidR="00A425DC">
        <w:rPr>
          <w:rFonts w:ascii="Segoe UI" w:eastAsia="MS Mincho" w:hAnsi="Segoe UI" w:cs="Segoe UI"/>
          <w:sz w:val="20"/>
          <w:szCs w:val="22"/>
          <w:lang w:eastAsia="el-GR" w:bidi="el-GR"/>
        </w:rPr>
        <w:t xml:space="preserve">τις εξελίξεις στην εγχώρια αγορά. </w:t>
      </w:r>
      <w:r w:rsidRPr="00305DE9">
        <w:rPr>
          <w:rFonts w:ascii="Segoe UI" w:eastAsia="MS Mincho" w:hAnsi="Segoe UI" w:cs="Segoe UI"/>
          <w:sz w:val="20"/>
          <w:szCs w:val="22"/>
          <w:lang w:eastAsia="el-GR" w:bidi="el-GR"/>
        </w:rPr>
        <w:t xml:space="preserve">Στην Ελλάδα, οι καταθέσεις </w:t>
      </w:r>
      <w:r w:rsidR="00CD5270">
        <w:rPr>
          <w:rFonts w:ascii="Segoe UI" w:eastAsia="MS Mincho" w:hAnsi="Segoe UI" w:cs="Segoe UI"/>
          <w:sz w:val="20"/>
          <w:szCs w:val="22"/>
          <w:lang w:eastAsia="el-GR" w:bidi="el-GR"/>
        </w:rPr>
        <w:t xml:space="preserve">ενισχύθηκαν κατά 4,7 δισ. </w:t>
      </w:r>
      <w:r w:rsidR="00DA584D" w:rsidRPr="00DA584D">
        <w:rPr>
          <w:rFonts w:ascii="Segoe UI" w:eastAsia="MS Mincho" w:hAnsi="Segoe UI" w:cs="Segoe UI"/>
          <w:sz w:val="20"/>
          <w:szCs w:val="22"/>
          <w:lang w:eastAsia="el-GR" w:bidi="el-GR"/>
        </w:rPr>
        <w:t>σε ετήσια βάση</w:t>
      </w:r>
      <w:r w:rsidR="00DA584D">
        <w:rPr>
          <w:rFonts w:ascii="Segoe UI" w:eastAsia="MS Mincho" w:hAnsi="Segoe UI" w:cs="Segoe UI"/>
          <w:sz w:val="20"/>
          <w:szCs w:val="22"/>
          <w:lang w:eastAsia="el-GR" w:bidi="el-GR"/>
        </w:rPr>
        <w:t xml:space="preserve">, </w:t>
      </w:r>
      <w:r w:rsidRPr="00305DE9">
        <w:rPr>
          <w:rFonts w:ascii="Segoe UI" w:eastAsia="MS Mincho" w:hAnsi="Segoe UI" w:cs="Segoe UI"/>
          <w:sz w:val="20"/>
          <w:szCs w:val="22"/>
          <w:lang w:eastAsia="el-GR" w:bidi="el-GR"/>
        </w:rPr>
        <w:t>σε €4</w:t>
      </w:r>
      <w:r w:rsidR="00CD5270">
        <w:rPr>
          <w:rFonts w:ascii="Segoe UI" w:eastAsia="MS Mincho" w:hAnsi="Segoe UI" w:cs="Segoe UI"/>
          <w:sz w:val="20"/>
          <w:szCs w:val="22"/>
          <w:lang w:eastAsia="el-GR" w:bidi="el-GR"/>
        </w:rPr>
        <w:t xml:space="preserve">7,0 δισ., αποτελώντας περίπου </w:t>
      </w:r>
      <w:r w:rsidR="00CD5270" w:rsidRPr="00CD5270">
        <w:rPr>
          <w:rFonts w:ascii="Segoe UI" w:eastAsia="MS Mincho" w:hAnsi="Segoe UI" w:cs="Segoe UI"/>
          <w:sz w:val="20"/>
          <w:szCs w:val="22"/>
          <w:lang w:eastAsia="el-GR" w:bidi="el-GR"/>
        </w:rPr>
        <w:t xml:space="preserve">το 80% των συνολικών πηγών </w:t>
      </w:r>
      <w:r w:rsidR="0007157F" w:rsidRPr="00CD5270">
        <w:rPr>
          <w:rFonts w:ascii="Segoe UI" w:eastAsia="MS Mincho" w:hAnsi="Segoe UI" w:cs="Segoe UI"/>
          <w:sz w:val="20"/>
          <w:szCs w:val="22"/>
          <w:lang w:eastAsia="el-GR" w:bidi="el-GR"/>
        </w:rPr>
        <w:t>χρηματοδ</w:t>
      </w:r>
      <w:r w:rsidR="0007157F">
        <w:rPr>
          <w:rFonts w:ascii="Segoe UI" w:eastAsia="MS Mincho" w:hAnsi="Segoe UI" w:cs="Segoe UI"/>
          <w:sz w:val="20"/>
          <w:szCs w:val="22"/>
          <w:lang w:eastAsia="el-GR" w:bidi="el-GR"/>
        </w:rPr>
        <w:t xml:space="preserve">ότησης </w:t>
      </w:r>
      <w:r w:rsidR="00CD5270" w:rsidRPr="00CD5270">
        <w:rPr>
          <w:rFonts w:ascii="Segoe UI" w:eastAsia="MS Mincho" w:hAnsi="Segoe UI" w:cs="Segoe UI"/>
          <w:sz w:val="20"/>
          <w:szCs w:val="22"/>
          <w:lang w:eastAsia="el-GR" w:bidi="el-GR"/>
        </w:rPr>
        <w:t>της Τράπεζας</w:t>
      </w:r>
      <w:r w:rsidR="00CD5270">
        <w:rPr>
          <w:rFonts w:ascii="Segoe UI" w:eastAsia="MS Mincho" w:hAnsi="Segoe UI" w:cs="Segoe UI"/>
          <w:sz w:val="20"/>
          <w:szCs w:val="22"/>
          <w:lang w:eastAsia="el-GR" w:bidi="el-GR"/>
        </w:rPr>
        <w:t xml:space="preserve">. </w:t>
      </w:r>
      <w:r w:rsidR="00717A94">
        <w:rPr>
          <w:rFonts w:ascii="Segoe UI" w:eastAsia="MS Mincho" w:hAnsi="Segoe UI" w:cs="Segoe UI"/>
          <w:sz w:val="20"/>
          <w:szCs w:val="22"/>
          <w:lang w:eastAsia="el-GR" w:bidi="el-GR"/>
        </w:rPr>
        <w:t xml:space="preserve">Η αύξηση των </w:t>
      </w:r>
      <w:r w:rsidR="00CD5270">
        <w:rPr>
          <w:rFonts w:ascii="Segoe UI" w:eastAsia="MS Mincho" w:hAnsi="Segoe UI" w:cs="Segoe UI"/>
          <w:sz w:val="20"/>
          <w:szCs w:val="22"/>
          <w:lang w:eastAsia="el-GR" w:bidi="el-GR"/>
        </w:rPr>
        <w:t xml:space="preserve">καταθέσεων στην Ελλάδα </w:t>
      </w:r>
      <w:r w:rsidR="00470C47">
        <w:rPr>
          <w:rFonts w:ascii="Segoe UI" w:eastAsia="MS Mincho" w:hAnsi="Segoe UI" w:cs="Segoe UI"/>
          <w:sz w:val="20"/>
          <w:szCs w:val="22"/>
          <w:lang w:eastAsia="el-GR" w:bidi="el-GR"/>
        </w:rPr>
        <w:t xml:space="preserve">σε ετήσια βάση </w:t>
      </w:r>
      <w:r w:rsidR="00717A94">
        <w:rPr>
          <w:rFonts w:ascii="Segoe UI" w:eastAsia="MS Mincho" w:hAnsi="Segoe UI" w:cs="Segoe UI"/>
          <w:sz w:val="20"/>
          <w:szCs w:val="22"/>
          <w:lang w:eastAsia="el-GR" w:bidi="el-GR"/>
        </w:rPr>
        <w:t xml:space="preserve">αντανακλά τις </w:t>
      </w:r>
      <w:r w:rsidR="00A77CCB">
        <w:rPr>
          <w:rFonts w:ascii="Segoe UI" w:eastAsia="MS Mincho" w:hAnsi="Segoe UI" w:cs="Segoe UI"/>
          <w:sz w:val="20"/>
          <w:szCs w:val="22"/>
          <w:lang w:eastAsia="el-GR" w:bidi="el-GR"/>
        </w:rPr>
        <w:t xml:space="preserve">εισροές </w:t>
      </w:r>
      <w:r w:rsidR="00953B11">
        <w:rPr>
          <w:rFonts w:ascii="Segoe UI" w:eastAsia="MS Mincho" w:hAnsi="Segoe UI" w:cs="Segoe UI"/>
          <w:sz w:val="20"/>
          <w:szCs w:val="22"/>
          <w:lang w:eastAsia="el-GR" w:bidi="el-GR"/>
        </w:rPr>
        <w:t>καταθέσεων</w:t>
      </w:r>
      <w:r w:rsidR="00285DF8">
        <w:rPr>
          <w:rFonts w:ascii="Segoe UI" w:eastAsia="MS Mincho" w:hAnsi="Segoe UI" w:cs="Segoe UI"/>
          <w:sz w:val="20"/>
          <w:szCs w:val="22"/>
          <w:lang w:eastAsia="el-GR" w:bidi="el-GR"/>
        </w:rPr>
        <w:t xml:space="preserve"> </w:t>
      </w:r>
      <w:r w:rsidR="00953B11">
        <w:rPr>
          <w:rFonts w:ascii="Segoe UI" w:eastAsia="MS Mincho" w:hAnsi="Segoe UI" w:cs="Segoe UI"/>
          <w:sz w:val="20"/>
          <w:szCs w:val="22"/>
          <w:lang w:eastAsia="el-GR" w:bidi="el-GR"/>
        </w:rPr>
        <w:t xml:space="preserve">από </w:t>
      </w:r>
      <w:r w:rsidR="00A77CCB">
        <w:rPr>
          <w:rFonts w:ascii="Segoe UI" w:eastAsia="MS Mincho" w:hAnsi="Segoe UI" w:cs="Segoe UI"/>
          <w:sz w:val="20"/>
          <w:szCs w:val="22"/>
          <w:lang w:eastAsia="el-GR" w:bidi="el-GR"/>
        </w:rPr>
        <w:t>ιδι</w:t>
      </w:r>
      <w:r w:rsidR="00953B11">
        <w:rPr>
          <w:rFonts w:ascii="Segoe UI" w:eastAsia="MS Mincho" w:hAnsi="Segoe UI" w:cs="Segoe UI"/>
          <w:sz w:val="20"/>
          <w:szCs w:val="22"/>
          <w:lang w:eastAsia="el-GR" w:bidi="el-GR"/>
        </w:rPr>
        <w:t xml:space="preserve">ώτες </w:t>
      </w:r>
      <w:r w:rsidR="00A77CCB">
        <w:rPr>
          <w:rFonts w:ascii="Segoe UI" w:eastAsia="MS Mincho" w:hAnsi="Segoe UI" w:cs="Segoe UI"/>
          <w:sz w:val="20"/>
          <w:szCs w:val="22"/>
          <w:lang w:eastAsia="el-GR" w:bidi="el-GR"/>
        </w:rPr>
        <w:t>(</w:t>
      </w:r>
      <w:r w:rsidR="00A77CCB">
        <w:rPr>
          <w:rFonts w:ascii="Segoe UI" w:eastAsia="MS Mincho" w:hAnsi="Segoe UI" w:cs="Segoe UI"/>
          <w:sz w:val="20"/>
          <w:szCs w:val="22"/>
          <w:lang w:val="en-US" w:eastAsia="el-GR" w:bidi="el-GR"/>
        </w:rPr>
        <w:t>premium</w:t>
      </w:r>
      <w:r w:rsidR="00A77CCB" w:rsidRPr="00A77CCB">
        <w:rPr>
          <w:rFonts w:ascii="Segoe UI" w:eastAsia="MS Mincho" w:hAnsi="Segoe UI" w:cs="Segoe UI"/>
          <w:sz w:val="20"/>
          <w:szCs w:val="22"/>
          <w:lang w:eastAsia="el-GR" w:bidi="el-GR"/>
        </w:rPr>
        <w:t xml:space="preserve"> &amp; </w:t>
      </w:r>
      <w:r w:rsidR="00A77CCB">
        <w:rPr>
          <w:rFonts w:ascii="Segoe UI" w:eastAsia="MS Mincho" w:hAnsi="Segoe UI" w:cs="Segoe UI"/>
          <w:sz w:val="20"/>
          <w:szCs w:val="22"/>
          <w:lang w:val="en-US" w:eastAsia="el-GR" w:bidi="el-GR"/>
        </w:rPr>
        <w:t>mass</w:t>
      </w:r>
      <w:r w:rsidR="00A77CCB" w:rsidRPr="00A77CCB">
        <w:rPr>
          <w:rFonts w:ascii="Segoe UI" w:eastAsia="MS Mincho" w:hAnsi="Segoe UI" w:cs="Segoe UI"/>
          <w:sz w:val="20"/>
          <w:szCs w:val="22"/>
          <w:lang w:eastAsia="el-GR" w:bidi="el-GR"/>
        </w:rPr>
        <w:t xml:space="preserve">) </w:t>
      </w:r>
      <w:r w:rsidR="00CD5270" w:rsidRPr="00CD5270">
        <w:rPr>
          <w:rFonts w:ascii="Segoe UI" w:eastAsia="MS Mincho" w:hAnsi="Segoe UI" w:cs="Segoe UI"/>
          <w:sz w:val="20"/>
          <w:szCs w:val="22"/>
          <w:lang w:eastAsia="el-GR" w:bidi="el-GR"/>
        </w:rPr>
        <w:t xml:space="preserve">ύψους </w:t>
      </w:r>
      <w:r w:rsidR="00A77CCB">
        <w:rPr>
          <w:rFonts w:ascii="Segoe UI" w:eastAsia="MS Mincho" w:hAnsi="Segoe UI" w:cs="Segoe UI"/>
          <w:sz w:val="20"/>
          <w:szCs w:val="22"/>
          <w:lang w:eastAsia="el-GR" w:bidi="el-GR"/>
        </w:rPr>
        <w:t xml:space="preserve">€3,6 δισ. </w:t>
      </w:r>
      <w:r w:rsidR="00CD5270" w:rsidRPr="00CD5270">
        <w:rPr>
          <w:rFonts w:ascii="Segoe UI" w:eastAsia="MS Mincho" w:hAnsi="Segoe UI" w:cs="Segoe UI"/>
          <w:sz w:val="20"/>
          <w:szCs w:val="22"/>
          <w:lang w:eastAsia="el-GR" w:bidi="el-GR"/>
        </w:rPr>
        <w:t xml:space="preserve">και </w:t>
      </w:r>
      <w:r w:rsidR="00953B11">
        <w:rPr>
          <w:rFonts w:ascii="Segoe UI" w:eastAsia="MS Mincho" w:hAnsi="Segoe UI" w:cs="Segoe UI"/>
          <w:sz w:val="20"/>
          <w:szCs w:val="22"/>
          <w:lang w:eastAsia="el-GR" w:bidi="el-GR"/>
        </w:rPr>
        <w:t xml:space="preserve">από </w:t>
      </w:r>
      <w:r w:rsidR="00CD5270" w:rsidRPr="00CD5270">
        <w:rPr>
          <w:rFonts w:ascii="Segoe UI" w:eastAsia="MS Mincho" w:hAnsi="Segoe UI" w:cs="Segoe UI"/>
          <w:sz w:val="20"/>
          <w:szCs w:val="22"/>
          <w:lang w:eastAsia="el-GR" w:bidi="el-GR"/>
        </w:rPr>
        <w:t>ε</w:t>
      </w:r>
      <w:r w:rsidR="00A77CCB">
        <w:rPr>
          <w:rFonts w:ascii="Segoe UI" w:eastAsia="MS Mincho" w:hAnsi="Segoe UI" w:cs="Segoe UI"/>
          <w:sz w:val="20"/>
          <w:szCs w:val="22"/>
          <w:lang w:eastAsia="el-GR" w:bidi="el-GR"/>
        </w:rPr>
        <w:t>πιχειρήσε</w:t>
      </w:r>
      <w:r w:rsidR="00953B11">
        <w:rPr>
          <w:rFonts w:ascii="Segoe UI" w:eastAsia="MS Mincho" w:hAnsi="Segoe UI" w:cs="Segoe UI"/>
          <w:sz w:val="20"/>
          <w:szCs w:val="22"/>
          <w:lang w:eastAsia="el-GR" w:bidi="el-GR"/>
        </w:rPr>
        <w:t>ις</w:t>
      </w:r>
      <w:r w:rsidR="00A77CCB">
        <w:rPr>
          <w:rFonts w:ascii="Segoe UI" w:eastAsia="MS Mincho" w:hAnsi="Segoe UI" w:cs="Segoe UI"/>
          <w:sz w:val="20"/>
          <w:szCs w:val="22"/>
          <w:lang w:eastAsia="el-GR" w:bidi="el-GR"/>
        </w:rPr>
        <w:t xml:space="preserve"> </w:t>
      </w:r>
      <w:r w:rsidR="00CD5270" w:rsidRPr="00CD5270">
        <w:rPr>
          <w:rFonts w:ascii="Segoe UI" w:eastAsia="MS Mincho" w:hAnsi="Segoe UI" w:cs="Segoe UI"/>
          <w:sz w:val="20"/>
          <w:szCs w:val="22"/>
          <w:lang w:eastAsia="el-GR" w:bidi="el-GR"/>
        </w:rPr>
        <w:t xml:space="preserve">ύψους </w:t>
      </w:r>
      <w:r w:rsidR="00A77CCB">
        <w:rPr>
          <w:rFonts w:ascii="Segoe UI" w:eastAsia="MS Mincho" w:hAnsi="Segoe UI" w:cs="Segoe UI"/>
          <w:sz w:val="20"/>
          <w:szCs w:val="22"/>
          <w:lang w:eastAsia="el-GR" w:bidi="el-GR"/>
        </w:rPr>
        <w:t>€</w:t>
      </w:r>
      <w:r w:rsidR="00B31DA9">
        <w:rPr>
          <w:rFonts w:ascii="Segoe UI" w:eastAsia="MS Mincho" w:hAnsi="Segoe UI" w:cs="Segoe UI"/>
          <w:sz w:val="20"/>
          <w:szCs w:val="22"/>
          <w:lang w:eastAsia="el-GR" w:bidi="el-GR"/>
        </w:rPr>
        <w:t xml:space="preserve">1,2 δισ., οι οποίες </w:t>
      </w:r>
      <w:r w:rsidR="00CD5270" w:rsidRPr="00CD5270">
        <w:rPr>
          <w:rFonts w:ascii="Segoe UI" w:eastAsia="MS Mincho" w:hAnsi="Segoe UI" w:cs="Segoe UI"/>
          <w:sz w:val="20"/>
          <w:szCs w:val="22"/>
          <w:lang w:eastAsia="el-GR" w:bidi="el-GR"/>
        </w:rPr>
        <w:t>απορρ</w:t>
      </w:r>
      <w:r w:rsidR="00B31DA9">
        <w:rPr>
          <w:rFonts w:ascii="Segoe UI" w:eastAsia="MS Mincho" w:hAnsi="Segoe UI" w:cs="Segoe UI"/>
          <w:sz w:val="20"/>
          <w:szCs w:val="22"/>
          <w:lang w:eastAsia="el-GR" w:bidi="el-GR"/>
        </w:rPr>
        <w:t xml:space="preserve">όφησαν </w:t>
      </w:r>
      <w:r w:rsidR="00665FF7">
        <w:rPr>
          <w:rFonts w:ascii="Segoe UI" w:eastAsia="MS Mincho" w:hAnsi="Segoe UI" w:cs="Segoe UI"/>
          <w:sz w:val="20"/>
          <w:szCs w:val="22"/>
          <w:lang w:eastAsia="el-GR" w:bidi="el-GR"/>
        </w:rPr>
        <w:t xml:space="preserve">τη μείωση </w:t>
      </w:r>
      <w:r w:rsidR="00953B11">
        <w:rPr>
          <w:rFonts w:ascii="Segoe UI" w:eastAsia="MS Mincho" w:hAnsi="Segoe UI" w:cs="Segoe UI"/>
          <w:sz w:val="20"/>
          <w:szCs w:val="22"/>
          <w:lang w:eastAsia="el-GR" w:bidi="el-GR"/>
        </w:rPr>
        <w:t>σ</w:t>
      </w:r>
      <w:r w:rsidR="00665FF7">
        <w:rPr>
          <w:rFonts w:ascii="Segoe UI" w:eastAsia="MS Mincho" w:hAnsi="Segoe UI" w:cs="Segoe UI"/>
          <w:sz w:val="20"/>
          <w:szCs w:val="22"/>
          <w:lang w:eastAsia="el-GR" w:bidi="el-GR"/>
        </w:rPr>
        <w:t xml:space="preserve">τις </w:t>
      </w:r>
      <w:r w:rsidR="00CD5270" w:rsidRPr="00CD5270">
        <w:rPr>
          <w:rFonts w:ascii="Segoe UI" w:eastAsia="MS Mincho" w:hAnsi="Segoe UI" w:cs="Segoe UI"/>
          <w:sz w:val="20"/>
          <w:szCs w:val="22"/>
          <w:lang w:eastAsia="el-GR" w:bidi="el-GR"/>
        </w:rPr>
        <w:t>καταθέσε</w:t>
      </w:r>
      <w:r w:rsidR="00665FF7">
        <w:rPr>
          <w:rFonts w:ascii="Segoe UI" w:eastAsia="MS Mincho" w:hAnsi="Segoe UI" w:cs="Segoe UI"/>
          <w:sz w:val="20"/>
          <w:szCs w:val="22"/>
          <w:lang w:eastAsia="el-GR" w:bidi="el-GR"/>
        </w:rPr>
        <w:t>ις</w:t>
      </w:r>
      <w:r w:rsidR="00331955" w:rsidRPr="00331955">
        <w:rPr>
          <w:rFonts w:ascii="Segoe UI" w:eastAsia="MS Mincho" w:hAnsi="Segoe UI" w:cs="Segoe UI"/>
          <w:sz w:val="20"/>
          <w:szCs w:val="22"/>
          <w:lang w:eastAsia="el-GR" w:bidi="el-GR"/>
        </w:rPr>
        <w:t xml:space="preserve"> φορέων του Δημοσίου</w:t>
      </w:r>
      <w:r w:rsidR="00331955">
        <w:rPr>
          <w:rFonts w:ascii="Segoe UI" w:eastAsia="MS Mincho" w:hAnsi="Segoe UI" w:cs="Segoe UI"/>
          <w:sz w:val="20"/>
          <w:szCs w:val="22"/>
          <w:lang w:eastAsia="el-GR" w:bidi="el-GR"/>
        </w:rPr>
        <w:t xml:space="preserve"> </w:t>
      </w:r>
      <w:r w:rsidR="00CD5270" w:rsidRPr="00CD5270">
        <w:rPr>
          <w:rFonts w:ascii="Segoe UI" w:eastAsia="MS Mincho" w:hAnsi="Segoe UI" w:cs="Segoe UI"/>
          <w:sz w:val="20"/>
          <w:szCs w:val="22"/>
          <w:lang w:eastAsia="el-GR" w:bidi="el-GR"/>
        </w:rPr>
        <w:t xml:space="preserve">ύψους </w:t>
      </w:r>
      <w:r w:rsidR="00B31DA9">
        <w:rPr>
          <w:rFonts w:ascii="Segoe UI" w:eastAsia="MS Mincho" w:hAnsi="Segoe UI" w:cs="Segoe UI"/>
          <w:sz w:val="20"/>
          <w:szCs w:val="22"/>
          <w:lang w:eastAsia="el-GR" w:bidi="el-GR"/>
        </w:rPr>
        <w:t>€</w:t>
      </w:r>
      <w:r w:rsidR="00CD5270" w:rsidRPr="00CD5270">
        <w:rPr>
          <w:rFonts w:ascii="Segoe UI" w:eastAsia="MS Mincho" w:hAnsi="Segoe UI" w:cs="Segoe UI"/>
          <w:sz w:val="20"/>
          <w:szCs w:val="22"/>
          <w:lang w:eastAsia="el-GR" w:bidi="el-GR"/>
        </w:rPr>
        <w:t xml:space="preserve">0,5 δισ. </w:t>
      </w:r>
      <w:r w:rsidR="00B31DA9">
        <w:rPr>
          <w:rFonts w:ascii="Segoe UI" w:eastAsia="MS Mincho" w:hAnsi="Segoe UI" w:cs="Segoe UI"/>
          <w:sz w:val="20"/>
          <w:szCs w:val="22"/>
          <w:lang w:eastAsia="el-GR" w:bidi="el-GR"/>
        </w:rPr>
        <w:t>κατά</w:t>
      </w:r>
      <w:r w:rsidR="00CD5270" w:rsidRPr="00CD5270">
        <w:rPr>
          <w:rFonts w:ascii="Segoe UI" w:eastAsia="MS Mincho" w:hAnsi="Segoe UI" w:cs="Segoe UI"/>
          <w:sz w:val="20"/>
          <w:szCs w:val="22"/>
          <w:lang w:eastAsia="el-GR" w:bidi="el-GR"/>
        </w:rPr>
        <w:t xml:space="preserve"> την ίδια περίοδο. Οι εισροές καταθέσεων </w:t>
      </w:r>
      <w:r w:rsidR="00331955">
        <w:rPr>
          <w:rFonts w:ascii="Segoe UI" w:eastAsia="MS Mincho" w:hAnsi="Segoe UI" w:cs="Segoe UI"/>
          <w:sz w:val="20"/>
          <w:szCs w:val="22"/>
          <w:lang w:eastAsia="el-GR" w:bidi="el-GR"/>
        </w:rPr>
        <w:t>από τον ιδιωτικό τομέα</w:t>
      </w:r>
      <w:r w:rsidR="00266ECC">
        <w:rPr>
          <w:rFonts w:ascii="Segoe UI" w:eastAsia="MS Mincho" w:hAnsi="Segoe UI" w:cs="Segoe UI"/>
          <w:sz w:val="20"/>
          <w:szCs w:val="22"/>
          <w:lang w:eastAsia="el-GR" w:bidi="el-GR"/>
        </w:rPr>
        <w:t xml:space="preserve"> </w:t>
      </w:r>
      <w:r w:rsidR="00CD5270" w:rsidRPr="00CD5270">
        <w:rPr>
          <w:rFonts w:ascii="Segoe UI" w:eastAsia="MS Mincho" w:hAnsi="Segoe UI" w:cs="Segoe UI"/>
          <w:sz w:val="20"/>
          <w:szCs w:val="22"/>
          <w:lang w:eastAsia="el-GR" w:bidi="el-GR"/>
        </w:rPr>
        <w:t xml:space="preserve">αντικατοπτρίζουν τη </w:t>
      </w:r>
      <w:r w:rsidR="000B02FC">
        <w:rPr>
          <w:rFonts w:ascii="Segoe UI" w:eastAsia="MS Mincho" w:hAnsi="Segoe UI" w:cs="Segoe UI"/>
          <w:sz w:val="20"/>
          <w:szCs w:val="22"/>
          <w:lang w:eastAsia="el-GR" w:bidi="el-GR"/>
        </w:rPr>
        <w:t xml:space="preserve">θετική </w:t>
      </w:r>
      <w:r w:rsidR="00CD5270" w:rsidRPr="00CD5270">
        <w:rPr>
          <w:rFonts w:ascii="Segoe UI" w:eastAsia="MS Mincho" w:hAnsi="Segoe UI" w:cs="Segoe UI"/>
          <w:sz w:val="20"/>
          <w:szCs w:val="22"/>
          <w:lang w:eastAsia="el-GR" w:bidi="el-GR"/>
        </w:rPr>
        <w:t xml:space="preserve">συμβολή </w:t>
      </w:r>
      <w:r w:rsidR="00BE103A">
        <w:rPr>
          <w:rFonts w:ascii="Segoe UI" w:eastAsia="MS Mincho" w:hAnsi="Segoe UI" w:cs="Segoe UI"/>
          <w:sz w:val="20"/>
          <w:szCs w:val="22"/>
          <w:lang w:eastAsia="el-GR" w:bidi="el-GR"/>
        </w:rPr>
        <w:t xml:space="preserve">των </w:t>
      </w:r>
      <w:r w:rsidR="00CD5270" w:rsidRPr="00CD5270">
        <w:rPr>
          <w:rFonts w:ascii="Segoe UI" w:eastAsia="MS Mincho" w:hAnsi="Segoe UI" w:cs="Segoe UI"/>
          <w:sz w:val="20"/>
          <w:szCs w:val="22"/>
          <w:lang w:eastAsia="el-GR" w:bidi="el-GR"/>
        </w:rPr>
        <w:t>μέ</w:t>
      </w:r>
      <w:r w:rsidR="008843CB">
        <w:rPr>
          <w:rFonts w:ascii="Segoe UI" w:eastAsia="MS Mincho" w:hAnsi="Segoe UI" w:cs="Segoe UI"/>
          <w:sz w:val="20"/>
          <w:szCs w:val="22"/>
          <w:lang w:eastAsia="el-GR" w:bidi="el-GR"/>
        </w:rPr>
        <w:t>τρων στήριξης από την ΕΚΤ, την Κ</w:t>
      </w:r>
      <w:r w:rsidR="00CD5270" w:rsidRPr="00CD5270">
        <w:rPr>
          <w:rFonts w:ascii="Segoe UI" w:eastAsia="MS Mincho" w:hAnsi="Segoe UI" w:cs="Segoe UI"/>
          <w:sz w:val="20"/>
          <w:szCs w:val="22"/>
          <w:lang w:eastAsia="el-GR" w:bidi="el-GR"/>
        </w:rPr>
        <w:t>υβέρνηση και το τραπεζικό σύστημα προς τα νοικοκυριά και τις επιχειρήσεις</w:t>
      </w:r>
      <w:r w:rsidR="00717A94">
        <w:rPr>
          <w:rFonts w:ascii="Segoe UI" w:eastAsia="MS Mincho" w:hAnsi="Segoe UI" w:cs="Segoe UI"/>
          <w:sz w:val="20"/>
          <w:szCs w:val="22"/>
          <w:lang w:eastAsia="el-GR" w:bidi="el-GR"/>
        </w:rPr>
        <w:t>.</w:t>
      </w:r>
      <w:r w:rsidR="00151B1E">
        <w:rPr>
          <w:rFonts w:ascii="Segoe UI" w:eastAsia="MS Mincho" w:hAnsi="Segoe UI" w:cs="Segoe UI"/>
          <w:sz w:val="20"/>
          <w:szCs w:val="22"/>
          <w:lang w:eastAsia="el-GR" w:bidi="el-GR"/>
        </w:rPr>
        <w:t xml:space="preserve"> Σε σχέση με το Γ’ τρίμηνο 2020, οι καταθέσεις στην Ελλάδα αυξήθηκαν κατά €3,3 δισ., </w:t>
      </w:r>
      <w:r w:rsidR="00331126">
        <w:rPr>
          <w:rFonts w:ascii="Segoe UI" w:eastAsia="MS Mincho" w:hAnsi="Segoe UI" w:cs="Segoe UI"/>
          <w:sz w:val="20"/>
          <w:szCs w:val="22"/>
          <w:lang w:eastAsia="el-GR" w:bidi="el-GR"/>
        </w:rPr>
        <w:t xml:space="preserve">αντανακλώντας την αύξηση στα υπόλοιπα </w:t>
      </w:r>
      <w:r w:rsidR="00836D00">
        <w:rPr>
          <w:rFonts w:ascii="Segoe UI" w:eastAsia="MS Mincho" w:hAnsi="Segoe UI" w:cs="Segoe UI"/>
          <w:sz w:val="20"/>
          <w:szCs w:val="22"/>
          <w:lang w:eastAsia="el-GR" w:bidi="el-GR"/>
        </w:rPr>
        <w:t xml:space="preserve">των </w:t>
      </w:r>
      <w:r w:rsidR="00331126">
        <w:rPr>
          <w:rFonts w:ascii="Segoe UI" w:eastAsia="MS Mincho" w:hAnsi="Segoe UI" w:cs="Segoe UI"/>
          <w:sz w:val="20"/>
          <w:szCs w:val="22"/>
          <w:lang w:eastAsia="el-GR" w:bidi="el-GR"/>
        </w:rPr>
        <w:t xml:space="preserve">καταθέσεων όψεως και ταμιευτήριου. </w:t>
      </w:r>
      <w:r w:rsidR="005A1BC1">
        <w:rPr>
          <w:rFonts w:ascii="Segoe UI" w:eastAsia="MS Mincho" w:hAnsi="Segoe UI" w:cs="Segoe UI"/>
          <w:sz w:val="20"/>
          <w:szCs w:val="22"/>
          <w:lang w:eastAsia="el-GR" w:bidi="el-GR"/>
        </w:rPr>
        <w:t>Ταυτόχρονα, τ</w:t>
      </w:r>
      <w:r w:rsidR="005A1BC1" w:rsidRPr="005A1BC1">
        <w:rPr>
          <w:rFonts w:ascii="Segoe UI" w:eastAsia="MS Mincho" w:hAnsi="Segoe UI" w:cs="Segoe UI"/>
          <w:sz w:val="20"/>
          <w:szCs w:val="22"/>
          <w:lang w:eastAsia="el-GR" w:bidi="el-GR"/>
        </w:rPr>
        <w:t>ο κόστος καταθέσεων συνέχισε να μειώνεται και</w:t>
      </w:r>
      <w:r w:rsidR="005A1BC1">
        <w:rPr>
          <w:rFonts w:ascii="Segoe UI" w:eastAsia="MS Mincho" w:hAnsi="Segoe UI" w:cs="Segoe UI"/>
          <w:sz w:val="20"/>
          <w:szCs w:val="22"/>
          <w:lang w:eastAsia="el-GR" w:bidi="el-GR"/>
        </w:rPr>
        <w:t xml:space="preserve"> </w:t>
      </w:r>
      <w:r w:rsidR="005A1BC1" w:rsidRPr="005A1BC1">
        <w:rPr>
          <w:rFonts w:ascii="Segoe UI" w:eastAsia="MS Mincho" w:hAnsi="Segoe UI" w:cs="Segoe UI"/>
          <w:sz w:val="20"/>
          <w:szCs w:val="22"/>
          <w:lang w:eastAsia="el-GR" w:bidi="el-GR"/>
        </w:rPr>
        <w:t>διαμορφώθηκε στις 1</w:t>
      </w:r>
      <w:r w:rsidR="005A1BC1">
        <w:rPr>
          <w:rFonts w:ascii="Segoe UI" w:eastAsia="MS Mincho" w:hAnsi="Segoe UI" w:cs="Segoe UI"/>
          <w:sz w:val="20"/>
          <w:szCs w:val="22"/>
          <w:lang w:eastAsia="el-GR" w:bidi="el-GR"/>
        </w:rPr>
        <w:t>3</w:t>
      </w:r>
      <w:r w:rsidR="005A1BC1" w:rsidRPr="005A1BC1">
        <w:rPr>
          <w:rFonts w:ascii="Segoe UI" w:eastAsia="MS Mincho" w:hAnsi="Segoe UI" w:cs="Segoe UI"/>
          <w:sz w:val="20"/>
          <w:szCs w:val="22"/>
          <w:lang w:eastAsia="el-GR" w:bidi="el-GR"/>
        </w:rPr>
        <w:t>μ</w:t>
      </w:r>
      <w:r w:rsidR="005A1BC1">
        <w:rPr>
          <w:rFonts w:ascii="Segoe UI" w:eastAsia="MS Mincho" w:hAnsi="Segoe UI" w:cs="Segoe UI"/>
          <w:sz w:val="20"/>
          <w:szCs w:val="22"/>
          <w:lang w:eastAsia="el-GR" w:bidi="el-GR"/>
        </w:rPr>
        <w:t>.β.</w:t>
      </w:r>
      <w:r w:rsidR="005A1BC1" w:rsidRPr="005A1BC1">
        <w:rPr>
          <w:rFonts w:ascii="Segoe UI" w:eastAsia="MS Mincho" w:hAnsi="Segoe UI" w:cs="Segoe UI"/>
          <w:sz w:val="20"/>
          <w:szCs w:val="22"/>
          <w:lang w:eastAsia="el-GR" w:bidi="el-GR"/>
        </w:rPr>
        <w:t xml:space="preserve"> το </w:t>
      </w:r>
      <w:r w:rsidR="005A1BC1">
        <w:rPr>
          <w:rFonts w:ascii="Segoe UI" w:eastAsia="MS Mincho" w:hAnsi="Segoe UI" w:cs="Segoe UI"/>
          <w:sz w:val="20"/>
          <w:szCs w:val="22"/>
          <w:lang w:eastAsia="el-GR" w:bidi="el-GR"/>
        </w:rPr>
        <w:t xml:space="preserve">Δ’ τρίμηνο </w:t>
      </w:r>
      <w:r w:rsidR="005A1BC1" w:rsidRPr="005A1BC1">
        <w:rPr>
          <w:rFonts w:ascii="Segoe UI" w:eastAsia="MS Mincho" w:hAnsi="Segoe UI" w:cs="Segoe UI"/>
          <w:sz w:val="20"/>
          <w:szCs w:val="22"/>
          <w:lang w:eastAsia="el-GR" w:bidi="el-GR"/>
        </w:rPr>
        <w:t xml:space="preserve">2020 </w:t>
      </w:r>
      <w:r w:rsidR="005A1BC1" w:rsidRPr="005A1BC1">
        <w:rPr>
          <w:rFonts w:ascii="Segoe UI" w:eastAsia="MS Mincho" w:hAnsi="Segoe UI" w:cs="Segoe UI"/>
          <w:sz w:val="20"/>
          <w:szCs w:val="22"/>
          <w:lang w:eastAsia="el-GR" w:bidi="el-GR"/>
        </w:rPr>
        <w:lastRenderedPageBreak/>
        <w:t xml:space="preserve">έναντι </w:t>
      </w:r>
      <w:r w:rsidR="005A1BC1">
        <w:rPr>
          <w:rFonts w:ascii="Segoe UI" w:eastAsia="MS Mincho" w:hAnsi="Segoe UI" w:cs="Segoe UI"/>
          <w:sz w:val="20"/>
          <w:szCs w:val="22"/>
          <w:lang w:eastAsia="el-GR" w:bidi="el-GR"/>
        </w:rPr>
        <w:t xml:space="preserve">18μ.β. </w:t>
      </w:r>
      <w:r w:rsidR="005A1BC1" w:rsidRPr="005A1BC1">
        <w:rPr>
          <w:rFonts w:ascii="Segoe UI" w:eastAsia="MS Mincho" w:hAnsi="Segoe UI" w:cs="Segoe UI"/>
          <w:sz w:val="20"/>
          <w:szCs w:val="22"/>
          <w:lang w:eastAsia="el-GR" w:bidi="el-GR"/>
        </w:rPr>
        <w:t xml:space="preserve">το </w:t>
      </w:r>
      <w:r w:rsidR="005A1BC1">
        <w:rPr>
          <w:rFonts w:ascii="Segoe UI" w:eastAsia="MS Mincho" w:hAnsi="Segoe UI" w:cs="Segoe UI"/>
          <w:sz w:val="20"/>
          <w:szCs w:val="22"/>
          <w:lang w:eastAsia="el-GR" w:bidi="el-GR"/>
        </w:rPr>
        <w:t>Γ</w:t>
      </w:r>
      <w:r w:rsidR="005A1BC1" w:rsidRPr="005A1BC1">
        <w:rPr>
          <w:rFonts w:ascii="Segoe UI" w:eastAsia="MS Mincho" w:hAnsi="Segoe UI" w:cs="Segoe UI"/>
          <w:sz w:val="20"/>
          <w:szCs w:val="22"/>
          <w:lang w:eastAsia="el-GR" w:bidi="el-GR"/>
        </w:rPr>
        <w:t>’ τρίμηνο 2020</w:t>
      </w:r>
      <w:r w:rsidR="00E56E28">
        <w:rPr>
          <w:rFonts w:ascii="Segoe UI" w:eastAsia="MS Mincho" w:hAnsi="Segoe UI" w:cs="Segoe UI"/>
          <w:sz w:val="20"/>
          <w:szCs w:val="22"/>
          <w:lang w:eastAsia="el-GR" w:bidi="el-GR"/>
        </w:rPr>
        <w:t xml:space="preserve"> (33μ.β. το Δ’ τρίμηνο </w:t>
      </w:r>
      <w:r w:rsidR="00E56E28" w:rsidRPr="005A1BC1">
        <w:rPr>
          <w:rFonts w:ascii="Segoe UI" w:eastAsia="MS Mincho" w:hAnsi="Segoe UI" w:cs="Segoe UI"/>
          <w:sz w:val="20"/>
          <w:szCs w:val="22"/>
          <w:lang w:eastAsia="el-GR" w:bidi="el-GR"/>
        </w:rPr>
        <w:t>20</w:t>
      </w:r>
      <w:r w:rsidR="00E56E28">
        <w:rPr>
          <w:rFonts w:ascii="Segoe UI" w:eastAsia="MS Mincho" w:hAnsi="Segoe UI" w:cs="Segoe UI"/>
          <w:sz w:val="20"/>
          <w:szCs w:val="22"/>
          <w:lang w:eastAsia="el-GR" w:bidi="el-GR"/>
        </w:rPr>
        <w:t xml:space="preserve">19). </w:t>
      </w:r>
      <w:r w:rsidRPr="00305DE9">
        <w:rPr>
          <w:rFonts w:ascii="Segoe UI" w:eastAsia="MS Mincho" w:hAnsi="Segoe UI" w:cs="Segoe UI"/>
          <w:sz w:val="20"/>
          <w:szCs w:val="22"/>
          <w:lang w:eastAsia="el-GR" w:bidi="el-GR"/>
        </w:rPr>
        <w:t>Οι καταθέσεις στις διεθνείς δραστηριότητες</w:t>
      </w:r>
      <w:r w:rsidR="003C6BDB" w:rsidRPr="004531D1">
        <w:rPr>
          <w:rFonts w:ascii="Segoe UI" w:hAnsi="Segoe UI" w:cs="Segoe UI"/>
          <w:vertAlign w:val="superscript"/>
        </w:rPr>
        <w:footnoteReference w:id="5"/>
      </w:r>
      <w:r w:rsidRPr="00305DE9">
        <w:rPr>
          <w:rFonts w:ascii="Segoe UI" w:eastAsia="MS Mincho" w:hAnsi="Segoe UI" w:cs="Segoe UI"/>
          <w:sz w:val="20"/>
          <w:szCs w:val="22"/>
          <w:lang w:eastAsia="el-GR" w:bidi="el-GR"/>
        </w:rPr>
        <w:t xml:space="preserve"> </w:t>
      </w:r>
      <w:r w:rsidR="00A425DC">
        <w:rPr>
          <w:rFonts w:ascii="Segoe UI" w:eastAsia="MS Mincho" w:hAnsi="Segoe UI" w:cs="Segoe UI"/>
          <w:sz w:val="20"/>
          <w:szCs w:val="22"/>
          <w:lang w:eastAsia="el-GR" w:bidi="el-GR"/>
        </w:rPr>
        <w:t xml:space="preserve">παρέμειναν αμετάβλητες σε τριμηνιαία βάση, σε </w:t>
      </w:r>
      <w:r w:rsidRPr="00305DE9">
        <w:rPr>
          <w:rFonts w:ascii="Segoe UI" w:eastAsia="MS Mincho" w:hAnsi="Segoe UI" w:cs="Segoe UI"/>
          <w:sz w:val="20"/>
          <w:szCs w:val="22"/>
          <w:lang w:eastAsia="el-GR" w:bidi="el-GR"/>
        </w:rPr>
        <w:t>€1,</w:t>
      </w:r>
      <w:r w:rsidR="00A425DC">
        <w:rPr>
          <w:rFonts w:ascii="Segoe UI" w:eastAsia="MS Mincho" w:hAnsi="Segoe UI" w:cs="Segoe UI"/>
          <w:sz w:val="20"/>
          <w:szCs w:val="22"/>
          <w:lang w:eastAsia="el-GR" w:bidi="el-GR"/>
        </w:rPr>
        <w:t>5</w:t>
      </w:r>
      <w:r w:rsidRPr="00305DE9">
        <w:rPr>
          <w:rFonts w:ascii="Segoe UI" w:eastAsia="MS Mincho" w:hAnsi="Segoe UI" w:cs="Segoe UI"/>
          <w:sz w:val="20"/>
          <w:szCs w:val="22"/>
          <w:lang w:eastAsia="el-GR" w:bidi="el-GR"/>
        </w:rPr>
        <w:t xml:space="preserve"> δισ.</w:t>
      </w:r>
      <w:r w:rsidR="00F553D1" w:rsidRPr="00F553D1">
        <w:rPr>
          <w:rFonts w:ascii="Segoe UI" w:eastAsia="MS Mincho" w:hAnsi="Segoe UI" w:cs="Segoe UI"/>
          <w:sz w:val="20"/>
          <w:szCs w:val="22"/>
          <w:lang w:eastAsia="el-GR" w:bidi="el-GR"/>
        </w:rPr>
        <w:t xml:space="preserve"> </w:t>
      </w:r>
    </w:p>
    <w:p w:rsidR="00ED38A5" w:rsidRPr="00ED38A5" w:rsidRDefault="00ED38A5" w:rsidP="00ED38A5">
      <w:pPr>
        <w:autoSpaceDE w:val="0"/>
        <w:autoSpaceDN w:val="0"/>
        <w:adjustRightInd w:val="0"/>
        <w:spacing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Ως αποτέλεσμα, ο </w:t>
      </w:r>
      <w:r w:rsidRPr="00ED38A5">
        <w:rPr>
          <w:rFonts w:ascii="Segoe UI" w:eastAsia="MS Mincho" w:hAnsi="Segoe UI" w:cs="Segoe UI"/>
          <w:b/>
          <w:sz w:val="20"/>
          <w:szCs w:val="22"/>
          <w:lang w:eastAsia="el-GR" w:bidi="el-GR"/>
        </w:rPr>
        <w:t>δείκτης Δανείων προς Καταθέσεις</w:t>
      </w:r>
      <w:r w:rsidRPr="00ED38A5">
        <w:rPr>
          <w:rFonts w:ascii="Segoe UI" w:eastAsia="MS Mincho" w:hAnsi="Segoe UI" w:cs="Segoe UI"/>
          <w:sz w:val="20"/>
          <w:szCs w:val="22"/>
          <w:lang w:eastAsia="el-GR" w:bidi="el-GR"/>
        </w:rPr>
        <w:t xml:space="preserve"> </w:t>
      </w:r>
      <w:r w:rsidR="00E31F22">
        <w:rPr>
          <w:rFonts w:ascii="Segoe UI" w:eastAsia="MS Mincho" w:hAnsi="Segoe UI" w:cs="Segoe UI"/>
          <w:sz w:val="20"/>
          <w:szCs w:val="22"/>
          <w:lang w:eastAsia="el-GR" w:bidi="el-GR"/>
        </w:rPr>
        <w:t xml:space="preserve">το 2020 </w:t>
      </w:r>
      <w:r w:rsidRPr="00ED38A5">
        <w:rPr>
          <w:rFonts w:ascii="Segoe UI" w:eastAsia="MS Mincho" w:hAnsi="Segoe UI" w:cs="Segoe UI"/>
          <w:sz w:val="20"/>
          <w:szCs w:val="22"/>
          <w:lang w:eastAsia="el-GR" w:bidi="el-GR"/>
        </w:rPr>
        <w:t xml:space="preserve">διαμορφώθηκε σε </w:t>
      </w:r>
      <w:r w:rsidR="00BF0EB7" w:rsidRPr="00BF0EB7">
        <w:rPr>
          <w:rFonts w:ascii="Segoe UI" w:eastAsia="MS Mincho" w:hAnsi="Segoe UI" w:cs="Segoe UI"/>
          <w:sz w:val="20"/>
          <w:szCs w:val="22"/>
          <w:lang w:eastAsia="el-GR" w:bidi="el-GR"/>
        </w:rPr>
        <w:t>54.</w:t>
      </w:r>
      <w:r w:rsidR="00BF0EB7" w:rsidRPr="00CB1B86">
        <w:rPr>
          <w:rFonts w:ascii="Segoe UI" w:eastAsia="MS Mincho" w:hAnsi="Segoe UI" w:cs="Segoe UI"/>
          <w:sz w:val="20"/>
          <w:szCs w:val="22"/>
          <w:lang w:eastAsia="el-GR" w:bidi="el-GR"/>
        </w:rPr>
        <w:t>3</w:t>
      </w:r>
      <w:r w:rsidRPr="00ED38A5">
        <w:rPr>
          <w:rFonts w:ascii="Segoe UI" w:eastAsia="MS Mincho" w:hAnsi="Segoe UI" w:cs="Segoe UI"/>
          <w:sz w:val="20"/>
          <w:szCs w:val="22"/>
          <w:lang w:eastAsia="el-GR" w:bidi="el-GR"/>
        </w:rPr>
        <w:t xml:space="preserve">% στην Ελλάδα και σε </w:t>
      </w:r>
      <w:r w:rsidR="00BF0EB7" w:rsidRPr="00CB1B86">
        <w:rPr>
          <w:rFonts w:ascii="Segoe UI" w:eastAsia="MS Mincho" w:hAnsi="Segoe UI" w:cs="Segoe UI"/>
          <w:sz w:val="20"/>
          <w:szCs w:val="22"/>
          <w:lang w:eastAsia="el-GR" w:bidi="el-GR"/>
        </w:rPr>
        <w:t>55.3</w:t>
      </w:r>
      <w:r w:rsidRPr="00ED38A5">
        <w:rPr>
          <w:rFonts w:ascii="Segoe UI" w:eastAsia="MS Mincho" w:hAnsi="Segoe UI" w:cs="Segoe UI"/>
          <w:sz w:val="20"/>
          <w:szCs w:val="22"/>
          <w:lang w:eastAsia="el-GR" w:bidi="el-GR"/>
        </w:rPr>
        <w:t>% σε επίπεδο Ομίλου.</w:t>
      </w:r>
      <w:r w:rsidR="00CB1B86" w:rsidRPr="00CB1B86">
        <w:rPr>
          <w:rFonts w:ascii="Segoe UI" w:eastAsia="MS Mincho" w:hAnsi="Segoe UI" w:cs="Segoe UI"/>
          <w:sz w:val="20"/>
          <w:szCs w:val="22"/>
          <w:lang w:eastAsia="el-GR" w:bidi="el-GR"/>
        </w:rPr>
        <w:t xml:space="preserve"> </w:t>
      </w:r>
      <w:r w:rsidR="00CB1B86">
        <w:rPr>
          <w:rFonts w:ascii="Segoe UI" w:eastAsia="MS Mincho" w:hAnsi="Segoe UI" w:cs="Segoe UI"/>
          <w:sz w:val="20"/>
          <w:szCs w:val="22"/>
          <w:lang w:eastAsia="el-GR" w:bidi="el-GR"/>
        </w:rPr>
        <w:t>Οι</w:t>
      </w:r>
      <w:r w:rsidR="00CB1B86" w:rsidRPr="00ED38A5">
        <w:rPr>
          <w:rFonts w:ascii="Segoe UI" w:eastAsia="MS Mincho" w:hAnsi="Segoe UI" w:cs="Segoe UI"/>
          <w:sz w:val="20"/>
          <w:szCs w:val="22"/>
          <w:lang w:eastAsia="el-GR" w:bidi="el-GR"/>
        </w:rPr>
        <w:t xml:space="preserve"> </w:t>
      </w:r>
      <w:r w:rsidR="00CB1B86" w:rsidRPr="00ED38A5">
        <w:rPr>
          <w:rFonts w:ascii="Segoe UI" w:eastAsia="MS Mincho" w:hAnsi="Segoe UI" w:cs="Segoe UI"/>
          <w:b/>
          <w:sz w:val="20"/>
          <w:szCs w:val="22"/>
          <w:lang w:eastAsia="el-GR" w:bidi="el-GR"/>
        </w:rPr>
        <w:t xml:space="preserve">δείκτες </w:t>
      </w:r>
      <w:r w:rsidR="00EF7454" w:rsidRPr="00EF7454">
        <w:rPr>
          <w:rFonts w:ascii="Segoe UI" w:eastAsia="MS Mincho" w:hAnsi="Segoe UI" w:cs="Segoe UI"/>
          <w:b/>
          <w:sz w:val="20"/>
          <w:szCs w:val="22"/>
          <w:lang w:eastAsia="el-GR" w:bidi="el-GR"/>
        </w:rPr>
        <w:t xml:space="preserve">Κάλυψης Ρευστότητας (LCR) </w:t>
      </w:r>
      <w:r w:rsidR="00EF7454" w:rsidRPr="00EF7454">
        <w:rPr>
          <w:rFonts w:ascii="Segoe UI" w:eastAsia="MS Mincho" w:hAnsi="Segoe UI" w:cs="Segoe UI"/>
          <w:sz w:val="20"/>
          <w:szCs w:val="22"/>
          <w:lang w:eastAsia="el-GR" w:bidi="el-GR"/>
        </w:rPr>
        <w:t>και</w:t>
      </w:r>
      <w:r w:rsidR="00EF7454" w:rsidRPr="00EF7454">
        <w:rPr>
          <w:rFonts w:ascii="Segoe UI" w:eastAsia="MS Mincho" w:hAnsi="Segoe UI" w:cs="Segoe UI"/>
          <w:b/>
          <w:sz w:val="20"/>
          <w:szCs w:val="22"/>
          <w:lang w:eastAsia="el-GR" w:bidi="el-GR"/>
        </w:rPr>
        <w:t xml:space="preserve"> Καθαρής Σταθερής Χρηματοδότησης (NSFR) </w:t>
      </w:r>
      <w:r w:rsidR="00CB1B86">
        <w:rPr>
          <w:rFonts w:ascii="Segoe UI" w:eastAsia="MS Mincho" w:hAnsi="Segoe UI" w:cs="Segoe UI"/>
          <w:sz w:val="20"/>
          <w:szCs w:val="22"/>
          <w:lang w:eastAsia="el-GR" w:bidi="el-GR"/>
        </w:rPr>
        <w:t xml:space="preserve">ανήλθαν σε 232% και 121% αντίστοιχα, </w:t>
      </w:r>
      <w:r w:rsidR="00CB1B86" w:rsidRPr="009E63C1">
        <w:rPr>
          <w:rFonts w:ascii="Segoe UI" w:eastAsia="MS Mincho" w:hAnsi="Segoe UI" w:cs="Segoe UI"/>
          <w:sz w:val="20"/>
          <w:szCs w:val="22"/>
          <w:lang w:eastAsia="el-GR" w:bidi="el-GR"/>
        </w:rPr>
        <w:t>υπερβαίνοντας κατά πολύ το ελάχιστο εποπτικό όριο</w:t>
      </w:r>
      <w:r w:rsidR="00CB1B86" w:rsidRPr="00ED38A5">
        <w:rPr>
          <w:rFonts w:ascii="Segoe UI" w:eastAsia="MS Mincho" w:hAnsi="Segoe UI" w:cs="Segoe UI"/>
          <w:sz w:val="20"/>
          <w:szCs w:val="22"/>
          <w:lang w:eastAsia="el-GR" w:bidi="el-GR"/>
        </w:rPr>
        <w:t>.</w:t>
      </w:r>
    </w:p>
    <w:p w:rsidR="00B701D7" w:rsidRDefault="00ED38A5" w:rsidP="00C4582D">
      <w:pPr>
        <w:autoSpaceDE w:val="0"/>
        <w:autoSpaceDN w:val="0"/>
        <w:adjustRightInd w:val="0"/>
        <w:spacing w:before="240"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Η </w:t>
      </w:r>
      <w:r w:rsidR="00E31F22" w:rsidRPr="00E31F22">
        <w:rPr>
          <w:rFonts w:ascii="Segoe UI" w:eastAsia="MS Mincho" w:hAnsi="Segoe UI" w:cs="Segoe UI"/>
          <w:sz w:val="20"/>
          <w:szCs w:val="22"/>
          <w:lang w:eastAsia="el-GR" w:bidi="el-GR"/>
        </w:rPr>
        <w:t>συμμετοχή</w:t>
      </w:r>
      <w:r w:rsidR="00E31F22">
        <w:rPr>
          <w:rFonts w:ascii="Segoe UI" w:eastAsia="MS Mincho" w:hAnsi="Segoe UI" w:cs="Segoe UI"/>
          <w:sz w:val="20"/>
          <w:szCs w:val="22"/>
          <w:lang w:eastAsia="el-GR" w:bidi="el-GR"/>
        </w:rPr>
        <w:t xml:space="preserve"> της </w:t>
      </w:r>
      <w:r w:rsidR="004E0884">
        <w:rPr>
          <w:rFonts w:ascii="Segoe UI" w:eastAsia="MS Mincho" w:hAnsi="Segoe UI" w:cs="Segoe UI"/>
          <w:sz w:val="20"/>
          <w:szCs w:val="22"/>
          <w:lang w:eastAsia="el-GR" w:bidi="el-GR"/>
        </w:rPr>
        <w:t>ΕΤΕ</w:t>
      </w:r>
      <w:r w:rsidR="00E31F22" w:rsidRPr="00E31F22">
        <w:rPr>
          <w:rFonts w:ascii="Segoe UI" w:eastAsia="MS Mincho" w:hAnsi="Segoe UI" w:cs="Segoe UI"/>
          <w:sz w:val="20"/>
          <w:szCs w:val="22"/>
          <w:lang w:eastAsia="el-GR" w:bidi="el-GR"/>
        </w:rPr>
        <w:t xml:space="preserve"> στο </w:t>
      </w:r>
      <w:r w:rsidR="00E31F22" w:rsidRPr="00E31F22">
        <w:rPr>
          <w:rFonts w:ascii="Segoe UI" w:eastAsia="MS Mincho" w:hAnsi="Segoe UI" w:cs="Segoe UI"/>
          <w:b/>
          <w:sz w:val="20"/>
          <w:szCs w:val="22"/>
          <w:lang w:eastAsia="el-GR" w:bidi="el-GR"/>
        </w:rPr>
        <w:t>Πρόγραμμα Συναλλαγών Μακροχρόνιας Αναχρηματοδότησης (TLTRO)</w:t>
      </w:r>
      <w:r w:rsidR="00E31F22" w:rsidRPr="00E31F22">
        <w:rPr>
          <w:rFonts w:ascii="Segoe UI" w:eastAsia="MS Mincho" w:hAnsi="Segoe UI" w:cs="Segoe UI"/>
          <w:sz w:val="20"/>
          <w:szCs w:val="22"/>
          <w:lang w:eastAsia="el-GR" w:bidi="el-GR"/>
        </w:rPr>
        <w:t xml:space="preserve"> </w:t>
      </w:r>
      <w:r w:rsidR="00E31F22">
        <w:rPr>
          <w:rFonts w:ascii="Segoe UI" w:eastAsia="MS Mincho" w:hAnsi="Segoe UI" w:cs="Segoe UI"/>
          <w:sz w:val="20"/>
          <w:szCs w:val="22"/>
          <w:lang w:eastAsia="el-GR" w:bidi="el-GR"/>
        </w:rPr>
        <w:t>παρέμεινε αμετάβλητη</w:t>
      </w:r>
      <w:r w:rsidR="002F4367">
        <w:rPr>
          <w:rFonts w:ascii="Segoe UI" w:eastAsia="MS Mincho" w:hAnsi="Segoe UI" w:cs="Segoe UI"/>
          <w:sz w:val="20"/>
          <w:szCs w:val="22"/>
          <w:lang w:eastAsia="el-GR" w:bidi="el-GR"/>
        </w:rPr>
        <w:t xml:space="preserve"> </w:t>
      </w:r>
      <w:r w:rsidR="00E31F22">
        <w:rPr>
          <w:rFonts w:ascii="Segoe UI" w:eastAsia="MS Mincho" w:hAnsi="Segoe UI" w:cs="Segoe UI"/>
          <w:sz w:val="20"/>
          <w:szCs w:val="22"/>
          <w:lang w:eastAsia="el-GR" w:bidi="el-GR"/>
        </w:rPr>
        <w:t>σ</w:t>
      </w:r>
      <w:r w:rsidR="009617EA">
        <w:rPr>
          <w:rFonts w:ascii="Segoe UI" w:eastAsia="MS Mincho" w:hAnsi="Segoe UI" w:cs="Segoe UI"/>
          <w:sz w:val="20"/>
          <w:szCs w:val="22"/>
          <w:lang w:eastAsia="el-GR" w:bidi="el-GR"/>
        </w:rPr>
        <w:t>τα</w:t>
      </w:r>
      <w:r w:rsidR="00E31F22">
        <w:rPr>
          <w:rFonts w:ascii="Segoe UI" w:eastAsia="MS Mincho" w:hAnsi="Segoe UI" w:cs="Segoe UI"/>
          <w:sz w:val="20"/>
          <w:szCs w:val="22"/>
          <w:lang w:eastAsia="el-GR" w:bidi="el-GR"/>
        </w:rPr>
        <w:t xml:space="preserve"> </w:t>
      </w:r>
      <w:r w:rsidRPr="00ED38A5">
        <w:rPr>
          <w:rFonts w:ascii="Segoe UI" w:eastAsia="MS Mincho" w:hAnsi="Segoe UI" w:cs="Segoe UI"/>
          <w:sz w:val="20"/>
          <w:szCs w:val="22"/>
          <w:lang w:eastAsia="el-GR" w:bidi="el-GR"/>
        </w:rPr>
        <w:t>€</w:t>
      </w:r>
      <w:r w:rsidR="00695851">
        <w:rPr>
          <w:rFonts w:ascii="Segoe UI" w:eastAsia="MS Mincho" w:hAnsi="Segoe UI" w:cs="Segoe UI"/>
          <w:sz w:val="20"/>
          <w:szCs w:val="22"/>
          <w:lang w:eastAsia="el-GR" w:bidi="el-GR"/>
        </w:rPr>
        <w:t>10,5</w:t>
      </w:r>
      <w:r w:rsidRPr="00ED38A5">
        <w:rPr>
          <w:rFonts w:ascii="Segoe UI" w:eastAsia="MS Mincho" w:hAnsi="Segoe UI" w:cs="Segoe UI"/>
          <w:sz w:val="20"/>
          <w:szCs w:val="22"/>
          <w:lang w:eastAsia="el-GR" w:bidi="el-GR"/>
        </w:rPr>
        <w:t xml:space="preserve"> δισ. </w:t>
      </w:r>
      <w:r w:rsidR="00A81818">
        <w:rPr>
          <w:rFonts w:ascii="Segoe UI" w:eastAsia="MS Mincho" w:hAnsi="Segoe UI" w:cs="Segoe UI"/>
          <w:sz w:val="20"/>
          <w:szCs w:val="22"/>
          <w:lang w:eastAsia="el-GR" w:bidi="el-GR"/>
        </w:rPr>
        <w:t xml:space="preserve">το </w:t>
      </w:r>
      <w:r w:rsidR="006E766F">
        <w:rPr>
          <w:rFonts w:ascii="Segoe UI" w:eastAsia="MS Mincho" w:hAnsi="Segoe UI" w:cs="Segoe UI"/>
          <w:sz w:val="20"/>
          <w:szCs w:val="22"/>
          <w:lang w:eastAsia="el-GR" w:bidi="el-GR"/>
        </w:rPr>
        <w:t>Δ</w:t>
      </w:r>
      <w:r w:rsidR="00695851" w:rsidRPr="00695851">
        <w:rPr>
          <w:rFonts w:ascii="Segoe UI" w:eastAsia="MS Mincho" w:hAnsi="Segoe UI" w:cs="Segoe UI"/>
          <w:sz w:val="20"/>
          <w:szCs w:val="22"/>
          <w:lang w:eastAsia="el-GR" w:bidi="el-GR"/>
        </w:rPr>
        <w:t>’ τρίμηνο 2020</w:t>
      </w:r>
      <w:r w:rsidR="00695851">
        <w:rPr>
          <w:rFonts w:ascii="Segoe UI" w:eastAsia="MS Mincho" w:hAnsi="Segoe UI" w:cs="Segoe UI"/>
          <w:sz w:val="20"/>
          <w:szCs w:val="22"/>
          <w:lang w:eastAsia="el-GR" w:bidi="el-GR"/>
        </w:rPr>
        <w:t xml:space="preserve">, </w:t>
      </w:r>
      <w:r w:rsidR="00B701D7" w:rsidRPr="00B701D7">
        <w:rPr>
          <w:rFonts w:ascii="Segoe UI" w:eastAsia="MS Mincho" w:hAnsi="Segoe UI" w:cs="Segoe UI"/>
          <w:sz w:val="20"/>
          <w:szCs w:val="22"/>
          <w:lang w:eastAsia="el-GR" w:bidi="el-GR"/>
        </w:rPr>
        <w:t xml:space="preserve">με την </w:t>
      </w:r>
      <w:r w:rsidR="00670BBF">
        <w:rPr>
          <w:rFonts w:ascii="Segoe UI" w:eastAsia="MS Mincho" w:hAnsi="Segoe UI" w:cs="Segoe UI"/>
          <w:sz w:val="20"/>
          <w:szCs w:val="22"/>
          <w:lang w:eastAsia="el-GR" w:bidi="el-GR"/>
        </w:rPr>
        <w:t xml:space="preserve">καθαρή </w:t>
      </w:r>
      <w:r w:rsidR="00B701D7" w:rsidRPr="00B701D7">
        <w:rPr>
          <w:rFonts w:ascii="Segoe UI" w:eastAsia="MS Mincho" w:hAnsi="Segoe UI" w:cs="Segoe UI"/>
          <w:sz w:val="20"/>
          <w:szCs w:val="22"/>
          <w:lang w:eastAsia="el-GR" w:bidi="el-GR"/>
        </w:rPr>
        <w:t>χρηματοδότηση μέσω συμφωνιών επαναγοράς (repos</w:t>
      </w:r>
      <w:r w:rsidR="00903954" w:rsidRPr="00903954">
        <w:rPr>
          <w:rFonts w:ascii="Segoe UI" w:eastAsia="MS Mincho" w:hAnsi="Segoe UI" w:cs="Segoe UI"/>
          <w:sz w:val="20"/>
          <w:szCs w:val="22"/>
          <w:lang w:eastAsia="el-GR" w:bidi="el-GR"/>
        </w:rPr>
        <w:t xml:space="preserve">, </w:t>
      </w:r>
      <w:r w:rsidR="00903954">
        <w:rPr>
          <w:rFonts w:ascii="Segoe UI" w:eastAsia="MS Mincho" w:hAnsi="Segoe UI" w:cs="Segoe UI"/>
          <w:sz w:val="20"/>
          <w:szCs w:val="22"/>
          <w:lang w:val="en-US" w:eastAsia="el-GR" w:bidi="el-GR"/>
        </w:rPr>
        <w:t>net</w:t>
      </w:r>
      <w:r w:rsidR="00B701D7" w:rsidRPr="00B701D7">
        <w:rPr>
          <w:rFonts w:ascii="Segoe UI" w:eastAsia="MS Mincho" w:hAnsi="Segoe UI" w:cs="Segoe UI"/>
          <w:sz w:val="20"/>
          <w:szCs w:val="22"/>
          <w:lang w:eastAsia="el-GR" w:bidi="el-GR"/>
        </w:rPr>
        <w:t>)</w:t>
      </w:r>
      <w:r w:rsidR="00B701D7">
        <w:rPr>
          <w:rFonts w:ascii="Segoe UI" w:eastAsia="MS Mincho" w:hAnsi="Segoe UI" w:cs="Segoe UI"/>
          <w:sz w:val="20"/>
          <w:szCs w:val="22"/>
          <w:lang w:eastAsia="el-GR" w:bidi="el-GR"/>
        </w:rPr>
        <w:t xml:space="preserve"> </w:t>
      </w:r>
      <w:r w:rsidR="00B701D7" w:rsidRPr="00B701D7">
        <w:rPr>
          <w:rFonts w:ascii="Segoe UI" w:eastAsia="MS Mincho" w:hAnsi="Segoe UI" w:cs="Segoe UI"/>
          <w:sz w:val="20"/>
          <w:szCs w:val="22"/>
          <w:lang w:eastAsia="el-GR" w:bidi="el-GR"/>
        </w:rPr>
        <w:t xml:space="preserve">να ανέρχεται σε €0,3 δισ. </w:t>
      </w:r>
      <w:r w:rsidR="00670BBF" w:rsidRPr="00670BBF">
        <w:rPr>
          <w:rFonts w:ascii="Segoe UI" w:eastAsia="MS Mincho" w:hAnsi="Segoe UI" w:cs="Segoe UI"/>
          <w:sz w:val="20"/>
          <w:szCs w:val="22"/>
          <w:lang w:eastAsia="el-GR" w:bidi="el-GR"/>
        </w:rPr>
        <w:t xml:space="preserve">Οι ευνοϊκοί όροι χρηματοδότησης του προγράμματος TLTRO III, σε συνδυασμό με την ανατιμολόγηση των καταθέσεων προθεσμίας κατά 41μ.β. σε </w:t>
      </w:r>
      <w:r w:rsidR="009617EA">
        <w:rPr>
          <w:rFonts w:ascii="Segoe UI" w:eastAsia="MS Mincho" w:hAnsi="Segoe UI" w:cs="Segoe UI"/>
          <w:sz w:val="20"/>
          <w:szCs w:val="22"/>
          <w:lang w:eastAsia="el-GR" w:bidi="el-GR"/>
        </w:rPr>
        <w:t>ετήσια βάση στις</w:t>
      </w:r>
      <w:r w:rsidR="00670BBF" w:rsidRPr="00670BBF">
        <w:rPr>
          <w:rFonts w:ascii="Segoe UI" w:eastAsia="MS Mincho" w:hAnsi="Segoe UI" w:cs="Segoe UI"/>
          <w:sz w:val="20"/>
          <w:szCs w:val="22"/>
          <w:lang w:eastAsia="el-GR" w:bidi="el-GR"/>
        </w:rPr>
        <w:t xml:space="preserve"> 23μ.β το Δ’ τρίμηνο 2020, είχαν ως αποτέλεσμα τη σημαντική βελτίωση του κόστους χρηματοδότησης της Τράπεζας, το οποίο έφτασε σε μηδενικά </w:t>
      </w:r>
      <w:r w:rsidR="0064654A" w:rsidRPr="00670BBF">
        <w:rPr>
          <w:rFonts w:ascii="Segoe UI" w:eastAsia="MS Mincho" w:hAnsi="Segoe UI" w:cs="Segoe UI"/>
          <w:sz w:val="20"/>
          <w:szCs w:val="22"/>
          <w:lang w:eastAsia="el-GR" w:bidi="el-GR"/>
        </w:rPr>
        <w:t xml:space="preserve">σχεδόν </w:t>
      </w:r>
      <w:r w:rsidR="00670BBF" w:rsidRPr="00670BBF">
        <w:rPr>
          <w:rFonts w:ascii="Segoe UI" w:eastAsia="MS Mincho" w:hAnsi="Segoe UI" w:cs="Segoe UI"/>
          <w:sz w:val="20"/>
          <w:szCs w:val="22"/>
          <w:lang w:eastAsia="el-GR" w:bidi="el-GR"/>
        </w:rPr>
        <w:t>επίπεδα το Δ’ τρίμηνο 2020 (7μ.β.) έναντι 41μ.β. το Δ’ τρίμηνο 2019, ενισχύοντας έτσι τα καθαρά έσοδα από τόκους.</w:t>
      </w:r>
    </w:p>
    <w:p w:rsidR="009450BE"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r w:rsidRPr="000F701B">
        <w:rPr>
          <w:rFonts w:ascii="Segoe UI" w:eastAsia="Segoe UI" w:hAnsi="Segoe UI" w:cs="Segoe UI"/>
          <w:b/>
          <w:color w:val="008080"/>
          <w:kern w:val="24"/>
          <w:sz w:val="20"/>
          <w:lang w:eastAsia="el-GR"/>
        </w:rPr>
        <w:t>Χρηματοδότηση από το Ευρωσύστημα (€ δισ.)</w:t>
      </w:r>
      <w:r w:rsidR="00DC2CB0" w:rsidRPr="00DC2CB0">
        <w:rPr>
          <w:noProof/>
          <w:lang w:eastAsia="el-GR"/>
        </w:rPr>
        <w:t xml:space="preserve"> </w:t>
      </w:r>
    </w:p>
    <w:p w:rsidR="00E55AED" w:rsidRPr="00EE40A0" w:rsidRDefault="000A7D9C" w:rsidP="0016376C">
      <w:pPr>
        <w:autoSpaceDE w:val="0"/>
        <w:autoSpaceDN w:val="0"/>
        <w:adjustRightInd w:val="0"/>
        <w:spacing w:after="160" w:line="320" w:lineRule="atLeast"/>
        <w:rPr>
          <w:rFonts w:ascii="Segoe UI" w:hAnsi="Segoe UI" w:cs="Segoe UI"/>
          <w:b/>
          <w:color w:val="000000"/>
          <w:sz w:val="20"/>
          <w:lang w:val="en-US"/>
        </w:rPr>
      </w:pPr>
      <w:r w:rsidRPr="004578EA">
        <w:rPr>
          <w:noProof/>
          <w:lang w:eastAsia="el-GR"/>
        </w:rPr>
        <mc:AlternateContent>
          <mc:Choice Requires="wps">
            <w:drawing>
              <wp:anchor distT="0" distB="0" distL="114300" distR="114300" simplePos="0" relativeHeight="251709952" behindDoc="0" locked="0" layoutInCell="1" allowOverlap="1" wp14:anchorId="181C17A6" wp14:editId="08C3FA06">
                <wp:simplePos x="0" y="0"/>
                <wp:positionH relativeFrom="page">
                  <wp:posOffset>6265147</wp:posOffset>
                </wp:positionH>
                <wp:positionV relativeFrom="paragraph">
                  <wp:posOffset>2335062</wp:posOffset>
                </wp:positionV>
                <wp:extent cx="1007745" cy="461645"/>
                <wp:effectExtent l="0" t="0" r="20955" b="109855"/>
                <wp:wrapNone/>
                <wp:docPr id="7"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461645"/>
                        </a:xfrm>
                        <a:prstGeom prst="wedgeRectCallout">
                          <a:avLst>
                            <a:gd name="adj1" fmla="val -24087"/>
                            <a:gd name="adj2" fmla="val 67138"/>
                          </a:avLst>
                        </a:prstGeom>
                        <a:solidFill>
                          <a:sysClr val="window" lastClr="FFFFFF"/>
                        </a:solidFill>
                        <a:ln w="9525" cap="flat" cmpd="sng" algn="ctr">
                          <a:solidFill>
                            <a:sysClr val="window" lastClr="FFFFFF">
                              <a:lumMod val="50000"/>
                            </a:sysClr>
                          </a:solidFill>
                          <a:prstDash val="solid"/>
                        </a:ln>
                        <a:effectLst/>
                      </wps:spPr>
                      <wps:txbx>
                        <w:txbxContent>
                          <w:p w:rsidR="00817D20" w:rsidRPr="00F23804" w:rsidRDefault="00817D20" w:rsidP="000A7D9C">
                            <w:pPr>
                              <w:pStyle w:val="Web"/>
                              <w:spacing w:before="0" w:beforeAutospacing="0" w:after="0" w:afterAutospacing="0"/>
                              <w:rPr>
                                <w:rFonts w:ascii="Segoe UI" w:hAnsi="Segoe UI" w:cs="Segoe UI"/>
                                <w:color w:val="000000"/>
                                <w:sz w:val="8"/>
                                <w:szCs w:val="14"/>
                              </w:rPr>
                            </w:pPr>
                            <w:r w:rsidRPr="000A7D9C">
                              <w:rPr>
                                <w:rFonts w:ascii="Segoe UI" w:hAnsi="Segoe UI" w:cs="Segoe UI"/>
                                <w:color w:val="000000"/>
                                <w:sz w:val="8"/>
                                <w:szCs w:val="14"/>
                              </w:rPr>
                              <w:t>Όψεως &amp; Ταμιευτηρίου</w:t>
                            </w:r>
                            <w:r>
                              <w:rPr>
                                <w:rFonts w:ascii="Segoe UI" w:hAnsi="Segoe UI" w:cs="Segoe UI"/>
                                <w:color w:val="000000"/>
                                <w:sz w:val="8"/>
                                <w:szCs w:val="14"/>
                              </w:rPr>
                              <w:t>: €6,</w:t>
                            </w:r>
                            <w:r w:rsidRPr="00F23804">
                              <w:rPr>
                                <w:rFonts w:ascii="Segoe UI" w:hAnsi="Segoe UI" w:cs="Segoe UI"/>
                                <w:color w:val="000000"/>
                                <w:sz w:val="8"/>
                                <w:szCs w:val="14"/>
                              </w:rPr>
                              <w:t xml:space="preserve">1 δισ. </w:t>
                            </w:r>
                          </w:p>
                          <w:p w:rsidR="00817D20" w:rsidRPr="000A7D9C" w:rsidRDefault="00817D20" w:rsidP="000A7D9C">
                            <w:pPr>
                              <w:pStyle w:val="Web"/>
                              <w:spacing w:before="0" w:beforeAutospacing="0" w:after="0" w:afterAutospacing="0"/>
                              <w:rPr>
                                <w:rFonts w:ascii="Segoe UI" w:hAnsi="Segoe UI" w:cs="Segoe UI"/>
                                <w:color w:val="000000"/>
                                <w:sz w:val="8"/>
                                <w:szCs w:val="14"/>
                              </w:rPr>
                            </w:pPr>
                            <w:r w:rsidRPr="000A7D9C">
                              <w:rPr>
                                <w:rFonts w:ascii="Segoe UI" w:hAnsi="Segoe UI" w:cs="Segoe UI"/>
                                <w:color w:val="000000"/>
                                <w:sz w:val="8"/>
                                <w:szCs w:val="14"/>
                              </w:rPr>
                              <w:t>Προθεσμίας</w:t>
                            </w:r>
                            <w:r>
                              <w:rPr>
                                <w:rFonts w:ascii="Segoe UI" w:hAnsi="Segoe UI" w:cs="Segoe UI"/>
                                <w:color w:val="000000"/>
                                <w:sz w:val="8"/>
                                <w:szCs w:val="14"/>
                              </w:rPr>
                              <w:t>: -€1,</w:t>
                            </w:r>
                            <w:r w:rsidRPr="00F23804">
                              <w:rPr>
                                <w:rFonts w:ascii="Segoe UI" w:hAnsi="Segoe UI" w:cs="Segoe UI"/>
                                <w:color w:val="000000"/>
                                <w:sz w:val="8"/>
                                <w:szCs w:val="14"/>
                              </w:rPr>
                              <w:t>4</w:t>
                            </w:r>
                            <w:r w:rsidRPr="000A7D9C">
                              <w:rPr>
                                <w:rFonts w:ascii="Segoe UI" w:hAnsi="Segoe UI" w:cs="Segoe UI"/>
                                <w:color w:val="000000"/>
                                <w:sz w:val="8"/>
                                <w:szCs w:val="14"/>
                              </w:rPr>
                              <w:t xml:space="preserve"> δισ.</w:t>
                            </w:r>
                          </w:p>
                          <w:p w:rsidR="00817D20" w:rsidRPr="00F23804" w:rsidRDefault="00817D20" w:rsidP="000A7D9C">
                            <w:pPr>
                              <w:pStyle w:val="Web"/>
                              <w:spacing w:before="0" w:beforeAutospacing="0" w:after="0" w:afterAutospacing="0"/>
                              <w:rPr>
                                <w:rFonts w:ascii="Segoe UI" w:hAnsi="Segoe UI" w:cs="Segoe UI"/>
                                <w:color w:val="000000"/>
                                <w:sz w:val="2"/>
                                <w:szCs w:val="6"/>
                              </w:rPr>
                            </w:pPr>
                            <w:r w:rsidRPr="00F23804">
                              <w:rPr>
                                <w:rFonts w:ascii="Segoe UI" w:hAnsi="Segoe UI" w:cs="Segoe UI"/>
                                <w:color w:val="000000"/>
                                <w:sz w:val="2"/>
                                <w:szCs w:val="6"/>
                              </w:rPr>
                              <w:t xml:space="preserve"> </w:t>
                            </w:r>
                          </w:p>
                          <w:p w:rsidR="00817D20" w:rsidRPr="000A7D9C" w:rsidRDefault="00817D20" w:rsidP="000A7D9C">
                            <w:pPr>
                              <w:pStyle w:val="Web"/>
                              <w:spacing w:before="0" w:beforeAutospacing="0" w:after="0" w:afterAutospacing="0"/>
                              <w:rPr>
                                <w:rFonts w:ascii="Segoe UI" w:hAnsi="Segoe UI" w:cs="Segoe UI"/>
                                <w:color w:val="000000"/>
                                <w:sz w:val="8"/>
                                <w:szCs w:val="14"/>
                              </w:rPr>
                            </w:pPr>
                            <w:r w:rsidRPr="009E1779">
                              <w:rPr>
                                <w:rFonts w:ascii="Segoe UI" w:hAnsi="Segoe UI" w:cs="Segoe UI"/>
                                <w:i/>
                                <w:color w:val="000000"/>
                                <w:sz w:val="8"/>
                                <w:szCs w:val="14"/>
                              </w:rPr>
                              <w:t>εκ των οποίων</w:t>
                            </w:r>
                            <w:r w:rsidRPr="000A7D9C">
                              <w:rPr>
                                <w:rFonts w:ascii="Segoe UI" w:hAnsi="Segoe UI" w:cs="Segoe UI"/>
                                <w:color w:val="000000"/>
                                <w:sz w:val="8"/>
                                <w:szCs w:val="14"/>
                              </w:rPr>
                              <w:t>:</w:t>
                            </w:r>
                          </w:p>
                          <w:p w:rsidR="00817D20" w:rsidRPr="000A7D9C" w:rsidRDefault="00817D20" w:rsidP="000A7D9C">
                            <w:pPr>
                              <w:pStyle w:val="Web"/>
                              <w:spacing w:before="0" w:beforeAutospacing="0" w:after="0" w:afterAutospacing="0"/>
                              <w:rPr>
                                <w:rFonts w:ascii="Segoe UI" w:hAnsi="Segoe UI" w:cs="Segoe UI"/>
                                <w:color w:val="000000"/>
                                <w:sz w:val="8"/>
                                <w:szCs w:val="14"/>
                              </w:rPr>
                            </w:pPr>
                            <w:r>
                              <w:rPr>
                                <w:rFonts w:ascii="Segoe UI" w:hAnsi="Segoe UI" w:cs="Segoe UI"/>
                                <w:color w:val="000000"/>
                                <w:sz w:val="8"/>
                                <w:szCs w:val="14"/>
                              </w:rPr>
                              <w:t>Ιδιώτες (</w:t>
                            </w:r>
                            <w:r>
                              <w:rPr>
                                <w:rFonts w:ascii="Segoe UI" w:hAnsi="Segoe UI" w:cs="Segoe UI"/>
                                <w:color w:val="000000"/>
                                <w:sz w:val="8"/>
                                <w:szCs w:val="14"/>
                                <w:lang w:val="en-US"/>
                              </w:rPr>
                              <w:t>p</w:t>
                            </w:r>
                            <w:r w:rsidRPr="000A7D9C">
                              <w:rPr>
                                <w:rFonts w:ascii="Segoe UI" w:hAnsi="Segoe UI" w:cs="Segoe UI"/>
                                <w:color w:val="000000"/>
                                <w:sz w:val="8"/>
                                <w:szCs w:val="14"/>
                                <w:lang w:val="en-US"/>
                              </w:rPr>
                              <w:t>remium</w:t>
                            </w:r>
                            <w:r w:rsidRPr="000A7D9C">
                              <w:rPr>
                                <w:rFonts w:ascii="Segoe UI" w:hAnsi="Segoe UI" w:cs="Segoe UI"/>
                                <w:color w:val="000000"/>
                                <w:sz w:val="8"/>
                                <w:szCs w:val="14"/>
                              </w:rPr>
                              <w:t xml:space="preserve"> &amp; </w:t>
                            </w:r>
                            <w:r w:rsidRPr="000A7D9C">
                              <w:rPr>
                                <w:rFonts w:ascii="Segoe UI" w:hAnsi="Segoe UI" w:cs="Segoe UI"/>
                                <w:color w:val="000000"/>
                                <w:sz w:val="8"/>
                                <w:szCs w:val="14"/>
                                <w:lang w:val="en-US"/>
                              </w:rPr>
                              <w:t>mass</w:t>
                            </w:r>
                            <w:r>
                              <w:rPr>
                                <w:rFonts w:ascii="Segoe UI" w:hAnsi="Segoe UI" w:cs="Segoe UI"/>
                                <w:color w:val="000000"/>
                                <w:sz w:val="8"/>
                                <w:szCs w:val="14"/>
                              </w:rPr>
                              <w:t>): €3,</w:t>
                            </w:r>
                            <w:r w:rsidRPr="000A7D9C">
                              <w:rPr>
                                <w:rFonts w:ascii="Segoe UI" w:hAnsi="Segoe UI" w:cs="Segoe UI"/>
                                <w:color w:val="000000"/>
                                <w:sz w:val="8"/>
                                <w:szCs w:val="14"/>
                              </w:rPr>
                              <w:t xml:space="preserve">6 </w:t>
                            </w:r>
                            <w:r>
                              <w:rPr>
                                <w:rFonts w:ascii="Segoe UI" w:hAnsi="Segoe UI" w:cs="Segoe UI"/>
                                <w:color w:val="000000"/>
                                <w:sz w:val="8"/>
                                <w:szCs w:val="14"/>
                              </w:rPr>
                              <w:t>δισ.</w:t>
                            </w:r>
                          </w:p>
                          <w:p w:rsidR="00817D20" w:rsidRPr="000A7D9C" w:rsidRDefault="00817D20" w:rsidP="000A7D9C">
                            <w:pPr>
                              <w:pStyle w:val="Web"/>
                              <w:spacing w:before="0" w:beforeAutospacing="0" w:after="0" w:afterAutospacing="0"/>
                              <w:rPr>
                                <w:rFonts w:ascii="Segoe UI" w:hAnsi="Segoe UI" w:cs="Segoe UI"/>
                                <w:color w:val="000000"/>
                                <w:sz w:val="8"/>
                                <w:szCs w:val="14"/>
                              </w:rPr>
                            </w:pPr>
                            <w:r>
                              <w:rPr>
                                <w:rFonts w:ascii="Segoe UI" w:hAnsi="Segoe UI" w:cs="Segoe UI"/>
                                <w:color w:val="000000"/>
                                <w:sz w:val="8"/>
                                <w:szCs w:val="14"/>
                              </w:rPr>
                              <w:t>Επιχειρήσεις: €1,</w:t>
                            </w:r>
                            <w:r w:rsidRPr="000A7D9C">
                              <w:rPr>
                                <w:rFonts w:ascii="Segoe UI" w:hAnsi="Segoe UI" w:cs="Segoe UI"/>
                                <w:color w:val="000000"/>
                                <w:sz w:val="8"/>
                                <w:szCs w:val="14"/>
                              </w:rPr>
                              <w:t>2</w:t>
                            </w:r>
                            <w:r>
                              <w:rPr>
                                <w:rFonts w:ascii="Segoe UI" w:hAnsi="Segoe UI" w:cs="Segoe UI"/>
                                <w:color w:val="000000"/>
                                <w:sz w:val="8"/>
                                <w:szCs w:val="14"/>
                              </w:rPr>
                              <w:t xml:space="preserve">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81C17A6" id="Rectangular Callout 18" o:spid="_x0000_s1040" type="#_x0000_t61" style="position:absolute;margin-left:493.3pt;margin-top:183.85pt;width:79.35pt;height:36.3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dpNAIAAI0EAAAOAAAAZHJzL2Uyb0RvYy54bWysVNuO0zAQfUfiHyy/b5OUbluipiu0VXlZ&#10;YMXCB0xt5wK+YTtN+/eM3bS08IIQebBsz8zxOXPJ6uGgJNkL5zujK1pMckqEZoZ3uqno1y/buyUl&#10;PoDmII0WFT0KTx/Wr1+tBluKqWmN5MIRBNG+HGxF2xBsmWWetUKBnxgrNBpr4xQEPLom4w4GRFcy&#10;m+b5PBuM49YZJrzH283JSNcJv64FC5/q2otAZEWRW0irS+surtl6BWXjwLYdG2nAP7BQ0Gl89AK1&#10;gQCkd90fUKpjznhThwkzKjN13TGRNKCaIv9NzUsLViQtmBxvL2ny/w+Wfdw/O9Lxii4o0aCwRJ8x&#10;aaCbXoIjjyCl6QMpljFTg/UlBrzYZxe1evtk2HePhuzGEg9+9DnUTkVfVEoOKe3HS9rFIRCGl0We&#10;Lxaze0oY2mbzYo77CArlOdo6H94Lo0jcVHQQvBGR5kgvZR72Tz6kEvBRCPBvBSW1kljRPUhyN53l&#10;y8VY8iun6bXTfFG8SWLx+RESd2cCSbaRHd92UqbD0T9KRxAeaXWam4ESCT7gZUW36Ru1+OswqclQ&#10;0bf306gasO9rCQG3ymIlvG4oAdngQLHgkribYP8Xb0ZuslcfDD9xu8/xOzNJ8SnBN7hR5AZ8e4pI&#10;pjFC6ogn0jxhls8VPxU5ljscdofURcUshsSrneFHbK0BZwsl/ejBCVSlWWswM2dd2rzrg6m7C+Qp&#10;auwo7PnEcpzPOFTX5+T16y+y/gkAAP//AwBQSwMEFAAGAAgAAAAhAFhx/2XiAAAADAEAAA8AAABk&#10;cnMvZG93bnJldi54bWxMj0FPg0AQhe8m/ofNmHizSy2lFRmaWkTTY9GLty2MQMrOUnbb4r93e9Lj&#10;5H1575tkNepOnGmwrWGE6SQAQVyaquUa4fMjf1iCsE5xpTrDhPBDFlbp7U2i4spceEfnwtXCl7CN&#10;FULjXB9LacuGtLIT0xP77NsMWjl/DrWsBnXx5bqTj0EQSa1a9guN6mnTUHkoThohm+fb983b16vJ&#10;ZLbb5of25dgXiPd34/oZhKPR/cFw1ffqkHqnvTlxZUWH8LSMIo8izKLFAsSVmIbzGYg9QhgGIcg0&#10;kf+fSH8BAAD//wMAUEsBAi0AFAAGAAgAAAAhALaDOJL+AAAA4QEAABMAAAAAAAAAAAAAAAAAAAAA&#10;AFtDb250ZW50X1R5cGVzXS54bWxQSwECLQAUAAYACAAAACEAOP0h/9YAAACUAQAACwAAAAAAAAAA&#10;AAAAAAAvAQAAX3JlbHMvLnJlbHNQSwECLQAUAAYACAAAACEAL2PXaTQCAACNBAAADgAAAAAAAAAA&#10;AAAAAAAuAgAAZHJzL2Uyb0RvYy54bWxQSwECLQAUAAYACAAAACEAWHH/ZeIAAAAMAQAADwAAAAAA&#10;AAAAAAAAAACOBAAAZHJzL2Rvd25yZXYueG1sUEsFBgAAAAAEAAQA8wAAAJ0FAAAAAA==&#10;" adj="5597,25302" fillcolor="window" strokecolor="#7f7f7f">
                <v:path arrowok="t"/>
                <v:textbox>
                  <w:txbxContent>
                    <w:p w:rsidR="00817D20" w:rsidRPr="00F23804" w:rsidRDefault="00817D20" w:rsidP="000A7D9C">
                      <w:pPr>
                        <w:pStyle w:val="Web"/>
                        <w:spacing w:before="0" w:beforeAutospacing="0" w:after="0" w:afterAutospacing="0"/>
                        <w:rPr>
                          <w:rFonts w:ascii="Segoe UI" w:hAnsi="Segoe UI" w:cs="Segoe UI"/>
                          <w:color w:val="000000"/>
                          <w:sz w:val="8"/>
                          <w:szCs w:val="14"/>
                        </w:rPr>
                      </w:pPr>
                      <w:r w:rsidRPr="000A7D9C">
                        <w:rPr>
                          <w:rFonts w:ascii="Segoe UI" w:hAnsi="Segoe UI" w:cs="Segoe UI"/>
                          <w:color w:val="000000"/>
                          <w:sz w:val="8"/>
                          <w:szCs w:val="14"/>
                        </w:rPr>
                        <w:t>Όψεως &amp; Ταμιευτηρίου</w:t>
                      </w:r>
                      <w:r>
                        <w:rPr>
                          <w:rFonts w:ascii="Segoe UI" w:hAnsi="Segoe UI" w:cs="Segoe UI"/>
                          <w:color w:val="000000"/>
                          <w:sz w:val="8"/>
                          <w:szCs w:val="14"/>
                        </w:rPr>
                        <w:t>: €6,</w:t>
                      </w:r>
                      <w:r w:rsidRPr="00F23804">
                        <w:rPr>
                          <w:rFonts w:ascii="Segoe UI" w:hAnsi="Segoe UI" w:cs="Segoe UI"/>
                          <w:color w:val="000000"/>
                          <w:sz w:val="8"/>
                          <w:szCs w:val="14"/>
                        </w:rPr>
                        <w:t xml:space="preserve">1 δισ. </w:t>
                      </w:r>
                    </w:p>
                    <w:p w:rsidR="00817D20" w:rsidRPr="000A7D9C" w:rsidRDefault="00817D20" w:rsidP="000A7D9C">
                      <w:pPr>
                        <w:pStyle w:val="Web"/>
                        <w:spacing w:before="0" w:beforeAutospacing="0" w:after="0" w:afterAutospacing="0"/>
                        <w:rPr>
                          <w:rFonts w:ascii="Segoe UI" w:hAnsi="Segoe UI" w:cs="Segoe UI"/>
                          <w:color w:val="000000"/>
                          <w:sz w:val="8"/>
                          <w:szCs w:val="14"/>
                        </w:rPr>
                      </w:pPr>
                      <w:r w:rsidRPr="000A7D9C">
                        <w:rPr>
                          <w:rFonts w:ascii="Segoe UI" w:hAnsi="Segoe UI" w:cs="Segoe UI"/>
                          <w:color w:val="000000"/>
                          <w:sz w:val="8"/>
                          <w:szCs w:val="14"/>
                        </w:rPr>
                        <w:t>Προθεσμίας</w:t>
                      </w:r>
                      <w:r>
                        <w:rPr>
                          <w:rFonts w:ascii="Segoe UI" w:hAnsi="Segoe UI" w:cs="Segoe UI"/>
                          <w:color w:val="000000"/>
                          <w:sz w:val="8"/>
                          <w:szCs w:val="14"/>
                        </w:rPr>
                        <w:t>: -€1,</w:t>
                      </w:r>
                      <w:r w:rsidRPr="00F23804">
                        <w:rPr>
                          <w:rFonts w:ascii="Segoe UI" w:hAnsi="Segoe UI" w:cs="Segoe UI"/>
                          <w:color w:val="000000"/>
                          <w:sz w:val="8"/>
                          <w:szCs w:val="14"/>
                        </w:rPr>
                        <w:t>4</w:t>
                      </w:r>
                      <w:r w:rsidRPr="000A7D9C">
                        <w:rPr>
                          <w:rFonts w:ascii="Segoe UI" w:hAnsi="Segoe UI" w:cs="Segoe UI"/>
                          <w:color w:val="000000"/>
                          <w:sz w:val="8"/>
                          <w:szCs w:val="14"/>
                        </w:rPr>
                        <w:t xml:space="preserve"> δισ.</w:t>
                      </w:r>
                    </w:p>
                    <w:p w:rsidR="00817D20" w:rsidRPr="00F23804" w:rsidRDefault="00817D20" w:rsidP="000A7D9C">
                      <w:pPr>
                        <w:pStyle w:val="Web"/>
                        <w:spacing w:before="0" w:beforeAutospacing="0" w:after="0" w:afterAutospacing="0"/>
                        <w:rPr>
                          <w:rFonts w:ascii="Segoe UI" w:hAnsi="Segoe UI" w:cs="Segoe UI"/>
                          <w:color w:val="000000"/>
                          <w:sz w:val="2"/>
                          <w:szCs w:val="6"/>
                        </w:rPr>
                      </w:pPr>
                      <w:r w:rsidRPr="00F23804">
                        <w:rPr>
                          <w:rFonts w:ascii="Segoe UI" w:hAnsi="Segoe UI" w:cs="Segoe UI"/>
                          <w:color w:val="000000"/>
                          <w:sz w:val="2"/>
                          <w:szCs w:val="6"/>
                        </w:rPr>
                        <w:t xml:space="preserve"> </w:t>
                      </w:r>
                    </w:p>
                    <w:p w:rsidR="00817D20" w:rsidRPr="000A7D9C" w:rsidRDefault="00817D20" w:rsidP="000A7D9C">
                      <w:pPr>
                        <w:pStyle w:val="Web"/>
                        <w:spacing w:before="0" w:beforeAutospacing="0" w:after="0" w:afterAutospacing="0"/>
                        <w:rPr>
                          <w:rFonts w:ascii="Segoe UI" w:hAnsi="Segoe UI" w:cs="Segoe UI"/>
                          <w:color w:val="000000"/>
                          <w:sz w:val="8"/>
                          <w:szCs w:val="14"/>
                        </w:rPr>
                      </w:pPr>
                      <w:r w:rsidRPr="009E1779">
                        <w:rPr>
                          <w:rFonts w:ascii="Segoe UI" w:hAnsi="Segoe UI" w:cs="Segoe UI"/>
                          <w:i/>
                          <w:color w:val="000000"/>
                          <w:sz w:val="8"/>
                          <w:szCs w:val="14"/>
                        </w:rPr>
                        <w:t>εκ των οποίων</w:t>
                      </w:r>
                      <w:r w:rsidRPr="000A7D9C">
                        <w:rPr>
                          <w:rFonts w:ascii="Segoe UI" w:hAnsi="Segoe UI" w:cs="Segoe UI"/>
                          <w:color w:val="000000"/>
                          <w:sz w:val="8"/>
                          <w:szCs w:val="14"/>
                        </w:rPr>
                        <w:t>:</w:t>
                      </w:r>
                    </w:p>
                    <w:p w:rsidR="00817D20" w:rsidRPr="000A7D9C" w:rsidRDefault="00817D20" w:rsidP="000A7D9C">
                      <w:pPr>
                        <w:pStyle w:val="Web"/>
                        <w:spacing w:before="0" w:beforeAutospacing="0" w:after="0" w:afterAutospacing="0"/>
                        <w:rPr>
                          <w:rFonts w:ascii="Segoe UI" w:hAnsi="Segoe UI" w:cs="Segoe UI"/>
                          <w:color w:val="000000"/>
                          <w:sz w:val="8"/>
                          <w:szCs w:val="14"/>
                        </w:rPr>
                      </w:pPr>
                      <w:r>
                        <w:rPr>
                          <w:rFonts w:ascii="Segoe UI" w:hAnsi="Segoe UI" w:cs="Segoe UI"/>
                          <w:color w:val="000000"/>
                          <w:sz w:val="8"/>
                          <w:szCs w:val="14"/>
                        </w:rPr>
                        <w:t>Ιδιώτες (</w:t>
                      </w:r>
                      <w:r>
                        <w:rPr>
                          <w:rFonts w:ascii="Segoe UI" w:hAnsi="Segoe UI" w:cs="Segoe UI"/>
                          <w:color w:val="000000"/>
                          <w:sz w:val="8"/>
                          <w:szCs w:val="14"/>
                          <w:lang w:val="en-US"/>
                        </w:rPr>
                        <w:t>p</w:t>
                      </w:r>
                      <w:r w:rsidRPr="000A7D9C">
                        <w:rPr>
                          <w:rFonts w:ascii="Segoe UI" w:hAnsi="Segoe UI" w:cs="Segoe UI"/>
                          <w:color w:val="000000"/>
                          <w:sz w:val="8"/>
                          <w:szCs w:val="14"/>
                          <w:lang w:val="en-US"/>
                        </w:rPr>
                        <w:t>remium</w:t>
                      </w:r>
                      <w:r w:rsidRPr="000A7D9C">
                        <w:rPr>
                          <w:rFonts w:ascii="Segoe UI" w:hAnsi="Segoe UI" w:cs="Segoe UI"/>
                          <w:color w:val="000000"/>
                          <w:sz w:val="8"/>
                          <w:szCs w:val="14"/>
                        </w:rPr>
                        <w:t xml:space="preserve"> &amp; </w:t>
                      </w:r>
                      <w:r w:rsidRPr="000A7D9C">
                        <w:rPr>
                          <w:rFonts w:ascii="Segoe UI" w:hAnsi="Segoe UI" w:cs="Segoe UI"/>
                          <w:color w:val="000000"/>
                          <w:sz w:val="8"/>
                          <w:szCs w:val="14"/>
                          <w:lang w:val="en-US"/>
                        </w:rPr>
                        <w:t>mass</w:t>
                      </w:r>
                      <w:r>
                        <w:rPr>
                          <w:rFonts w:ascii="Segoe UI" w:hAnsi="Segoe UI" w:cs="Segoe UI"/>
                          <w:color w:val="000000"/>
                          <w:sz w:val="8"/>
                          <w:szCs w:val="14"/>
                        </w:rPr>
                        <w:t>): €3,</w:t>
                      </w:r>
                      <w:r w:rsidRPr="000A7D9C">
                        <w:rPr>
                          <w:rFonts w:ascii="Segoe UI" w:hAnsi="Segoe UI" w:cs="Segoe UI"/>
                          <w:color w:val="000000"/>
                          <w:sz w:val="8"/>
                          <w:szCs w:val="14"/>
                        </w:rPr>
                        <w:t xml:space="preserve">6 </w:t>
                      </w:r>
                      <w:r>
                        <w:rPr>
                          <w:rFonts w:ascii="Segoe UI" w:hAnsi="Segoe UI" w:cs="Segoe UI"/>
                          <w:color w:val="000000"/>
                          <w:sz w:val="8"/>
                          <w:szCs w:val="14"/>
                        </w:rPr>
                        <w:t>δισ.</w:t>
                      </w:r>
                    </w:p>
                    <w:p w:rsidR="00817D20" w:rsidRPr="000A7D9C" w:rsidRDefault="00817D20" w:rsidP="000A7D9C">
                      <w:pPr>
                        <w:pStyle w:val="Web"/>
                        <w:spacing w:before="0" w:beforeAutospacing="0" w:after="0" w:afterAutospacing="0"/>
                        <w:rPr>
                          <w:rFonts w:ascii="Segoe UI" w:hAnsi="Segoe UI" w:cs="Segoe UI"/>
                          <w:color w:val="000000"/>
                          <w:sz w:val="8"/>
                          <w:szCs w:val="14"/>
                        </w:rPr>
                      </w:pPr>
                      <w:r>
                        <w:rPr>
                          <w:rFonts w:ascii="Segoe UI" w:hAnsi="Segoe UI" w:cs="Segoe UI"/>
                          <w:color w:val="000000"/>
                          <w:sz w:val="8"/>
                          <w:szCs w:val="14"/>
                        </w:rPr>
                        <w:t>Επιχειρήσεις: €1,</w:t>
                      </w:r>
                      <w:r w:rsidRPr="000A7D9C">
                        <w:rPr>
                          <w:rFonts w:ascii="Segoe UI" w:hAnsi="Segoe UI" w:cs="Segoe UI"/>
                          <w:color w:val="000000"/>
                          <w:sz w:val="8"/>
                          <w:szCs w:val="14"/>
                        </w:rPr>
                        <w:t>2</w:t>
                      </w:r>
                      <w:r>
                        <w:rPr>
                          <w:rFonts w:ascii="Segoe UI" w:hAnsi="Segoe UI" w:cs="Segoe UI"/>
                          <w:color w:val="000000"/>
                          <w:sz w:val="8"/>
                          <w:szCs w:val="14"/>
                        </w:rPr>
                        <w:t xml:space="preserve"> δισ.</w:t>
                      </w:r>
                    </w:p>
                  </w:txbxContent>
                </v:textbox>
                <w10:wrap anchorx="page"/>
              </v:shape>
            </w:pict>
          </mc:Fallback>
        </mc:AlternateContent>
      </w:r>
      <w:r w:rsidRPr="00DC2CB0">
        <w:rPr>
          <w:noProof/>
          <w:lang w:eastAsia="el-GR"/>
        </w:rPr>
        <mc:AlternateContent>
          <mc:Choice Requires="wps">
            <w:drawing>
              <wp:anchor distT="0" distB="0" distL="114300" distR="114300" simplePos="0" relativeHeight="251690496" behindDoc="0" locked="0" layoutInCell="1" allowOverlap="1" wp14:anchorId="72443D00" wp14:editId="3EE51F2A">
                <wp:simplePos x="0" y="0"/>
                <wp:positionH relativeFrom="column">
                  <wp:posOffset>4797573</wp:posOffset>
                </wp:positionH>
                <wp:positionV relativeFrom="paragraph">
                  <wp:posOffset>551023</wp:posOffset>
                </wp:positionV>
                <wp:extent cx="602038" cy="400471"/>
                <wp:effectExtent l="0" t="0" r="102870" b="190500"/>
                <wp:wrapNone/>
                <wp:docPr id="11"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38" cy="400471"/>
                        </a:xfrm>
                        <a:prstGeom prst="wedgeRectCallout">
                          <a:avLst>
                            <a:gd name="adj1" fmla="val 61057"/>
                            <a:gd name="adj2" fmla="val 89568"/>
                          </a:avLst>
                        </a:prstGeom>
                        <a:solidFill>
                          <a:sysClr val="window" lastClr="FFFFFF"/>
                        </a:solidFill>
                        <a:ln w="9525" cap="flat" cmpd="sng" algn="ctr">
                          <a:solidFill>
                            <a:schemeClr val="bg1">
                              <a:lumMod val="50000"/>
                            </a:schemeClr>
                          </a:solidFill>
                          <a:prstDash val="solid"/>
                        </a:ln>
                        <a:effectLst/>
                      </wps:spPr>
                      <wps:txbx>
                        <w:txbxContent>
                          <w:p w:rsidR="00817D20" w:rsidRPr="000A7D9C" w:rsidRDefault="00817D20" w:rsidP="00DC2CB0">
                            <w:pPr>
                              <w:jc w:val="center"/>
                              <w:textAlignment w:val="baseline"/>
                              <w:rPr>
                                <w:rFonts w:ascii="Segoe UI" w:eastAsia="Times New Roman" w:hAnsi="Segoe UI" w:cs="Segoe UI"/>
                                <w:color w:val="000000"/>
                                <w:kern w:val="24"/>
                                <w:sz w:val="8"/>
                                <w:szCs w:val="14"/>
                                <w:lang w:eastAsia="el-GR"/>
                              </w:rPr>
                            </w:pPr>
                            <w:r>
                              <w:rPr>
                                <w:rFonts w:ascii="Segoe UI" w:eastAsia="Times New Roman" w:hAnsi="Segoe UI" w:cs="Segoe UI"/>
                                <w:color w:val="000000"/>
                                <w:kern w:val="24"/>
                                <w:sz w:val="8"/>
                                <w:szCs w:val="14"/>
                                <w:lang w:eastAsia="el-GR"/>
                              </w:rPr>
                              <w:t>κ</w:t>
                            </w:r>
                            <w:r w:rsidRPr="000A7D9C">
                              <w:rPr>
                                <w:rFonts w:ascii="Segoe UI" w:eastAsia="Times New Roman" w:hAnsi="Segoe UI" w:cs="Segoe UI"/>
                                <w:color w:val="000000"/>
                                <w:kern w:val="24"/>
                                <w:sz w:val="8"/>
                                <w:szCs w:val="14"/>
                                <w:lang w:eastAsia="el-GR"/>
                              </w:rPr>
                              <w:t>όστος χρηματοδότησης της Τράπεζας στις 7μ.β.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2443D00" id="_x0000_s1041" type="#_x0000_t61" style="position:absolute;margin-left:377.75pt;margin-top:43.4pt;width:47.4pt;height:3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P+OQIAAH4EAAAOAAAAZHJzL2Uyb0RvYy54bWysVNuO0zAQfUfiHyy/s0nKptuNmq7QVuVl&#10;gdUufMDUdi7gG7bTtH/P2E1LC2+IPFgez/WcmcnyYa8k2Qnne6NrWtzklAjNDO91W9NvXzfvFpT4&#10;AJqDNFrU9CA8fVi9fbMcbSVmpjOSC0cwiPbVaGvahWCrLPOsEwr8jbFCo7IxTkFA0bUZdzBidCWz&#10;WZ7Ps9E4bp1hwnt8XR+VdJXiN41g4UvTeBGIrCnWFtLp0rmNZ7ZaQtU6sF3PpjLgH6pQ0GtMeg61&#10;hgBkcP1foVTPnPGmCTfMqMw0Tc9EwoBoivwPNK8dWJGwIDnenmny/y8s+7x7dqTn2LuCEg0Ke/SC&#10;rIFuBwmOPIKUZgikWESqRusr9Hi1zy6C9fbJsB8eFdmVJgp+stk3TkVbhEr2iffDmXexD4Th4zyf&#10;5e9xUBiqbvP89q6IyTKoTs7W+fBRGEXipaaj4K2IVU7VJeZh9+RDagGfcAD/jpgaJbGjO5BkXuTl&#10;3dTxC5vZpc3ivpwnqJh9ioi3U/4E2sieb3opk3Dwj9IRjI5V9ZqbkRIJPuBjTTfpm6D4SzepyVjT&#10;+3JWImjAsW8kBLwqi43wuqUEZIv7xIJL2K6c026Ic9ptWyQbOahPhh9LKXP8TonjKkXzxOhVpAhr&#10;Db47OiXV5CR1RCfSAiGtpw4fmxrbG/bb/XFsyugSn7aGH3CWRlwmBPFzACcQh2adQS5OSLT5MATT&#10;9OeQR69pgnDIU5XTQsYtupST1e/fxuoXAAAA//8DAFBLAwQUAAYACAAAACEAjFczUOEAAAAKAQAA&#10;DwAAAGRycy9kb3ducmV2LnhtbEyPy07DMBBF90j8gzVI7KjTQtI0jVNVSAg2LPqQ2LrxkKSNx1Hs&#10;Nilfz3QFy9Ec3XtuvhptKy7Y+8aRgukkAoFUOtNQpWC/e3tKQfigyejWESq4oodVcX+X68y4gTZ4&#10;2YZKcAj5TCuoQ+gyKX1Zo9V+4jok/n273urAZ19J0+uBw20rZ1GUSKsb4oZad/haY3nanq2C9+nn&#10;18feJtd1fJzJYT7+bORpp9Tjw7heggg4hj8YbvqsDgU7HdyZjBetgnkcx4wqSBOewEAaR88gDky+&#10;LBYgi1z+n1D8AgAA//8DAFBLAQItABQABgAIAAAAIQC2gziS/gAAAOEBAAATAAAAAAAAAAAAAAAA&#10;AAAAAABbQ29udGVudF9UeXBlc10ueG1sUEsBAi0AFAAGAAgAAAAhADj9If/WAAAAlAEAAAsAAAAA&#10;AAAAAAAAAAAALwEAAF9yZWxzLy5yZWxzUEsBAi0AFAAGAAgAAAAhAENyY/45AgAAfgQAAA4AAAAA&#10;AAAAAAAAAAAALgIAAGRycy9lMm9Eb2MueG1sUEsBAi0AFAAGAAgAAAAhAIxXM1DhAAAACgEAAA8A&#10;AAAAAAAAAAAAAAAAkwQAAGRycy9kb3ducmV2LnhtbFBLBQYAAAAABAAEAPMAAAChBQAAAAA=&#10;" adj="23988,30147" fillcolor="window" strokecolor="#7f7f7f [1612]">
                <v:path arrowok="t"/>
                <v:textbox>
                  <w:txbxContent>
                    <w:p w:rsidR="00817D20" w:rsidRPr="000A7D9C" w:rsidRDefault="00817D20" w:rsidP="00DC2CB0">
                      <w:pPr>
                        <w:jc w:val="center"/>
                        <w:textAlignment w:val="baseline"/>
                        <w:rPr>
                          <w:rFonts w:ascii="Segoe UI" w:eastAsia="Times New Roman" w:hAnsi="Segoe UI" w:cs="Segoe UI"/>
                          <w:color w:val="000000"/>
                          <w:kern w:val="24"/>
                          <w:sz w:val="8"/>
                          <w:szCs w:val="14"/>
                          <w:lang w:eastAsia="el-GR"/>
                        </w:rPr>
                      </w:pPr>
                      <w:r>
                        <w:rPr>
                          <w:rFonts w:ascii="Segoe UI" w:eastAsia="Times New Roman" w:hAnsi="Segoe UI" w:cs="Segoe UI"/>
                          <w:color w:val="000000"/>
                          <w:kern w:val="24"/>
                          <w:sz w:val="8"/>
                          <w:szCs w:val="14"/>
                          <w:lang w:eastAsia="el-GR"/>
                        </w:rPr>
                        <w:t>κ</w:t>
                      </w:r>
                      <w:r w:rsidRPr="000A7D9C">
                        <w:rPr>
                          <w:rFonts w:ascii="Segoe UI" w:eastAsia="Times New Roman" w:hAnsi="Segoe UI" w:cs="Segoe UI"/>
                          <w:color w:val="000000"/>
                          <w:kern w:val="24"/>
                          <w:sz w:val="8"/>
                          <w:szCs w:val="14"/>
                          <w:lang w:eastAsia="el-GR"/>
                        </w:rPr>
                        <w:t>όστος χρηματοδότησης της Τράπεζας στις 7μ.β.</w:t>
                      </w:r>
                    </w:p>
                  </w:txbxContent>
                </v:textbox>
              </v:shape>
            </w:pict>
          </mc:Fallback>
        </mc:AlternateContent>
      </w:r>
      <w:r w:rsidR="00ED0061">
        <w:rPr>
          <w:rFonts w:ascii="Segoe UI" w:hAnsi="Segoe UI" w:cs="Segoe UI"/>
          <w:noProof/>
          <w:color w:val="000000"/>
          <w:lang w:eastAsia="el-GR"/>
        </w:rPr>
        <mc:AlternateContent>
          <mc:Choice Requires="wps">
            <w:drawing>
              <wp:anchor distT="0" distB="0" distL="114300" distR="114300" simplePos="0" relativeHeight="251661824" behindDoc="0" locked="0" layoutInCell="1" allowOverlap="1" wp14:anchorId="3BE6E775" wp14:editId="244A3B70">
                <wp:simplePos x="0" y="0"/>
                <wp:positionH relativeFrom="column">
                  <wp:posOffset>5493750</wp:posOffset>
                </wp:positionH>
                <wp:positionV relativeFrom="paragraph">
                  <wp:posOffset>554028</wp:posOffset>
                </wp:positionV>
                <wp:extent cx="855345" cy="410210"/>
                <wp:effectExtent l="0" t="0" r="20955" b="142240"/>
                <wp:wrapNone/>
                <wp:docPr id="22"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410210"/>
                        </a:xfrm>
                        <a:prstGeom prst="wedgeRectCallout">
                          <a:avLst>
                            <a:gd name="adj1" fmla="val -20385"/>
                            <a:gd name="adj2" fmla="val 76750"/>
                          </a:avLst>
                        </a:prstGeom>
                        <a:solidFill>
                          <a:sysClr val="window" lastClr="FFFFFF"/>
                        </a:solidFill>
                        <a:ln w="9525" cap="flat" cmpd="sng" algn="ctr">
                          <a:solidFill>
                            <a:schemeClr val="bg1">
                              <a:lumMod val="50000"/>
                            </a:schemeClr>
                          </a:solidFill>
                          <a:prstDash val="solid"/>
                        </a:ln>
                        <a:effectLst/>
                      </wps:spPr>
                      <wps:txbx>
                        <w:txbxContent>
                          <w:p w:rsidR="00817D20" w:rsidRPr="000A7D9C" w:rsidRDefault="00817D20" w:rsidP="00E55AED">
                            <w:pPr>
                              <w:jc w:val="center"/>
                              <w:textAlignment w:val="baseline"/>
                              <w:rPr>
                                <w:rFonts w:ascii="Segoe UI" w:hAnsi="Segoe UI" w:cs="Segoe UI"/>
                                <w:sz w:val="22"/>
                              </w:rPr>
                            </w:pPr>
                            <w:r w:rsidRPr="000A7D9C">
                              <w:rPr>
                                <w:rFonts w:ascii="Segoe UI" w:eastAsia="Times New Roman" w:hAnsi="Segoe UI" w:cs="Segoe UI"/>
                                <w:color w:val="000000"/>
                                <w:kern w:val="24"/>
                                <w:sz w:val="8"/>
                                <w:szCs w:val="14"/>
                                <w:lang w:eastAsia="el-GR"/>
                              </w:rPr>
                              <w:t>€0,3 δισ. χρηματοδότηση μέσω συμφωνιών επαναγοράς (</w:t>
                            </w:r>
                            <w:r w:rsidRPr="000A7D9C">
                              <w:rPr>
                                <w:rFonts w:ascii="Segoe UI" w:eastAsia="Times New Roman" w:hAnsi="Segoe UI" w:cs="Segoe UI"/>
                                <w:color w:val="000000"/>
                                <w:kern w:val="24"/>
                                <w:sz w:val="8"/>
                                <w:szCs w:val="14"/>
                                <w:lang w:val="en-US" w:eastAsia="el-GR"/>
                              </w:rPr>
                              <w:t>repos</w:t>
                            </w:r>
                            <w:r w:rsidRPr="000A7D9C">
                              <w:rPr>
                                <w:rFonts w:ascii="Segoe UI" w:eastAsia="Times New Roman" w:hAnsi="Segoe UI" w:cs="Segoe UI"/>
                                <w:color w:val="000000"/>
                                <w:kern w:val="24"/>
                                <w:sz w:val="8"/>
                                <w:szCs w:val="14"/>
                                <w:lang w:eastAsia="el-GR"/>
                              </w:rPr>
                              <w:t xml:space="preserve">, </w:t>
                            </w:r>
                            <w:r w:rsidRPr="000A7D9C">
                              <w:rPr>
                                <w:rFonts w:ascii="Segoe UI" w:eastAsia="Times New Roman" w:hAnsi="Segoe UI" w:cs="Segoe UI"/>
                                <w:color w:val="000000"/>
                                <w:kern w:val="24"/>
                                <w:sz w:val="8"/>
                                <w:szCs w:val="14"/>
                                <w:lang w:val="en-US" w:eastAsia="el-GR"/>
                              </w:rPr>
                              <w:t>net</w:t>
                            </w:r>
                            <w:r w:rsidRPr="000A7D9C">
                              <w:rPr>
                                <w:rFonts w:ascii="Segoe UI" w:eastAsia="Times New Roman" w:hAnsi="Segoe UI" w:cs="Segoe UI"/>
                                <w:color w:val="000000"/>
                                <w:kern w:val="24"/>
                                <w:sz w:val="8"/>
                                <w:szCs w:val="14"/>
                                <w:lang w:eastAsia="el-GR"/>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BE6E775" id="_x0000_s1042" type="#_x0000_t61" style="position:absolute;margin-left:432.6pt;margin-top:43.6pt;width:67.35pt;height:3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ITOwIAAH8EAAAOAAAAZHJzL2Uyb0RvYy54bWysVNtu2zAMfR+wfxD03vjSus2COMXQIHvp&#10;tmLdPoCR5Mum2yQlTv5+lGKn6fo2TA+CJZKH55Cil/cHJcleON8bXdNillMiNDO8121Nf3zfXM0p&#10;8QE0B2m0qOlReHq/ev9uOdiFKE1nJBeOIIj2i8HWtAvBLrLMs04o8DNjhUZjY5yCgEfXZtzBgOhK&#10;ZmWe32aDcdw6w4T3eLs+Gekq4TeNYOFr03gRiKwpcgtpd2nfxj1bLWHROrBdz0Ya8A8sFPQak56h&#10;1hCA7Fz/Bkr1zBlvmjBjRmWmaXomkgZUU+R/qXnuwIqkBYvj7blM/v/Bsi/7J0d6XtOypESDwh59&#10;w6qBbncSHHkAKc0ukGIeSzVYv8CIZ/vkolhvHw375dGQvbLEgx99Do1T0RelkkOq+/Fcd3EIhOHl&#10;vKqubypKGJpuirwsUl8yWEzB1vnwSRhF4kdNB8FbEVmO7FLlYf/oQ2oBH3UA/1lQ0iiJHd2DJFdl&#10;fj2vxpZfOKHwF6e727tqSj9CIpGJQFJtZM83vZTpcPQP0hGER1q95magRIIPeFnTTVoxIUL4yzCp&#10;yVDTD1UZVQO++0ZCwE9lsRNet5SAbHGgWHBJ3KvgNBzinHbbFslH7tRnw09UqhzXlDjOUnR/SyPK&#10;WoPvTkEpyRgkdVQn0gRhXacWn7oa+xsO20N6N8VtDIlXW8OP+JgGnCYU8XsHTqAOzTqDtZiUaPNx&#10;F0zTnyFPUeMTwleeWI4TGcfo8py8Xv4bqz8AAAD//wMAUEsDBBQABgAIAAAAIQDPuGcg3QAAAAoB&#10;AAAPAAAAZHJzL2Rvd25yZXYueG1sTI9BT8MwDIXvSPyHyEjcWLppHV3XdEJI0yRgBwa7Z41pKxq7&#10;arKt+/eYE/hiW/703nOxHn2nzjiElsnAdJKAQqrYtVQb+PzYPGSgQrTkbMeEBq4YYF3e3hQ2d3yh&#10;dzzvY61EhEJuDTQx9rnWoWrQ2zDhHkluXzx4G2Udau0GexFx3+lZkiy0ty2JQ2N7fG6w+t6fvKjM&#10;09ft+MLXZMNvh/lB0476rTH3d+PTClTEMf7B8BtfokMpmY58IhdUZyBbpDNBZXiULsBSCtRRyHSa&#10;gS4L/f+F8gcAAP//AwBQSwECLQAUAAYACAAAACEAtoM4kv4AAADhAQAAEwAAAAAAAAAAAAAAAAAA&#10;AAAAW0NvbnRlbnRfVHlwZXNdLnhtbFBLAQItABQABgAIAAAAIQA4/SH/1gAAAJQBAAALAAAAAAAA&#10;AAAAAAAAAC8BAABfcmVscy8ucmVsc1BLAQItABQABgAIAAAAIQCUNUITOwIAAH8EAAAOAAAAAAAA&#10;AAAAAAAAAC4CAABkcnMvZTJvRG9jLnhtbFBLAQItABQABgAIAAAAIQDPuGcg3QAAAAoBAAAPAAAA&#10;AAAAAAAAAAAAAJUEAABkcnMvZG93bnJldi54bWxQSwUGAAAAAAQABADzAAAAnwUAAAAA&#10;" adj="6397,27378" fillcolor="window" strokecolor="#7f7f7f [1612]">
                <v:path arrowok="t"/>
                <v:textbox>
                  <w:txbxContent>
                    <w:p w:rsidR="00817D20" w:rsidRPr="000A7D9C" w:rsidRDefault="00817D20" w:rsidP="00E55AED">
                      <w:pPr>
                        <w:jc w:val="center"/>
                        <w:textAlignment w:val="baseline"/>
                        <w:rPr>
                          <w:rFonts w:ascii="Segoe UI" w:hAnsi="Segoe UI" w:cs="Segoe UI"/>
                          <w:sz w:val="22"/>
                        </w:rPr>
                      </w:pPr>
                      <w:r w:rsidRPr="000A7D9C">
                        <w:rPr>
                          <w:rFonts w:ascii="Segoe UI" w:eastAsia="Times New Roman" w:hAnsi="Segoe UI" w:cs="Segoe UI"/>
                          <w:color w:val="000000"/>
                          <w:kern w:val="24"/>
                          <w:sz w:val="8"/>
                          <w:szCs w:val="14"/>
                          <w:lang w:eastAsia="el-GR"/>
                        </w:rPr>
                        <w:t>€0,3 δισ. χρηματοδότηση μέσω συμφωνιών επαναγοράς (</w:t>
                      </w:r>
                      <w:r w:rsidRPr="000A7D9C">
                        <w:rPr>
                          <w:rFonts w:ascii="Segoe UI" w:eastAsia="Times New Roman" w:hAnsi="Segoe UI" w:cs="Segoe UI"/>
                          <w:color w:val="000000"/>
                          <w:kern w:val="24"/>
                          <w:sz w:val="8"/>
                          <w:szCs w:val="14"/>
                          <w:lang w:val="en-US" w:eastAsia="el-GR"/>
                        </w:rPr>
                        <w:t>repos</w:t>
                      </w:r>
                      <w:r w:rsidRPr="000A7D9C">
                        <w:rPr>
                          <w:rFonts w:ascii="Segoe UI" w:eastAsia="Times New Roman" w:hAnsi="Segoe UI" w:cs="Segoe UI"/>
                          <w:color w:val="000000"/>
                          <w:kern w:val="24"/>
                          <w:sz w:val="8"/>
                          <w:szCs w:val="14"/>
                          <w:lang w:eastAsia="el-GR"/>
                        </w:rPr>
                        <w:t xml:space="preserve">, </w:t>
                      </w:r>
                      <w:r w:rsidRPr="000A7D9C">
                        <w:rPr>
                          <w:rFonts w:ascii="Segoe UI" w:eastAsia="Times New Roman" w:hAnsi="Segoe UI" w:cs="Segoe UI"/>
                          <w:color w:val="000000"/>
                          <w:kern w:val="24"/>
                          <w:sz w:val="8"/>
                          <w:szCs w:val="14"/>
                          <w:lang w:val="en-US" w:eastAsia="el-GR"/>
                        </w:rPr>
                        <w:t>net</w:t>
                      </w:r>
                      <w:r w:rsidRPr="000A7D9C">
                        <w:rPr>
                          <w:rFonts w:ascii="Segoe UI" w:eastAsia="Times New Roman" w:hAnsi="Segoe UI" w:cs="Segoe UI"/>
                          <w:color w:val="000000"/>
                          <w:kern w:val="24"/>
                          <w:sz w:val="8"/>
                          <w:szCs w:val="14"/>
                          <w:lang w:eastAsia="el-GR"/>
                        </w:rPr>
                        <w:t>)</w:t>
                      </w:r>
                    </w:p>
                  </w:txbxContent>
                </v:textbox>
              </v:shape>
            </w:pict>
          </mc:Fallback>
        </mc:AlternateContent>
      </w:r>
      <w:r w:rsidR="00741CA9">
        <w:rPr>
          <w:rFonts w:ascii="Segoe UI" w:hAnsi="Segoe UI" w:cs="Segoe UI"/>
          <w:noProof/>
          <w:color w:val="000000"/>
          <w:lang w:eastAsia="el-GR"/>
        </w:rPr>
        <mc:AlternateContent>
          <mc:Choice Requires="wps">
            <w:drawing>
              <wp:anchor distT="0" distB="0" distL="114300" distR="114300" simplePos="0" relativeHeight="251688448" behindDoc="0" locked="0" layoutInCell="1" allowOverlap="1" wp14:anchorId="2770CAF4" wp14:editId="2D26B780">
                <wp:simplePos x="0" y="0"/>
                <wp:positionH relativeFrom="column">
                  <wp:posOffset>-73137</wp:posOffset>
                </wp:positionH>
                <wp:positionV relativeFrom="paragraph">
                  <wp:posOffset>2184337</wp:posOffset>
                </wp:positionV>
                <wp:extent cx="4180115" cy="232410"/>
                <wp:effectExtent l="0" t="0" r="0" b="0"/>
                <wp:wrapNone/>
                <wp:docPr id="10"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0115" cy="232410"/>
                        </a:xfrm>
                        <a:prstGeom prst="wedgeRectCallout">
                          <a:avLst>
                            <a:gd name="adj1" fmla="val 13004"/>
                            <a:gd name="adj2" fmla="val 24652"/>
                          </a:avLst>
                        </a:prstGeom>
                        <a:noFill/>
                        <a:ln w="12700" cap="flat" cmpd="sng" algn="ctr">
                          <a:noFill/>
                          <a:prstDash val="solid"/>
                        </a:ln>
                        <a:effectLst/>
                      </wps:spPr>
                      <wps:txbx>
                        <w:txbxContent>
                          <w:p w:rsidR="00817D20" w:rsidRPr="00F60990" w:rsidRDefault="00817D20" w:rsidP="00741CA9">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eastAsia="el-GR"/>
                              </w:rPr>
                              <w:t>1</w:t>
                            </w:r>
                            <w:r>
                              <w:rPr>
                                <w:rFonts w:ascii="Segoe UI" w:eastAsia="Segoe UI" w:hAnsi="Segoe UI" w:cs="Segoe UI"/>
                                <w:kern w:val="24"/>
                                <w:sz w:val="10"/>
                                <w:szCs w:val="12"/>
                                <w:lang w:eastAsia="el-GR"/>
                              </w:rPr>
                              <w:t>Πλήρης αποπληρωμή της χρηματοδότησης από τον έκτακτο μηχανισμό ρευστότητας (</w:t>
                            </w:r>
                            <w:r>
                              <w:rPr>
                                <w:rFonts w:ascii="Segoe UI" w:eastAsia="Segoe UI" w:hAnsi="Segoe UI" w:cs="Segoe UI"/>
                                <w:kern w:val="24"/>
                                <w:sz w:val="10"/>
                                <w:szCs w:val="12"/>
                                <w:lang w:val="en-US" w:eastAsia="el-GR"/>
                              </w:rPr>
                              <w:t>E</w:t>
                            </w:r>
                            <w:r>
                              <w:rPr>
                                <w:rFonts w:ascii="Segoe UI" w:eastAsia="Segoe UI" w:hAnsi="Segoe UI" w:cs="Segoe UI"/>
                                <w:kern w:val="24"/>
                                <w:sz w:val="10"/>
                                <w:szCs w:val="12"/>
                                <w:lang w:val="en-GB" w:eastAsia="el-GR"/>
                              </w:rPr>
                              <w:t>LA</w:t>
                            </w:r>
                            <w:r w:rsidRPr="00D6644E">
                              <w:rPr>
                                <w:rFonts w:ascii="Segoe UI" w:eastAsia="Segoe UI" w:hAnsi="Segoe UI" w:cs="Segoe UI"/>
                                <w:kern w:val="24"/>
                                <w:sz w:val="10"/>
                                <w:szCs w:val="12"/>
                                <w:lang w:eastAsia="el-GR"/>
                              </w:rPr>
                              <w:t xml:space="preserve">) </w:t>
                            </w:r>
                            <w:r>
                              <w:rPr>
                                <w:rFonts w:ascii="Segoe UI" w:eastAsia="Segoe UI" w:hAnsi="Segoe UI" w:cs="Segoe UI"/>
                                <w:kern w:val="24"/>
                                <w:sz w:val="10"/>
                                <w:szCs w:val="12"/>
                                <w:lang w:eastAsia="el-GR"/>
                              </w:rPr>
                              <w:t xml:space="preserve">της Τράπεζας της Ελλάδος (ΤτΕ) το </w:t>
                            </w:r>
                            <w:r w:rsidRPr="00F60990">
                              <w:rPr>
                                <w:rFonts w:ascii="Segoe UI" w:eastAsia="Segoe UI" w:hAnsi="Segoe UI" w:cs="Segoe UI"/>
                                <w:kern w:val="24"/>
                                <w:sz w:val="10"/>
                                <w:szCs w:val="12"/>
                                <w:lang w:eastAsia="el-GR"/>
                              </w:rPr>
                              <w:t>2017</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770CAF4" id="_x0000_s1043" type="#_x0000_t61" style="position:absolute;margin-left:-5.75pt;margin-top:172pt;width:329.15pt;height:18.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DpAgIAAPsDAAAOAAAAZHJzL2Uyb0RvYy54bWysU9tuEzEQfUfiHyy/k700baNVNhUiKi8V&#10;VBQ+YOK1dw2+YTvZzd8zdjZpgDfEi2XP5cyZM+P1w6QVOXAfpDUtrRYlJdww20nTt/Tb18d3K0pC&#10;BNOBsoa39MgDfdi8fbMeXcNrO1jVcU8QxIRmdC0dYnRNUQQ2cA1hYR036BTWa4j49H3ReRgRXaui&#10;Lsu7YrS+c94yHgJatycn3WR8ITiLn4UIPBLVUuQW8+nzuUtnsVlD03twg2QzDfgHFhqkwaIXqC1E&#10;IHsv/4LSknkbrIgLZnVhhZCM5x6wm6r8o5uXARzPvaA4wV1kCv8Pln06PHsiO5wdymNA44y+oGpg&#10;+r0CTz6AUnYfSbVKUo0uNJjx4p59aja4J8t+BHQUv3nSI8wxk/A6xWKrZMq6Hy+68ykShsZltSqr&#10;6pYShr76pl4ilwQKzTnb+RA/cqtJurR05F3PE82ZXpYeDk8h5hl0cyPQfa8oEVrhSA+gSHVTlst5&#10;5Fcx9XVMvby7refqMyLyONdP8MY+SqXy4ihDRlSuvi9RPAa4v0JBxKt2qGgwPSWgevwYLPrM8So3&#10;QW4hDASZYaxVspvLKpPK8Ly92NJZ3pOiSds47abTzO5TSjLtbHfEQY64yQj2cw+eY23DBovL/lr9&#10;/T5aIS+Qp6x5fLhhWfP5N6QVvn7nqNc/u/kFAAD//wMAUEsDBBQABgAIAAAAIQD6fR083wAAAAsB&#10;AAAPAAAAZHJzL2Rvd25yZXYueG1sTI/BTsMwDIbvSLxDZCQu05aWlWgqTacJiQs3xuCcNaYtS5zS&#10;ZFvh6TEndrT96ff3V+vJO3HCMfaBNOSLDARSE2xPrYbd69N8BSImQ9a4QKjhGyOs6+urypQ2nOkF&#10;T9vUCg6hWBoNXUpDKWVsOvQmLsKAxLePMHqTeBxbaUdz5nDv5F2WKelNT/yhMwM+dtgctkevwT7/&#10;qPfZ22Fo2sHvnNvg5/JrpvXtzbR5AJFwSv8w/OmzOtTstA9HslE4DfM8v2dUw7IouBQTqlBcZs+b&#10;VaZA1pW87FD/AgAA//8DAFBLAQItABQABgAIAAAAIQC2gziS/gAAAOEBAAATAAAAAAAAAAAAAAAA&#10;AAAAAABbQ29udGVudF9UeXBlc10ueG1sUEsBAi0AFAAGAAgAAAAhADj9If/WAAAAlAEAAAsAAAAA&#10;AAAAAAAAAAAALwEAAF9yZWxzLy5yZWxzUEsBAi0AFAAGAAgAAAAhAA8gAOkCAgAA+wMAAA4AAAAA&#10;AAAAAAAAAAAALgIAAGRycy9lMm9Eb2MueG1sUEsBAi0AFAAGAAgAAAAhAPp9HTzfAAAACwEAAA8A&#10;AAAAAAAAAAAAAAAAXAQAAGRycy9kb3ducmV2LnhtbFBLBQYAAAAABAAEAPMAAABoBQAAAAA=&#10;" adj="13609,16125" filled="f" stroked="f" strokeweight="1pt">
                <v:path arrowok="t"/>
                <v:textbox>
                  <w:txbxContent>
                    <w:p w:rsidR="00817D20" w:rsidRPr="00F60990" w:rsidRDefault="00817D20" w:rsidP="00741CA9">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eastAsia="el-GR"/>
                        </w:rPr>
                        <w:t>1</w:t>
                      </w:r>
                      <w:r>
                        <w:rPr>
                          <w:rFonts w:ascii="Segoe UI" w:eastAsia="Segoe UI" w:hAnsi="Segoe UI" w:cs="Segoe UI"/>
                          <w:kern w:val="24"/>
                          <w:sz w:val="10"/>
                          <w:szCs w:val="12"/>
                          <w:lang w:eastAsia="el-GR"/>
                        </w:rPr>
                        <w:t>Πλήρης αποπληρωμή της χρηματοδότησης από τον έκτακτο μηχανισμό ρευστότητας (</w:t>
                      </w:r>
                      <w:r>
                        <w:rPr>
                          <w:rFonts w:ascii="Segoe UI" w:eastAsia="Segoe UI" w:hAnsi="Segoe UI" w:cs="Segoe UI"/>
                          <w:kern w:val="24"/>
                          <w:sz w:val="10"/>
                          <w:szCs w:val="12"/>
                          <w:lang w:val="en-US" w:eastAsia="el-GR"/>
                        </w:rPr>
                        <w:t>E</w:t>
                      </w:r>
                      <w:r>
                        <w:rPr>
                          <w:rFonts w:ascii="Segoe UI" w:eastAsia="Segoe UI" w:hAnsi="Segoe UI" w:cs="Segoe UI"/>
                          <w:kern w:val="24"/>
                          <w:sz w:val="10"/>
                          <w:szCs w:val="12"/>
                          <w:lang w:val="en-GB" w:eastAsia="el-GR"/>
                        </w:rPr>
                        <w:t>LA</w:t>
                      </w:r>
                      <w:r w:rsidRPr="00D6644E">
                        <w:rPr>
                          <w:rFonts w:ascii="Segoe UI" w:eastAsia="Segoe UI" w:hAnsi="Segoe UI" w:cs="Segoe UI"/>
                          <w:kern w:val="24"/>
                          <w:sz w:val="10"/>
                          <w:szCs w:val="12"/>
                          <w:lang w:eastAsia="el-GR"/>
                        </w:rPr>
                        <w:t xml:space="preserve">) </w:t>
                      </w:r>
                      <w:r>
                        <w:rPr>
                          <w:rFonts w:ascii="Segoe UI" w:eastAsia="Segoe UI" w:hAnsi="Segoe UI" w:cs="Segoe UI"/>
                          <w:kern w:val="24"/>
                          <w:sz w:val="10"/>
                          <w:szCs w:val="12"/>
                          <w:lang w:eastAsia="el-GR"/>
                        </w:rPr>
                        <w:t xml:space="preserve">της Τράπεζας της Ελλάδος (ΤτΕ) το </w:t>
                      </w:r>
                      <w:r w:rsidRPr="00F60990">
                        <w:rPr>
                          <w:rFonts w:ascii="Segoe UI" w:eastAsia="Segoe UI" w:hAnsi="Segoe UI" w:cs="Segoe UI"/>
                          <w:kern w:val="24"/>
                          <w:sz w:val="10"/>
                          <w:szCs w:val="12"/>
                          <w:lang w:eastAsia="el-GR"/>
                        </w:rPr>
                        <w:t>2017</w:t>
                      </w:r>
                    </w:p>
                  </w:txbxContent>
                </v:textbox>
              </v:shape>
            </w:pict>
          </mc:Fallback>
        </mc:AlternateContent>
      </w:r>
      <w:r w:rsidR="00BA1D72">
        <w:rPr>
          <w:rFonts w:ascii="Segoe UI" w:hAnsi="Segoe UI" w:cs="Segoe UI"/>
          <w:noProof/>
          <w:lang w:eastAsia="el-GR"/>
        </w:rPr>
        <mc:AlternateContent>
          <mc:Choice Requires="wps">
            <w:drawing>
              <wp:anchor distT="0" distB="0" distL="114300" distR="114300" simplePos="0" relativeHeight="251663872" behindDoc="0" locked="0" layoutInCell="1" allowOverlap="1" wp14:anchorId="415A8091" wp14:editId="48031710">
                <wp:simplePos x="0" y="0"/>
                <wp:positionH relativeFrom="column">
                  <wp:posOffset>192405</wp:posOffset>
                </wp:positionH>
                <wp:positionV relativeFrom="paragraph">
                  <wp:posOffset>1550988</wp:posOffset>
                </wp:positionV>
                <wp:extent cx="388620" cy="197485"/>
                <wp:effectExtent l="0" t="0" r="0" b="0"/>
                <wp:wrapNone/>
                <wp:docPr id="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97485"/>
                        </a:xfrm>
                        <a:prstGeom prst="rect">
                          <a:avLst/>
                        </a:prstGeom>
                        <a:noFill/>
                      </wps:spPr>
                      <wps:txbx>
                        <w:txbxContent>
                          <w:p w:rsidR="00817D20" w:rsidRPr="00842227" w:rsidRDefault="00817D20"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KT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5A8091" id="TextBox 15" o:spid="_x0000_s1044" type="#_x0000_t202" style="position:absolute;margin-left:15.15pt;margin-top:122.15pt;width:30.6pt;height:1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VTogEAAC8DAAAOAAAAZHJzL2Uyb0RvYy54bWysUs2O0zAQviPxDpbv1E0XSoiaroDVclkB&#10;0i4P4Dp2YxF7jMdt0rdn7LTdFdwQFyeen+9nxpvbyQ3sqCNa8C2vFkvOtFfQWb9v+Y+n+zc1Z5ik&#10;7+QAXrf8pJHfbl+/2oyh0SvoYeh0ZATisRlDy/uUQiMEql47iQsI2lPSQHQy0TXuRRflSOhuEKvl&#10;ci1GiF2IoDQiRe/mJN8WfGO0St+MQZ3Y0HLSlsoZy7nLp9huZLOPMvRWnWXIf1DhpPVEeoW6k0my&#10;Q7R/QTmrIiCYtFDgBBhjlS4eyE21/MPNYy+DLl5oOBiuY8L/B6u+Hr9HZruWr28489LRjp70lD7B&#10;xKp3eTxjwIaqHgPVpYnitOZiFcMDqJ9IJeJFzdyAVJ3HMZno8peMMmqkDZyuUycWpih4U9frFWUU&#10;paoP79/WhVY8N4eI6YsGx/JPyyMttQiQxwdMmV42l5LM5eHeDsNF1qwkC0zTbipOq/riawfdiWyN&#10;tP+W46+DjJqzmIbPUJ7LjPbxkMDYQpRh5p6zadpK4T+/oLz2l/dS9fzOt78BAAD//wMAUEsDBBQA&#10;BgAIAAAAIQAFPtcz3gAAAAkBAAAPAAAAZHJzL2Rvd25yZXYueG1sTI/LTsMwEEX3SPyDNUjsqNM2&#10;5RHiVAipAqFuCP0ANzZxlHhsxXYS+HqGFezmcXTnTLlf7MAmPYbOoYD1KgOmsXGqw1bA6eNwcw8s&#10;RIlKDg61gC8dYF9dXpSyUG7Gdz3VsWUUgqGQAkyMvuA8NEZbGVbOa6TdpxutjNSOLVejnCncDnyT&#10;Zbfcyg7pgpFePxvd9HWyAg7p5dVO3zz5t7qZ0fg+nY69ENdXy9MjsKiX+AfDrz6pQ0VOZ5dQBTYI&#10;2GZbIgVs8pwKAh7WO2BnGtztcuBVyf9/UP0AAAD//wMAUEsBAi0AFAAGAAgAAAAhALaDOJL+AAAA&#10;4QEAABMAAAAAAAAAAAAAAAAAAAAAAFtDb250ZW50X1R5cGVzXS54bWxQSwECLQAUAAYACAAAACEA&#10;OP0h/9YAAACUAQAACwAAAAAAAAAAAAAAAAAvAQAAX3JlbHMvLnJlbHNQSwECLQAUAAYACAAAACEA&#10;ENlFU6IBAAAvAwAADgAAAAAAAAAAAAAAAAAuAgAAZHJzL2Uyb0RvYy54bWxQSwECLQAUAAYACAAA&#10;ACEABT7XM94AAAAJAQAADwAAAAAAAAAAAAAAAAD8AwAAZHJzL2Rvd25yZXYueG1sUEsFBgAAAAAE&#10;AAQA8wAAAAcFAAAAAA==&#10;" filled="f" stroked="f">
                <v:path arrowok="t"/>
                <v:textbox>
                  <w:txbxContent>
                    <w:p w:rsidR="00817D20" w:rsidRPr="00842227" w:rsidRDefault="00817D20"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KT</w:t>
                      </w:r>
                    </w:p>
                  </w:txbxContent>
                </v:textbox>
              </v:shape>
            </w:pict>
          </mc:Fallback>
        </mc:AlternateContent>
      </w:r>
      <w:r w:rsidR="003D0C47">
        <w:rPr>
          <w:rFonts w:ascii="Segoe UI" w:hAnsi="Segoe UI" w:cs="Segoe UI"/>
          <w:noProof/>
          <w:lang w:eastAsia="el-GR"/>
        </w:rPr>
        <mc:AlternateContent>
          <mc:Choice Requires="wps">
            <w:drawing>
              <wp:anchor distT="0" distB="0" distL="114300" distR="114300" simplePos="0" relativeHeight="251662848" behindDoc="0" locked="0" layoutInCell="1" allowOverlap="1" wp14:anchorId="3998993B" wp14:editId="2E3B2CCC">
                <wp:simplePos x="0" y="0"/>
                <wp:positionH relativeFrom="column">
                  <wp:posOffset>193675</wp:posOffset>
                </wp:positionH>
                <wp:positionV relativeFrom="paragraph">
                  <wp:posOffset>661670</wp:posOffset>
                </wp:positionV>
                <wp:extent cx="396000" cy="176530"/>
                <wp:effectExtent l="0" t="0" r="0" b="0"/>
                <wp:wrapNone/>
                <wp:docPr id="75084711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000" cy="176530"/>
                        </a:xfrm>
                        <a:prstGeom prst="rect">
                          <a:avLst/>
                        </a:prstGeom>
                        <a:noFill/>
                      </wps:spPr>
                      <wps:txbx>
                        <w:txbxContent>
                          <w:p w:rsidR="00817D20" w:rsidRPr="00842227" w:rsidRDefault="00817D20" w:rsidP="00E55AED">
                            <w:pPr>
                              <w:textAlignment w:val="baseline"/>
                            </w:pPr>
                            <w:r w:rsidRPr="00842227">
                              <w:rPr>
                                <w:rFonts w:cs="Arial"/>
                                <w:b/>
                                <w:bCs/>
                                <w:color w:val="000000" w:themeColor="text1"/>
                                <w:kern w:val="24"/>
                                <w:sz w:val="14"/>
                                <w:szCs w:val="16"/>
                                <w:lang w:val="en-US"/>
                              </w:rPr>
                              <w:t>ELA</w:t>
                            </w:r>
                            <w:r w:rsidRPr="00741CA9">
                              <w:rPr>
                                <w:rFonts w:cs="Arial"/>
                                <w:b/>
                                <w:bCs/>
                                <w:color w:val="000000" w:themeColor="text1"/>
                                <w:kern w:val="24"/>
                                <w:sz w:val="14"/>
                                <w:szCs w:val="16"/>
                                <w:vertAlign w:val="superscript"/>
                                <w:lang w:val="en-US"/>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98993B" id="_x0000_s1045" type="#_x0000_t202" style="position:absolute;margin-left:15.25pt;margin-top:52.1pt;width:31.2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jqqgEAADYDAAAOAAAAZHJzL2Uyb0RvYy54bWysUsFu2zAMvQ/oPwi6L7bbJmmNOMW6or0U&#10;W4F2H6DIUizMEjVRiZ2/HyUnabHdhl1kS3x8fI/k6m60PdurgAZcw6tZyZlyElrjtg3/8fb4+YYz&#10;jMK1ogenGn5QyO/WF59Wg6/VJXTQtyowInFYD77hXYy+LgqUnbICZ+CVo6CGYEWka9gWbRADsdu+&#10;uCzLRTFAaH0AqRDp9WEK8nXm11rJ+F1rVJH1DSdtMZ8hn5t0FuuVqLdB+M7IowzxDyqsMI6Knqke&#10;RBRsF8xfVNbIAAg6ziTYArQ2UmUP5KYq/3Dz2gmvshdqDvpzm/D/0cpv+5fATNvw5by8uV5WFXXJ&#10;CUujelNjvIeRVfPUpcFjTeBXT/A40jtNOztG/wzyJxKk+ICZEpDQqSujDjZ9yS+jRCpxODefqjBJ&#10;j1e3i7KkiKRQtVzMr/JwivdkHzA+KbAs/TQ80GyzALF/xpjKi/oESbUcPJq+P8malCSBcdyM2XB1&#10;e/K1gfZAtgZag4bjr50IirMQ+6+Qt2Zi+7KLoE0ulGimnKNpGk6uf1ykNP2P94x6X/f1bwAAAP//&#10;AwBQSwMEFAAGAAgAAAAhAHCDx9zcAAAACQEAAA8AAABkcnMvZG93bnJldi54bWxMj8FKxDAQhu+C&#10;7xBG8OYmdlXc2nQRYVHEi3UfINvEprSZhCZpq0/veNLj/PPxzzfVfnUjm80Ue48SrjcCmMHW6x47&#10;CcePw9U9sJgUajV6NBK+TIR9fX5WqVL7Bd/N3KSOUQnGUkmwKYWS89ha41Tc+GCQdp9+cirROHVc&#10;T2qhcjfyQog77lSPdMGqYJ6saYcmOwmH/Pzi5m+ew2vTLmjDkI9vg5SXF+vjA7Bk1vQHw68+qUNN&#10;TiefUUc2StiKWyIpFzcFMAJ2xQ7YiYJtIYDXFf//Qf0DAAD//wMAUEsBAi0AFAAGAAgAAAAhALaD&#10;OJL+AAAA4QEAABMAAAAAAAAAAAAAAAAAAAAAAFtDb250ZW50X1R5cGVzXS54bWxQSwECLQAUAAYA&#10;CAAAACEAOP0h/9YAAACUAQAACwAAAAAAAAAAAAAAAAAvAQAAX3JlbHMvLnJlbHNQSwECLQAUAAYA&#10;CAAAACEAtGro6qoBAAA2AwAADgAAAAAAAAAAAAAAAAAuAgAAZHJzL2Uyb0RvYy54bWxQSwECLQAU&#10;AAYACAAAACEAcIPH3NwAAAAJAQAADwAAAAAAAAAAAAAAAAAEBAAAZHJzL2Rvd25yZXYueG1sUEsF&#10;BgAAAAAEAAQA8wAAAA0FAAAAAA==&#10;" filled="f" stroked="f">
                <v:path arrowok="t"/>
                <v:textbox>
                  <w:txbxContent>
                    <w:p w:rsidR="00817D20" w:rsidRPr="00842227" w:rsidRDefault="00817D20" w:rsidP="00E55AED">
                      <w:pPr>
                        <w:textAlignment w:val="baseline"/>
                      </w:pPr>
                      <w:r w:rsidRPr="00842227">
                        <w:rPr>
                          <w:rFonts w:cs="Arial"/>
                          <w:b/>
                          <w:bCs/>
                          <w:color w:val="000000" w:themeColor="text1"/>
                          <w:kern w:val="24"/>
                          <w:sz w:val="14"/>
                          <w:szCs w:val="16"/>
                          <w:lang w:val="en-US"/>
                        </w:rPr>
                        <w:t>ELA</w:t>
                      </w:r>
                      <w:r w:rsidRPr="00741CA9">
                        <w:rPr>
                          <w:rFonts w:cs="Arial"/>
                          <w:b/>
                          <w:bCs/>
                          <w:color w:val="000000" w:themeColor="text1"/>
                          <w:kern w:val="24"/>
                          <w:sz w:val="14"/>
                          <w:szCs w:val="16"/>
                          <w:vertAlign w:val="superscript"/>
                          <w:lang w:val="en-US"/>
                        </w:rPr>
                        <w:t>1</w:t>
                      </w:r>
                    </w:p>
                  </w:txbxContent>
                </v:textbox>
              </v:shape>
            </w:pict>
          </mc:Fallback>
        </mc:AlternateContent>
      </w:r>
      <w:r w:rsidR="00E55AED" w:rsidRPr="00EE40A0">
        <w:rPr>
          <w:rFonts w:ascii="Segoe UI" w:hAnsi="Segoe UI" w:cs="Segoe UI"/>
          <w:b/>
          <w:noProof/>
          <w:color w:val="000000"/>
          <w:sz w:val="20"/>
          <w:lang w:eastAsia="el-GR"/>
        </w:rPr>
        <w:drawing>
          <wp:inline distT="0" distB="0" distL="0" distR="0" wp14:anchorId="03938C78" wp14:editId="4E8078A3">
            <wp:extent cx="6422066" cy="2232837"/>
            <wp:effectExtent l="0" t="0" r="17145" b="15240"/>
            <wp:docPr id="75084711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376C" w:rsidRDefault="0016376C"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Εγχώριες ροές καταθέσεων (€ δι</w:t>
      </w:r>
      <w:r>
        <w:rPr>
          <w:rFonts w:ascii="Segoe UI" w:eastAsia="Segoe UI" w:hAnsi="Segoe UI" w:cs="Segoe UI"/>
          <w:b/>
          <w:color w:val="008080"/>
          <w:kern w:val="24"/>
          <w:sz w:val="20"/>
          <w:lang w:eastAsia="el-GR"/>
        </w:rPr>
        <w:t>σ</w:t>
      </w:r>
      <w:r w:rsidRPr="000F701B">
        <w:rPr>
          <w:rFonts w:ascii="Segoe UI" w:eastAsia="Segoe UI" w:hAnsi="Segoe UI" w:cs="Segoe UI"/>
          <w:b/>
          <w:color w:val="008080"/>
          <w:kern w:val="24"/>
          <w:sz w:val="20"/>
          <w:lang w:eastAsia="el-GR"/>
        </w:rPr>
        <w:t>.</w:t>
      </w:r>
      <w:r w:rsidR="00E55AED" w:rsidRPr="000F701B">
        <w:rPr>
          <w:rFonts w:ascii="Segoe UI" w:eastAsia="Segoe UI" w:hAnsi="Segoe UI" w:cs="Segoe UI"/>
          <w:b/>
          <w:color w:val="008080"/>
          <w:kern w:val="24"/>
          <w:sz w:val="20"/>
          <w:lang w:eastAsia="el-GR"/>
        </w:rPr>
        <w:t>)</w:t>
      </w:r>
      <w:r w:rsidR="000A7D9C" w:rsidRPr="000A7D9C">
        <w:rPr>
          <w:noProof/>
          <w:lang w:eastAsia="el-GR"/>
        </w:rPr>
        <w:t xml:space="preserve"> </w:t>
      </w:r>
    </w:p>
    <w:p w:rsidR="009450BE" w:rsidRPr="000F701B" w:rsidRDefault="009450BE"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p>
    <w:p w:rsidR="00E55AED" w:rsidRPr="00EE40A0" w:rsidRDefault="000C1A73" w:rsidP="0016376C">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eastAsia="el-GR"/>
        </w:rPr>
        <mc:AlternateContent>
          <mc:Choice Requires="wps">
            <w:drawing>
              <wp:anchor distT="0" distB="0" distL="114300" distR="114300" simplePos="0" relativeHeight="251674112" behindDoc="0" locked="0" layoutInCell="1" allowOverlap="1" wp14:anchorId="7CAAF0B4" wp14:editId="44E11CDB">
                <wp:simplePos x="0" y="0"/>
                <wp:positionH relativeFrom="column">
                  <wp:posOffset>-635</wp:posOffset>
                </wp:positionH>
                <wp:positionV relativeFrom="paragraph">
                  <wp:posOffset>26670</wp:posOffset>
                </wp:positionV>
                <wp:extent cx="2006600" cy="1900555"/>
                <wp:effectExtent l="0" t="0" r="12700" b="23495"/>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0" cy="1900555"/>
                        </a:xfrm>
                        <a:prstGeom prst="rect">
                          <a:avLst/>
                        </a:prstGeom>
                        <a:noFill/>
                        <a:ln w="190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2CA2" id="Rectangle 40" o:spid="_x0000_s1026" style="position:absolute;margin-left:-.05pt;margin-top:2.1pt;width:158pt;height:149.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gNsgIAAOkFAAAOAAAAZHJzL2Uyb0RvYy54bWysVE1v2zAMvQ/YfxB0X+0USbcadYqgRYcB&#10;WVu0HXpWZCk2JomapMTJfv0oWXE/VmzAMB8EUyQfySeSZ+c7rchWON+BqenkqKREGA5NZ9Y1/fZw&#10;9eETJT4w0zAFRtR0Lzw9n79/d9bbShxDC6oRjiCI8VVva9qGYKui8LwVmvkjsMKgUoLTLKDo1kXj&#10;WI/oWhXHZXlS9OAa64AL7/H2clDSecKXUvBwI6UXgaiaYm4hnS6dq3gW8zNWrR2zbcdzGuwfstCs&#10;Mxh0hLpkgZGN636D0h134EGGIw66ACk7LlINWM2kfFXNfcusSLUgOd6ONPn/B8uvt7eOdE1NpxNK&#10;DNP4RnfIGjNrJcg0EdRbX6Hdvb11sURvl8C/e2SueKGJgs82O+l0tMUCyS6xvR/ZFrtAOF7G5zsp&#10;8VE46ianZTmbzeJ7FKw6uFvnw2cBmsSfmjpMLLHMtksfBtODSYxm4KpTKj2pMqRPqLMyeXhQXRO1&#10;qYLYXeJCObJl2Ber9STZqI3+Cs1wNyvxy9mkZozmKbcXSDH6JfPt4OT3PgrZTZnM0EBKoifslYgZ&#10;KHMnJNIeaRjye5kS41yYMKTlW9aIv2WVACOyxBpH7AzwNvbAX7aPriLNy+icifuT8+iRIoMJo7Pu&#10;DLi3KlNYVY482B9IGqiJLK2g2WNTOhim1Vt+1SHPS+bDLXM4ntgzuHLCDR5SAb4z5D9KWnA/37qP&#10;9jg1qKWkx3Gvqf+xYU5Qor4YnKfTyRSbnYQkTGcfj1FwzzWr5xqz0ReAnYMjg9ml32gf1OFXOtCP&#10;uJkWMSqqmOEYu6Y8uINwEYY1hLuNi8UimeFOsCwszb3lETyyGjvsYffInM1DEHB+ruGwGlj1ahYG&#10;2+hpYLEJILs0KE+8Zr5xn6R2zrsvLqzncrJ62tDzXwAAAP//AwBQSwMEFAAGAAgAAAAhAKQYQ4jd&#10;AAAABwEAAA8AAABkcnMvZG93bnJldi54bWxMjlFLw0AQhN8F/8Oxgm/tJa2RGnMptSCKUKTVH7BN&#10;tkk0txdylzT6612f9G2GGWa+bD3ZVo3U+8axgXgegSIuXNlwZeD97XG2AuUDcomtYzLwRR7W+eVF&#10;hmnpzryn8RAqJSPsUzRQh9ClWvuiJot+7jpiyU6utxjE9pUuezzLuG31IoputcWG5aHGjrY1FZ+H&#10;wRoYNvjw+rLbJqv9k2s++GSfx29rzPXVtLkHFWgKf2X4xRd0yIXp6AYuvWoNzGIpGrhZgJJ0GSd3&#10;oI4iomUCOs/0f/78BwAA//8DAFBLAQItABQABgAIAAAAIQC2gziS/gAAAOEBAAATAAAAAAAAAAAA&#10;AAAAAAAAAABbQ29udGVudF9UeXBlc10ueG1sUEsBAi0AFAAGAAgAAAAhADj9If/WAAAAlAEAAAsA&#10;AAAAAAAAAAAAAAAALwEAAF9yZWxzLy5yZWxzUEsBAi0AFAAGAAgAAAAhAKzJmA2yAgAA6QUAAA4A&#10;AAAAAAAAAAAAAAAALgIAAGRycy9lMm9Eb2MueG1sUEsBAi0AFAAGAAgAAAAhAKQYQ4jdAAAABwEA&#10;AA8AAAAAAAAAAAAAAAAADAUAAGRycy9kb3ducmV2LnhtbFBLBQYAAAAABAAEAPMAAAAWBgAAAAA=&#10;" filled="f" strokecolor="#7f7f7f [1612]" strokeweight="1.5pt">
                <v:stroke dashstyle="3 1"/>
                <v:path arrowok="t"/>
              </v:rect>
            </w:pict>
          </mc:Fallback>
        </mc:AlternateContent>
      </w:r>
      <w:r w:rsidR="00E55AED" w:rsidRPr="00EE40A0">
        <w:rPr>
          <w:rFonts w:ascii="Segoe UI" w:eastAsia="Segoe UI" w:hAnsi="Segoe UI" w:cs="Segoe UI"/>
          <w:b/>
          <w:noProof/>
          <w:color w:val="008080"/>
          <w:kern w:val="24"/>
          <w:sz w:val="18"/>
          <w:lang w:eastAsia="el-GR"/>
        </w:rPr>
        <w:drawing>
          <wp:inline distT="0" distB="0" distL="0" distR="0" wp14:anchorId="08321D9F" wp14:editId="05A71A0F">
            <wp:extent cx="6422066" cy="1871330"/>
            <wp:effectExtent l="0" t="0" r="0" b="0"/>
            <wp:docPr id="7508471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0C1A73"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r>
        <w:rPr>
          <w:rFonts w:ascii="Segoe UI" w:hAnsi="Segoe UI" w:cs="Segoe UI"/>
          <w:noProof/>
          <w:lang w:eastAsia="el-GR"/>
        </w:rPr>
        <mc:AlternateContent>
          <mc:Choice Requires="wps">
            <w:drawing>
              <wp:anchor distT="0" distB="0" distL="114300" distR="114300" simplePos="0" relativeHeight="251664896" behindDoc="0" locked="0" layoutInCell="1" allowOverlap="1" wp14:anchorId="76365E1D" wp14:editId="1EC57EE4">
                <wp:simplePos x="0" y="0"/>
                <wp:positionH relativeFrom="column">
                  <wp:posOffset>3806825</wp:posOffset>
                </wp:positionH>
                <wp:positionV relativeFrom="paragraph">
                  <wp:posOffset>17780</wp:posOffset>
                </wp:positionV>
                <wp:extent cx="810260" cy="245110"/>
                <wp:effectExtent l="0" t="76200" r="27940" b="21590"/>
                <wp:wrapNone/>
                <wp:docPr id="38"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817D20" w:rsidRPr="00D23243" w:rsidRDefault="00817D20"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11</w:t>
                            </w:r>
                            <w:proofErr w:type="gramStart"/>
                            <w:r>
                              <w:rPr>
                                <w:rFonts w:ascii="Segoe UI" w:eastAsia="+mn-ea" w:hAnsi="Segoe UI" w:cs="+mn-cs"/>
                                <w:b/>
                                <w:bCs/>
                                <w:color w:val="00B050"/>
                                <w:kern w:val="24"/>
                                <w:sz w:val="16"/>
                                <w:szCs w:val="16"/>
                              </w:rPr>
                              <w:t>,5</w:t>
                            </w:r>
                            <w:proofErr w:type="gramEnd"/>
                            <w:r>
                              <w:rPr>
                                <w:rFonts w:ascii="Segoe UI" w:eastAsia="+mn-ea" w:hAnsi="Segoe UI" w:cs="+mn-cs"/>
                                <w:b/>
                                <w:bCs/>
                                <w:color w:val="00B050"/>
                                <w:kern w:val="24"/>
                                <w:sz w:val="16"/>
                                <w:szCs w:val="16"/>
                              </w:rPr>
                              <w:t xml:space="preserve">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6365E1D" id="Rectangular Callout 37" o:spid="_x0000_s1046" type="#_x0000_t61" style="position:absolute;left:0;text-align:left;margin-left:299.75pt;margin-top:1.4pt;width:63.8pt;height:1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TFIAIAAE0EAAAOAAAAZHJzL2Uyb0RvYy54bWysVMlu2zAQvRfoPxC8x9pqxxAsB0EM9xK0&#10;QZN+wJiilpZbSdqS/75DWnbttqeiOhAkZ3vvDUerh1EKcuDW9VpVNJullHDFdN2rtqJf37Z3S0qc&#10;B1WD0IpX9MgdfVi/f7caTMlz3WlRc0swiXLlYCraeW/KJHGs4xLcTBuu0NhoK8Hj0bZJbWHA7FIk&#10;eZoukkHb2ljNuHN4uzkZ6TrmbxrO/OemcdwTUVHE5uNq47oLa7JeQdlaMF3PJhjwDygk9AqLXlJt&#10;wAPZ2/6PVLJnVjvd+BnTMtFN0zMeOSCbLP2NzWsHhkcuKI4zF5nc/0vLPh1eLOnrihbYKQUSe/QF&#10;VQPV7gVY8gRC6L0nxX2QajCuxIhX82IDWWeeNfvu0JDcWMLBTT5jY2XwRapkjLofL7rz0ROGl8ss&#10;zRfYHYam/MM8y2JfEijPwcY6/5FrScKmogOvWx5QTuii8nB4dj62oJ54QP0to6SRAjt6AEHuirQo&#10;po5f+eQ3PvfFfB65YvkpJe7OACJrLfp62wsRD7bdPQlLMH9Ft/ELFTDEXbsJRQYcj/w+DTQBH3oj&#10;wONWGpTeqZYSEC1OEPM2srmJdtdF5otFunz8W5EAcgOuO4GJGSY3oQJWHucBVTo37NSj0C0/7sb4&#10;CvIofbja6fqIT2PA2UCEP/ZgOYJUrNM4PmeYSj/uvW76S8pT1PQg8M1GKab5CkNxfY5ev/4C658A&#10;AAD//wMAUEsDBBQABgAIAAAAIQC6CKJl4QAAAAgBAAAPAAAAZHJzL2Rvd25yZXYueG1sTI/BTsMw&#10;EETvSPyDtUjcqJOopTRkU1WgoAohUAsHuG3jJTHEdhS7bfr3mBMcRzOaeVMsR9OJAw9eO4uQThIQ&#10;bGuntG0Q3l6rqxsQPpBV1DnLCCf2sCzPzwrKlTvaDR+2oRGxxPqcENoQ+lxKX7dsyE9czzZ6n24w&#10;FKIcGqkGOsZy08ksSa6lIW3jQks937Vcf2/3BuFeJ5rXT6uvbEPPH9VjtX44vbwjXl6Mq1sQgcfw&#10;F4Zf/IgOZWTaub1VXnQIs8ViFqMIWXwQ/Xk2T0HsEKbpFGRZyP8Hyh8AAAD//wMAUEsBAi0AFAAG&#10;AAgAAAAhALaDOJL+AAAA4QEAABMAAAAAAAAAAAAAAAAAAAAAAFtDb250ZW50X1R5cGVzXS54bWxQ&#10;SwECLQAUAAYACAAAACEAOP0h/9YAAACUAQAACwAAAAAAAAAAAAAAAAAvAQAAX3JlbHMvLnJlbHNQ&#10;SwECLQAUAAYACAAAACEAbF7kxSACAABNBAAADgAAAAAAAAAAAAAAAAAuAgAAZHJzL2Uyb0RvYy54&#10;bWxQSwECLQAUAAYACAAAACEAugiiZeEAAAAIAQAADwAAAAAAAAAAAAAAAAB6BAAAZHJzL2Rvd25y&#10;ZXYueG1sUEsFBgAAAAAEAAQA8wAAAIgFAAAAAA==&#10;" adj="10145,-5088" strokecolor="#56608a" strokeweight="1pt">
                <v:path arrowok="t"/>
                <v:textbox>
                  <w:txbxContent>
                    <w:p w:rsidR="00817D20" w:rsidRPr="00D23243" w:rsidRDefault="00817D20"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rPr>
                        <w:t>11</w:t>
                      </w:r>
                      <w:proofErr w:type="gramStart"/>
                      <w:r>
                        <w:rPr>
                          <w:rFonts w:ascii="Segoe UI" w:eastAsia="+mn-ea" w:hAnsi="Segoe UI" w:cs="+mn-cs"/>
                          <w:b/>
                          <w:bCs/>
                          <w:color w:val="00B050"/>
                          <w:kern w:val="24"/>
                          <w:sz w:val="16"/>
                          <w:szCs w:val="16"/>
                        </w:rPr>
                        <w:t>,5</w:t>
                      </w:r>
                      <w:proofErr w:type="gramEnd"/>
                      <w:r>
                        <w:rPr>
                          <w:rFonts w:ascii="Segoe UI" w:eastAsia="+mn-ea" w:hAnsi="Segoe UI" w:cs="+mn-cs"/>
                          <w:b/>
                          <w:bCs/>
                          <w:color w:val="00B050"/>
                          <w:kern w:val="24"/>
                          <w:sz w:val="16"/>
                          <w:szCs w:val="16"/>
                        </w:rPr>
                        <w:t xml:space="preserve"> δισ.</w:t>
                      </w:r>
                    </w:p>
                  </w:txbxContent>
                </v:textbox>
              </v:shape>
            </w:pict>
          </mc:Fallback>
        </mc:AlternateContent>
      </w:r>
      <w:r>
        <w:rPr>
          <w:rFonts w:ascii="Segoe UI" w:hAnsi="Segoe UI" w:cs="Segoe UI"/>
          <w:noProof/>
          <w:lang w:eastAsia="el-GR"/>
        </w:rPr>
        <mc:AlternateContent>
          <mc:Choice Requires="wps">
            <w:drawing>
              <wp:anchor distT="0" distB="0" distL="114300" distR="114300" simplePos="0" relativeHeight="251665920" behindDoc="0" locked="0" layoutInCell="1" allowOverlap="1" wp14:anchorId="627ACFD0" wp14:editId="1C835A92">
                <wp:simplePos x="0" y="0"/>
                <wp:positionH relativeFrom="column">
                  <wp:posOffset>638810</wp:posOffset>
                </wp:positionH>
                <wp:positionV relativeFrom="paragraph">
                  <wp:posOffset>15875</wp:posOffset>
                </wp:positionV>
                <wp:extent cx="810260" cy="245110"/>
                <wp:effectExtent l="0" t="76200" r="27940" b="21590"/>
                <wp:wrapNone/>
                <wp:docPr id="24" name="Rectangular Callou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260" cy="245110"/>
                        </a:xfrm>
                        <a:prstGeom prst="wedgeRectCallout">
                          <a:avLst>
                            <a:gd name="adj1" fmla="val -3033"/>
                            <a:gd name="adj2" fmla="val -73557"/>
                          </a:avLst>
                        </a:prstGeom>
                        <a:solidFill>
                          <a:srgbClr val="FFFFFF"/>
                        </a:solidFill>
                        <a:ln w="12700" cap="flat" cmpd="sng" algn="ctr">
                          <a:solidFill>
                            <a:srgbClr val="56608A"/>
                          </a:solidFill>
                          <a:prstDash val="solid"/>
                        </a:ln>
                        <a:effectLst/>
                      </wps:spPr>
                      <wps:txbx>
                        <w:txbxContent>
                          <w:p w:rsidR="00817D20" w:rsidRPr="00D23243" w:rsidRDefault="00817D20"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w:t>
                            </w:r>
                            <w:proofErr w:type="gramStart"/>
                            <w:r>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lang w:val="en-US"/>
                              </w:rPr>
                              <w:t>6</w:t>
                            </w:r>
                            <w:proofErr w:type="gramEnd"/>
                            <w:r>
                              <w:rPr>
                                <w:rFonts w:ascii="Segoe UI" w:eastAsia="+mn-ea" w:hAnsi="Segoe UI" w:cs="+mn-cs"/>
                                <w:b/>
                                <w:bCs/>
                                <w:color w:val="FF0000"/>
                                <w:kern w:val="24"/>
                                <w:sz w:val="16"/>
                                <w:szCs w:val="16"/>
                              </w:rPr>
                              <w:t xml:space="preserve"> δισ.</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27ACFD0" id="_x0000_s1047" type="#_x0000_t61" style="position:absolute;left:0;text-align:left;margin-left:50.3pt;margin-top:1.25pt;width:63.8pt;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0QIQIAAE0EAAAOAAAAZHJzL2Uyb0RvYy54bWysVMuO2jAU3VfqP1jeD3kwMCgijEaD6GbU&#10;jjrtB1wcO0nrV21D4O97bQKFtquqWVi27+ucc32zfDwoSfbc+d7omhaTnBKumWl63db065fN3YIS&#10;H0A3II3mNT1yTx9X798tB1vx0nRGNtwRTKJ9NdiadiHYKss867gCPzGWazQK4xQEPLo2axwMmF3J&#10;rMzzeTYY11hnGPceb9cnI12l/EJwFj4J4XkgsqaILaTVpXUb12y1hKp1YLuejTDgH1Ao6DUWvaRa&#10;QwCyc/0fqVTPnPFGhAkzKjNC9IwnDsimyH9j89aB5YkLiuPtRSb//9Kyj/tXR/qmpuU9JRoU9ugz&#10;qga63Ulw5BmkNLtApg9RqsH6CiPe7KuLZL19Mey7R0N2Y4kHP/ochFPRF6mSQ9L9eNGdHwJheLko&#10;8nKO3WFoKu9nRZH6kkF1DrbOhw/cKBI3NR140/KIckSXlIf9iw+pBc3IA5pvBSVCSezoHiS5m+bT&#10;6djxK5/yxudhOpslrlh+TIm7M4DE2si+2fRSpoNrt8/SEcxf0036YgUM8dduUpMBx6N8yCNNwIcu&#10;JATcKovSe91SArLFCWLBJTY30f66yGw+zxdPfysSQa7BdycwKcPoJnXEytM8oErnhp16FLsVDtvD&#10;6RUUMSRebU1zxKcx4Gwgwh87cBxBatYZHJ8zTG2edsGI/pLyFDU+CHyzSYpxvuJQXJ+T16+/wOon&#10;AAAA//8DAFBLAwQUAAYACAAAACEApBZyA94AAAAIAQAADwAAAGRycy9kb3ducmV2LnhtbEyPQUvD&#10;QBCF74L/YRnBm91kUSkxm1KUSBGxtHrQ2zY7JqvZ2ZDdtum/dzzp8fEe33xTLibfiwOO0QXSkM8y&#10;EEhNsI5aDW+v9dUcREyGrOkDoYYTRlhU52elKWw40gYP29QKhlAsjIYupaGQMjYdehNnYUDi7jOM&#10;3iSOYyvtaI4M971UWXYrvXHEFzoz4H2Hzfd27zU8uMzh6nn5pTbm5aN+qlePp/W71pcX0/IORMIp&#10;/Y3hV5/VoWKnXdiTjaLnzHSealA3ILhXaq5A7DRc5znIqpT/H6h+AAAA//8DAFBLAQItABQABgAI&#10;AAAAIQC2gziS/gAAAOEBAAATAAAAAAAAAAAAAAAAAAAAAABbQ29udGVudF9UeXBlc10ueG1sUEsB&#10;Ai0AFAAGAAgAAAAhADj9If/WAAAAlAEAAAsAAAAAAAAAAAAAAAAALwEAAF9yZWxzLy5yZWxzUEsB&#10;Ai0AFAAGAAgAAAAhAPfmPRAhAgAATQQAAA4AAAAAAAAAAAAAAAAALgIAAGRycy9lMm9Eb2MueG1s&#10;UEsBAi0AFAAGAAgAAAAhAKQWcgPeAAAACAEAAA8AAAAAAAAAAAAAAAAAewQAAGRycy9kb3ducmV2&#10;LnhtbFBLBQYAAAAABAAEAPMAAACGBQAAAAA=&#10;" adj="10145,-5088" strokecolor="#56608a" strokeweight="1pt">
                <v:path arrowok="t"/>
                <v:textbox>
                  <w:txbxContent>
                    <w:p w:rsidR="00817D20" w:rsidRPr="00D23243" w:rsidRDefault="00817D20"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w:t>
                      </w:r>
                      <w:proofErr w:type="gramStart"/>
                      <w:r>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lang w:val="en-US"/>
                        </w:rPr>
                        <w:t>6</w:t>
                      </w:r>
                      <w:proofErr w:type="gramEnd"/>
                      <w:r>
                        <w:rPr>
                          <w:rFonts w:ascii="Segoe UI" w:eastAsia="+mn-ea" w:hAnsi="Segoe UI" w:cs="+mn-cs"/>
                          <w:b/>
                          <w:bCs/>
                          <w:color w:val="FF0000"/>
                          <w:kern w:val="24"/>
                          <w:sz w:val="16"/>
                          <w:szCs w:val="16"/>
                        </w:rPr>
                        <w:t xml:space="preserve"> δισ.</w:t>
                      </w:r>
                    </w:p>
                  </w:txbxContent>
                </v:textbox>
              </v:shape>
            </w:pict>
          </mc:Fallback>
        </mc:AlternateContent>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sz w:val="2"/>
          <w:lang w:val="en-US" w:eastAsia="el-GR"/>
        </w:rPr>
      </w:pPr>
      <w:r w:rsidRPr="00EE40A0">
        <w:rPr>
          <w:rFonts w:ascii="Segoe UI" w:hAnsi="Segoe UI" w:cs="Segoe UI"/>
          <w:noProof/>
          <w:color w:val="000000"/>
          <w:sz w:val="2"/>
          <w:lang w:val="en-US" w:eastAsia="el-GR"/>
        </w:rPr>
        <w:br w:type="page"/>
      </w:r>
    </w:p>
    <w:p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lastRenderedPageBreak/>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rsidR="000F701B" w:rsidRPr="000F701B" w:rsidRDefault="000F701B" w:rsidP="009608A0">
      <w:pPr>
        <w:spacing w:after="160"/>
        <w:jc w:val="both"/>
        <w:rPr>
          <w:rFonts w:ascii="Segoe UI" w:hAnsi="Segoe UI" w:cs="Segoe UI"/>
          <w:sz w:val="15"/>
          <w:szCs w:val="15"/>
        </w:rPr>
      </w:pPr>
      <w:r w:rsidRPr="000F701B">
        <w:rPr>
          <w:rFonts w:ascii="Segoe UI" w:hAnsi="Segoe UI" w:cs="Segoe UI"/>
          <w:sz w:val="15"/>
          <w:szCs w:val="15"/>
          <w:lang w:val="en-US"/>
        </w:rPr>
        <w:t>To</w:t>
      </w:r>
      <w:r w:rsidRPr="000F701B">
        <w:rPr>
          <w:rFonts w:ascii="Segoe UI" w:hAnsi="Segoe UI" w:cs="Segoe UI"/>
          <w:sz w:val="15"/>
          <w:szCs w:val="15"/>
        </w:rPr>
        <w:t xml:space="preserve"> παρόν Δελτίο Τύπου των Αποτελεσμάτων </w:t>
      </w:r>
      <w:r w:rsidR="00B33F26">
        <w:rPr>
          <w:rFonts w:ascii="Segoe UI" w:hAnsi="Segoe UI" w:cs="Segoe UI"/>
          <w:sz w:val="15"/>
          <w:szCs w:val="15"/>
        </w:rPr>
        <w:t xml:space="preserve">του </w:t>
      </w:r>
      <w:r w:rsidR="0047533D">
        <w:rPr>
          <w:rFonts w:ascii="Segoe UI" w:hAnsi="Segoe UI" w:cs="Segoe UI"/>
          <w:sz w:val="15"/>
          <w:szCs w:val="15"/>
        </w:rPr>
        <w:t>Δ</w:t>
      </w:r>
      <w:r w:rsidR="002B6641">
        <w:rPr>
          <w:rFonts w:ascii="Segoe UI" w:hAnsi="Segoe UI" w:cs="Segoe UI"/>
          <w:sz w:val="15"/>
          <w:szCs w:val="15"/>
        </w:rPr>
        <w:t>’ τριμήνου 2020</w:t>
      </w:r>
      <w:r w:rsidRPr="000F701B">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και της Τράπεζας για τη</w:t>
      </w:r>
      <w:r w:rsidR="00B269FD">
        <w:rPr>
          <w:rFonts w:ascii="Segoe UI" w:hAnsi="Segoe UI" w:cs="Segoe UI"/>
          <w:sz w:val="15"/>
          <w:szCs w:val="15"/>
        </w:rPr>
        <w:t xml:space="preserve"> χρήση </w:t>
      </w:r>
      <w:r w:rsidRPr="000F701B">
        <w:rPr>
          <w:rFonts w:ascii="Segoe UI" w:hAnsi="Segoe UI" w:cs="Segoe UI"/>
          <w:sz w:val="15"/>
          <w:szCs w:val="15"/>
        </w:rPr>
        <w:t>που έληξε 3</w:t>
      </w:r>
      <w:r w:rsidR="0047533D">
        <w:rPr>
          <w:rFonts w:ascii="Segoe UI" w:hAnsi="Segoe UI" w:cs="Segoe UI"/>
          <w:sz w:val="15"/>
          <w:szCs w:val="15"/>
        </w:rPr>
        <w:t>1</w:t>
      </w:r>
      <w:r w:rsidRPr="000F701B">
        <w:rPr>
          <w:rFonts w:ascii="Segoe UI" w:hAnsi="Segoe UI" w:cs="Segoe UI"/>
          <w:sz w:val="15"/>
          <w:szCs w:val="15"/>
        </w:rPr>
        <w:t xml:space="preserve"> </w:t>
      </w:r>
      <w:r w:rsidR="0047533D" w:rsidRPr="0047533D">
        <w:rPr>
          <w:rFonts w:ascii="Segoe UI" w:hAnsi="Segoe UI" w:cs="Segoe UI"/>
          <w:sz w:val="15"/>
          <w:szCs w:val="15"/>
        </w:rPr>
        <w:t xml:space="preserve">Δεκεμβρίου </w:t>
      </w:r>
      <w:r w:rsidR="00FB540B">
        <w:rPr>
          <w:rFonts w:ascii="Segoe UI" w:hAnsi="Segoe UI" w:cs="Segoe UI"/>
          <w:sz w:val="15"/>
          <w:szCs w:val="15"/>
        </w:rPr>
        <w:t>2020</w:t>
      </w:r>
      <w:r w:rsidRPr="000F701B">
        <w:rPr>
          <w:rFonts w:ascii="Segoe UI" w:hAnsi="Segoe UI" w:cs="Segoe UI"/>
          <w:sz w:val="15"/>
          <w:szCs w:val="15"/>
        </w:rPr>
        <w:t xml:space="preserve"> και της χρήσης που έληξε 31 Δεκεμβρίου 201</w:t>
      </w:r>
      <w:r w:rsidR="00FB540B">
        <w:rPr>
          <w:rFonts w:ascii="Segoe UI" w:hAnsi="Segoe UI" w:cs="Segoe UI"/>
          <w:sz w:val="15"/>
          <w:szCs w:val="15"/>
        </w:rPr>
        <w:t>9</w:t>
      </w:r>
      <w:r w:rsidR="009608A0">
        <w:rPr>
          <w:rFonts w:ascii="Segoe UI" w:hAnsi="Segoe UI" w:cs="Segoe UI"/>
          <w:sz w:val="15"/>
          <w:szCs w:val="15"/>
        </w:rPr>
        <w:t>,</w:t>
      </w:r>
      <w:r w:rsidRPr="000F701B">
        <w:rPr>
          <w:rFonts w:ascii="Segoe UI" w:hAnsi="Segoe UI" w:cs="Segoe UI"/>
          <w:sz w:val="15"/>
          <w:szCs w:val="15"/>
        </w:rPr>
        <w:t xml:space="preserve"> </w:t>
      </w:r>
      <w:r w:rsidR="009608A0" w:rsidRPr="009608A0">
        <w:rPr>
          <w:rFonts w:ascii="Segoe UI" w:hAnsi="Segoe UI" w:cs="Segoe UI"/>
          <w:sz w:val="15"/>
          <w:szCs w:val="15"/>
        </w:rPr>
        <w:t>οι οποίες έχουν συνταχθεί με βάση τα Διεθνή</w:t>
      </w:r>
      <w:r w:rsidR="009608A0">
        <w:rPr>
          <w:rFonts w:ascii="Segoe UI" w:hAnsi="Segoe UI" w:cs="Segoe UI"/>
          <w:sz w:val="15"/>
          <w:szCs w:val="15"/>
        </w:rPr>
        <w:t xml:space="preserve"> </w:t>
      </w:r>
      <w:r w:rsidR="009608A0" w:rsidRPr="009608A0">
        <w:rPr>
          <w:rFonts w:ascii="Segoe UI" w:hAnsi="Segoe UI" w:cs="Segoe UI"/>
          <w:sz w:val="15"/>
          <w:szCs w:val="15"/>
        </w:rPr>
        <w:t>Πρότυπα Χρηματοοικονομικής Αναφοράς («ΔΠΧΑ»), όπως αυτά έχουν υιοθετηθεί από την Ευρωπαϊκή Ένωση («ΕΕ»).</w:t>
      </w:r>
      <w:r w:rsidRPr="000F701B">
        <w:rPr>
          <w:rFonts w:ascii="Segoe UI" w:hAnsi="Segoe UI" w:cs="Segoe UI"/>
          <w:sz w:val="15"/>
          <w:szCs w:val="15"/>
        </w:rPr>
        <w:t xml:space="preserve"> 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Borders>
          <w:top w:val="dotted" w:sz="4" w:space="0" w:color="007180"/>
          <w:left w:val="dotted" w:sz="4" w:space="0" w:color="007180"/>
          <w:bottom w:val="single" w:sz="12" w:space="0" w:color="007180"/>
          <w:right w:val="dotted" w:sz="4" w:space="0" w:color="007180"/>
          <w:insideH w:val="dotted" w:sz="4" w:space="0" w:color="007180"/>
          <w:insideV w:val="dotted" w:sz="4" w:space="0" w:color="007180"/>
        </w:tblBorders>
        <w:tblLook w:val="04A0" w:firstRow="1" w:lastRow="0" w:firstColumn="1" w:lastColumn="0" w:noHBand="0" w:noVBand="1"/>
      </w:tblPr>
      <w:tblGrid>
        <w:gridCol w:w="1972"/>
        <w:gridCol w:w="1134"/>
        <w:gridCol w:w="7087"/>
      </w:tblGrid>
      <w:tr w:rsidR="0027264F" w:rsidRPr="00CB691B" w:rsidTr="00D95F56">
        <w:trPr>
          <w:trHeight w:val="113"/>
        </w:trPr>
        <w:tc>
          <w:tcPr>
            <w:tcW w:w="1972" w:type="dxa"/>
            <w:shd w:val="clear" w:color="auto" w:fill="007180"/>
            <w:noWrap/>
            <w:vAlign w:val="bottom"/>
            <w:hideMark/>
          </w:tcPr>
          <w:p w:rsidR="0027264F" w:rsidRPr="00285C10" w:rsidRDefault="0027264F" w:rsidP="00D95F56">
            <w:pPr>
              <w:rPr>
                <w:rFonts w:ascii="Segoe UI" w:hAnsi="Segoe UI" w:cs="Segoe UI"/>
                <w:b/>
                <w:color w:val="FFFFFF" w:themeColor="background1"/>
                <w:sz w:val="13"/>
                <w:szCs w:val="13"/>
              </w:rPr>
            </w:pPr>
            <w:r w:rsidRPr="00285C10">
              <w:rPr>
                <w:rFonts w:ascii="Segoe UI" w:hAnsi="Segoe UI" w:cs="Segoe UI"/>
                <w:b/>
                <w:color w:val="FFFFFF" w:themeColor="background1"/>
                <w:sz w:val="13"/>
                <w:szCs w:val="13"/>
              </w:rPr>
              <w:lastRenderedPageBreak/>
              <w:t>Ονομασία</w:t>
            </w:r>
          </w:p>
        </w:tc>
        <w:tc>
          <w:tcPr>
            <w:tcW w:w="1134" w:type="dxa"/>
            <w:shd w:val="clear" w:color="auto" w:fill="007180"/>
            <w:noWrap/>
            <w:vAlign w:val="bottom"/>
            <w:hideMark/>
          </w:tcPr>
          <w:p w:rsidR="0027264F" w:rsidRPr="00285C10" w:rsidRDefault="0027264F" w:rsidP="00D95F56">
            <w:pPr>
              <w:rPr>
                <w:rFonts w:ascii="Segoe UI" w:hAnsi="Segoe UI" w:cs="Segoe UI"/>
                <w:b/>
                <w:color w:val="FFFFFF" w:themeColor="background1"/>
                <w:sz w:val="13"/>
                <w:szCs w:val="13"/>
              </w:rPr>
            </w:pPr>
            <w:proofErr w:type="spellStart"/>
            <w:r w:rsidRPr="00285C10">
              <w:rPr>
                <w:rFonts w:ascii="Segoe UI" w:hAnsi="Segoe UI" w:cs="Segoe UI"/>
                <w:b/>
                <w:color w:val="FFFFFF" w:themeColor="background1"/>
                <w:sz w:val="13"/>
                <w:szCs w:val="13"/>
              </w:rPr>
              <w:t>Συντομ</w:t>
            </w:r>
            <w:proofErr w:type="spellEnd"/>
            <w:r w:rsidRPr="00285C10">
              <w:rPr>
                <w:rFonts w:ascii="Segoe UI" w:hAnsi="Segoe UI" w:cs="Segoe UI"/>
                <w:b/>
                <w:color w:val="FFFFFF" w:themeColor="background1"/>
                <w:sz w:val="13"/>
                <w:szCs w:val="13"/>
              </w:rPr>
              <w:t>/</w:t>
            </w:r>
            <w:proofErr w:type="spellStart"/>
            <w:r w:rsidRPr="00285C10">
              <w:rPr>
                <w:rFonts w:ascii="Segoe UI" w:hAnsi="Segoe UI" w:cs="Segoe UI"/>
                <w:b/>
                <w:color w:val="FFFFFF" w:themeColor="background1"/>
                <w:sz w:val="13"/>
                <w:szCs w:val="13"/>
              </w:rPr>
              <w:t>φία</w:t>
            </w:r>
            <w:proofErr w:type="spellEnd"/>
          </w:p>
        </w:tc>
        <w:tc>
          <w:tcPr>
            <w:tcW w:w="7087" w:type="dxa"/>
            <w:shd w:val="clear" w:color="auto" w:fill="007180"/>
            <w:noWrap/>
            <w:vAlign w:val="bottom"/>
            <w:hideMark/>
          </w:tcPr>
          <w:p w:rsidR="0027264F" w:rsidRPr="00285C10" w:rsidRDefault="0027264F" w:rsidP="00D95F56">
            <w:pPr>
              <w:rPr>
                <w:rFonts w:ascii="Segoe UI" w:hAnsi="Segoe UI" w:cs="Segoe UI"/>
                <w:b/>
                <w:color w:val="FFFFFF" w:themeColor="background1"/>
                <w:sz w:val="13"/>
                <w:szCs w:val="13"/>
              </w:rPr>
            </w:pPr>
            <w:r w:rsidRPr="00285C10">
              <w:rPr>
                <w:rFonts w:ascii="Segoe UI" w:hAnsi="Segoe UI" w:cs="Segoe UI"/>
                <w:b/>
                <w:color w:val="FFFFFF" w:themeColor="background1"/>
                <w:sz w:val="13"/>
                <w:szCs w:val="13"/>
              </w:rPr>
              <w:t>Ορισμός</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Αποσβέσεις</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B36D8D"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Αποσβέσεις και προβλέψεις απομείωσης αξίας ακινήτων επενδύσεων, ενσώματων παγίων συμπεριλαμβανομένων των δικαιωμάτων χρήσης, λογισμικού και λοιπών άυλων περιουσιακών στοιχείων</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Γενικά Διοικητικά Έξοδα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Γενικά διοικητικά και λοιπά λειτουργικά έξοδα</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proofErr w:type="spellStart"/>
            <w:r w:rsidRPr="00285C10">
              <w:rPr>
                <w:rFonts w:ascii="Segoe UI" w:eastAsia="MS Mincho" w:hAnsi="Segoe UI" w:cs="Segoe UI"/>
                <w:color w:val="000000"/>
                <w:sz w:val="13"/>
                <w:szCs w:val="13"/>
                <w:lang w:val="en-GB"/>
              </w:rPr>
              <w:t>Δάνει</w:t>
            </w:r>
            <w:proofErr w:type="spellEnd"/>
            <w:r w:rsidRPr="00285C10">
              <w:rPr>
                <w:rFonts w:ascii="Segoe UI" w:eastAsia="MS Mincho" w:hAnsi="Segoe UI" w:cs="Segoe UI"/>
                <w:color w:val="000000"/>
                <w:sz w:val="13"/>
                <w:szCs w:val="13"/>
                <w:lang w:val="en-GB"/>
              </w:rPr>
              <w:t xml:space="preserve">α </w:t>
            </w:r>
            <w:proofErr w:type="spellStart"/>
            <w:r w:rsidRPr="00285C10">
              <w:rPr>
                <w:rFonts w:ascii="Segoe UI" w:eastAsia="MS Mincho" w:hAnsi="Segoe UI" w:cs="Segoe UI"/>
                <w:color w:val="000000"/>
                <w:sz w:val="13"/>
                <w:szCs w:val="13"/>
                <w:lang w:val="en-GB"/>
              </w:rPr>
              <w:t>μετά</w:t>
            </w:r>
            <w:proofErr w:type="spellEnd"/>
            <w:r w:rsidRPr="00285C10">
              <w:rPr>
                <w:rFonts w:ascii="Segoe UI" w:eastAsia="MS Mincho" w:hAnsi="Segoe UI" w:cs="Segoe UI"/>
                <w:color w:val="000000"/>
                <w:sz w:val="13"/>
                <w:szCs w:val="13"/>
                <w:lang w:val="en-GB"/>
              </w:rPr>
              <w:t xml:space="preserve"> </w:t>
            </w:r>
            <w:r w:rsidRPr="00285C10">
              <w:rPr>
                <w:rFonts w:ascii="Segoe UI" w:eastAsia="MS Mincho" w:hAnsi="Segoe UI" w:cs="Segoe UI"/>
                <w:color w:val="000000"/>
                <w:sz w:val="13"/>
                <w:szCs w:val="13"/>
              </w:rPr>
              <w:t>από Προβλέψεις</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w:t>
            </w:r>
          </w:p>
        </w:tc>
      </w:tr>
      <w:tr w:rsidR="0027264F" w:rsidRPr="00CB691B" w:rsidTr="00D95F56">
        <w:trPr>
          <w:trHeight w:val="113"/>
        </w:trPr>
        <w:tc>
          <w:tcPr>
            <w:tcW w:w="1972" w:type="dxa"/>
            <w:shd w:val="clear" w:color="000000" w:fill="FFFFFF"/>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προ Προβλέψεων</w:t>
            </w:r>
          </w:p>
        </w:tc>
        <w:tc>
          <w:tcPr>
            <w:tcW w:w="1134" w:type="dxa"/>
            <w:shd w:val="clear" w:color="000000" w:fill="FFFFFF"/>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000000" w:fill="FFFFFF"/>
            <w:noWrap/>
            <w:vAlign w:val="center"/>
            <w:hideMark/>
          </w:tcPr>
          <w:p w:rsidR="0027264F" w:rsidRPr="00285C10" w:rsidRDefault="00B36D8D"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 σε αποσβεσμένο κόστος προ πρόβλεψης ΑΠΖ δανείων και απαιτήσεων κατά πελατών σε αποσβεσμένο κόστος, πλέον δανείων και απαιτήσεων κατά πελατών επιμετρούμενων υποχρεωτικά σε ΕΑΜΑ</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proofErr w:type="spellStart"/>
            <w:r w:rsidRPr="00285C10">
              <w:rPr>
                <w:rFonts w:ascii="Segoe UI" w:eastAsia="MS Mincho" w:hAnsi="Segoe UI" w:cs="Segoe UI"/>
                <w:color w:val="000000"/>
                <w:sz w:val="13"/>
                <w:szCs w:val="13"/>
                <w:lang w:val="en-GB"/>
              </w:rPr>
              <w:t>Δείκτης</w:t>
            </w:r>
            <w:proofErr w:type="spellEnd"/>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Δάνει</w:t>
            </w:r>
            <w:proofErr w:type="spellEnd"/>
            <w:r w:rsidRPr="00285C10">
              <w:rPr>
                <w:rFonts w:ascii="Segoe UI" w:eastAsia="MS Mincho" w:hAnsi="Segoe UI" w:cs="Segoe UI"/>
                <w:color w:val="000000"/>
                <w:sz w:val="13"/>
                <w:szCs w:val="13"/>
                <w:lang w:val="en-GB"/>
              </w:rPr>
              <w:t>α π</w:t>
            </w:r>
            <w:proofErr w:type="spellStart"/>
            <w:r w:rsidRPr="00285C10">
              <w:rPr>
                <w:rFonts w:ascii="Segoe UI" w:eastAsia="MS Mincho" w:hAnsi="Segoe UI" w:cs="Segoe UI"/>
                <w:color w:val="000000"/>
                <w:sz w:val="13"/>
                <w:szCs w:val="13"/>
                <w:lang w:val="en-GB"/>
              </w:rPr>
              <w:t>ρος</w:t>
            </w:r>
            <w:proofErr w:type="spellEnd"/>
            <w:r w:rsidRPr="00285C10">
              <w:rPr>
                <w:rFonts w:ascii="Segoe UI" w:eastAsia="MS Mincho" w:hAnsi="Segoe UI" w:cs="Segoe UI"/>
                <w:color w:val="000000"/>
                <w:sz w:val="13"/>
                <w:szCs w:val="13"/>
                <w:lang w:val="en-GB"/>
              </w:rPr>
              <w:t xml:space="preserve"> Κατα</w:t>
            </w:r>
            <w:proofErr w:type="spellStart"/>
            <w:r w:rsidRPr="00285C10">
              <w:rPr>
                <w:rFonts w:ascii="Segoe UI" w:eastAsia="MS Mincho" w:hAnsi="Segoe UI" w:cs="Segoe UI"/>
                <w:color w:val="000000"/>
                <w:sz w:val="13"/>
                <w:szCs w:val="13"/>
                <w:lang w:val="en-GB"/>
              </w:rPr>
              <w:t>θέσεις</w:t>
            </w:r>
            <w:proofErr w:type="spellEnd"/>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Δάνεια μετά από προβλέψεις προς καταθέσεις, τέλος </w:t>
            </w:r>
            <w:r w:rsidR="00D96BA6" w:rsidRPr="00285C10">
              <w:rPr>
                <w:rFonts w:ascii="Segoe UI" w:eastAsia="MS Mincho" w:hAnsi="Segoe UI" w:cs="Segoe UI"/>
                <w:color w:val="000000"/>
                <w:sz w:val="13"/>
                <w:szCs w:val="13"/>
              </w:rPr>
              <w:t>χρήσης</w:t>
            </w:r>
            <w:r w:rsidR="00941D74" w:rsidRPr="00285C10">
              <w:rPr>
                <w:rFonts w:ascii="Segoe UI" w:eastAsia="MS Mincho" w:hAnsi="Segoe UI" w:cs="Segoe UI"/>
                <w:color w:val="000000"/>
                <w:sz w:val="13"/>
                <w:szCs w:val="13"/>
              </w:rPr>
              <w:t xml:space="preserve"> </w:t>
            </w:r>
            <w:r w:rsidR="00D96BA6" w:rsidRPr="00285C10">
              <w:rPr>
                <w:rFonts w:ascii="Segoe UI" w:eastAsia="MS Mincho" w:hAnsi="Segoe UI" w:cs="Segoe UI"/>
                <w:color w:val="000000"/>
                <w:sz w:val="13"/>
                <w:szCs w:val="13"/>
              </w:rPr>
              <w:t>/</w:t>
            </w:r>
            <w:r w:rsidR="00941D74"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rPr>
              <w:t>περιόδου</w:t>
            </w:r>
          </w:p>
        </w:tc>
      </w:tr>
      <w:tr w:rsidR="0027264F" w:rsidRPr="00CB691B" w:rsidTr="00D95F56">
        <w:trPr>
          <w:trHeight w:val="113"/>
        </w:trPr>
        <w:tc>
          <w:tcPr>
            <w:tcW w:w="1972" w:type="dxa"/>
            <w:shd w:val="clear" w:color="000000" w:fill="FFFFFF"/>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Δανείων σε Καθυστέρηση +90 Ημερών / Μη Εξυπηρετούμενων Δανείων</w:t>
            </w:r>
          </w:p>
        </w:tc>
        <w:tc>
          <w:tcPr>
            <w:tcW w:w="1134" w:type="dxa"/>
            <w:shd w:val="clear" w:color="000000" w:fill="FFFFFF"/>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 xml:space="preserve">-- </w:t>
            </w:r>
          </w:p>
        </w:tc>
        <w:tc>
          <w:tcPr>
            <w:tcW w:w="7087" w:type="dxa"/>
            <w:shd w:val="clear" w:color="000000" w:fill="FFFFFF"/>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Δάνεια προ προβλέψεων σε καθυστέρηση άνω των 90 ημερών σε αναπόσβεστη αξία προς δάνεια προ προβλέψεων, τέλος </w:t>
            </w:r>
            <w:r w:rsidR="00D96BA6" w:rsidRPr="00285C10">
              <w:rPr>
                <w:rFonts w:ascii="Segoe UI" w:eastAsia="MS Mincho" w:hAnsi="Segoe UI" w:cs="Segoe UI"/>
                <w:color w:val="000000"/>
                <w:sz w:val="13"/>
                <w:szCs w:val="13"/>
              </w:rPr>
              <w:t>χρήσης</w:t>
            </w:r>
            <w:r w:rsidR="00941D74" w:rsidRPr="00285C10">
              <w:rPr>
                <w:rFonts w:ascii="Segoe UI" w:eastAsia="MS Mincho" w:hAnsi="Segoe UI" w:cs="Segoe UI"/>
                <w:color w:val="000000"/>
                <w:sz w:val="13"/>
                <w:szCs w:val="13"/>
              </w:rPr>
              <w:t xml:space="preserve"> </w:t>
            </w:r>
            <w:r w:rsidR="00D96BA6" w:rsidRPr="00285C10">
              <w:rPr>
                <w:rFonts w:ascii="Segoe UI" w:eastAsia="MS Mincho" w:hAnsi="Segoe UI" w:cs="Segoe UI"/>
                <w:color w:val="000000"/>
                <w:sz w:val="13"/>
                <w:szCs w:val="13"/>
              </w:rPr>
              <w:t>/</w:t>
            </w:r>
            <w:r w:rsidR="00941D74"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rPr>
              <w:t>περιόδου</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sz w:val="13"/>
                <w:szCs w:val="13"/>
              </w:rPr>
            </w:pPr>
            <w:r w:rsidRPr="00285C10">
              <w:rPr>
                <w:rFonts w:ascii="Segoe UI" w:eastAsia="MS Mincho" w:hAnsi="Segoe UI" w:cs="Segoe UI"/>
                <w:sz w:val="13"/>
                <w:szCs w:val="13"/>
              </w:rPr>
              <w:t>Δείκτης Καθαρής Σταθερής Χρηματοδότησης</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sz w:val="13"/>
                <w:szCs w:val="13"/>
                <w:lang w:val="en-US"/>
              </w:rPr>
            </w:pPr>
            <w:r w:rsidRPr="00285C10">
              <w:rPr>
                <w:rFonts w:ascii="Segoe UI" w:eastAsia="MS Mincho" w:hAnsi="Segoe UI" w:cs="Segoe UI"/>
                <w:sz w:val="13"/>
                <w:szCs w:val="13"/>
              </w:rPr>
              <w:t xml:space="preserve">Δείκτης </w:t>
            </w:r>
            <w:r w:rsidRPr="00285C10">
              <w:rPr>
                <w:rFonts w:ascii="Segoe UI" w:eastAsia="MS Mincho" w:hAnsi="Segoe UI" w:cs="Segoe UI"/>
                <w:sz w:val="13"/>
                <w:szCs w:val="13"/>
                <w:lang w:val="en-US"/>
              </w:rPr>
              <w:t>NSFR</w:t>
            </w:r>
          </w:p>
        </w:tc>
        <w:tc>
          <w:tcPr>
            <w:tcW w:w="7087" w:type="dxa"/>
            <w:shd w:val="clear" w:color="auto" w:fill="F2F2F2" w:themeFill="background1" w:themeFillShade="F2"/>
            <w:noWrap/>
            <w:vAlign w:val="center"/>
          </w:tcPr>
          <w:p w:rsidR="0027264F" w:rsidRPr="00285C10" w:rsidRDefault="00B36D8D" w:rsidP="00271465">
            <w:pPr>
              <w:rPr>
                <w:rFonts w:ascii="Segoe UI" w:eastAsia="MS Mincho" w:hAnsi="Segoe UI" w:cs="Segoe UI"/>
                <w:sz w:val="13"/>
                <w:szCs w:val="13"/>
              </w:rPr>
            </w:pPr>
            <w:r w:rsidRPr="00285C10">
              <w:rPr>
                <w:rFonts w:ascii="Segoe UI" w:eastAsia="MS Mincho" w:hAnsi="Segoe UI" w:cs="Segoe UI"/>
                <w:sz w:val="13"/>
                <w:szCs w:val="13"/>
              </w:rPr>
              <w:t>Ο Δείκτης Καθαρής Σταθερής Χρηματοδότησης αναφέρεται στο ποσό των υποχρεώσεων και του κεφαλαίου που αναμένεται να διατηρείται στον χρονικό ορίζοντα που έχει οριστεί από το NSFR προς του ποσού της σταθερής χρηματοδότησης που πρέπει να διανεμηθεί στα διάφορα περιουσιακά στοιχεία ανάλογα με τα χαρακτηριστικά ρευστότητας και τις υπολειπόμενες διάρκειες τους</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Δανείων σε Καθυστέρηση +90 Ημερών</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 xml:space="preserve">-- </w:t>
            </w:r>
          </w:p>
        </w:tc>
        <w:tc>
          <w:tcPr>
            <w:tcW w:w="7087"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w:t>
            </w:r>
            <w:r w:rsidR="00D96BA6" w:rsidRPr="00285C10">
              <w:rPr>
                <w:rFonts w:ascii="Segoe UI" w:eastAsia="MS Mincho" w:hAnsi="Segoe UI" w:cs="Segoe UI"/>
                <w:color w:val="000000"/>
                <w:sz w:val="13"/>
                <w:szCs w:val="13"/>
              </w:rPr>
              <w:t>χρήσης/</w:t>
            </w:r>
            <w:r w:rsidRPr="00285C10">
              <w:rPr>
                <w:rFonts w:ascii="Segoe UI" w:eastAsia="MS Mincho" w:hAnsi="Segoe UI" w:cs="Segoe UI"/>
                <w:color w:val="000000"/>
                <w:sz w:val="13"/>
                <w:szCs w:val="13"/>
              </w:rPr>
              <w:t>περιόδου</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Μη Εξυπηρετούμενων Ανοιγμάτων</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Δείκτης κάλυψης ΜΕΑ</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w:t>
            </w:r>
            <w:r w:rsidR="00D96BA6" w:rsidRPr="00285C10">
              <w:rPr>
                <w:rFonts w:ascii="Segoe UI" w:eastAsia="MS Mincho" w:hAnsi="Segoe UI" w:cs="Segoe UI"/>
                <w:color w:val="000000"/>
                <w:sz w:val="13"/>
                <w:szCs w:val="13"/>
              </w:rPr>
              <w:t>χρήσης</w:t>
            </w:r>
            <w:r w:rsidR="00941D74" w:rsidRPr="00285C10">
              <w:rPr>
                <w:rFonts w:ascii="Segoe UI" w:eastAsia="MS Mincho" w:hAnsi="Segoe UI" w:cs="Segoe UI"/>
                <w:color w:val="000000"/>
                <w:sz w:val="13"/>
                <w:szCs w:val="13"/>
              </w:rPr>
              <w:t xml:space="preserve"> </w:t>
            </w:r>
            <w:r w:rsidR="00D96BA6" w:rsidRPr="00285C10">
              <w:rPr>
                <w:rFonts w:ascii="Segoe UI" w:eastAsia="MS Mincho" w:hAnsi="Segoe UI" w:cs="Segoe UI"/>
                <w:color w:val="000000"/>
                <w:sz w:val="13"/>
                <w:szCs w:val="13"/>
              </w:rPr>
              <w:t>/</w:t>
            </w:r>
            <w:r w:rsidR="00941D74"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rPr>
              <w:t>περιόδου</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Κάλυψης Ρευστότητας (</w:t>
            </w:r>
            <w:r w:rsidRPr="00285C10">
              <w:rPr>
                <w:rFonts w:ascii="Segoe UI" w:eastAsia="MS Mincho" w:hAnsi="Segoe UI" w:cs="Segoe UI"/>
                <w:color w:val="000000"/>
                <w:sz w:val="13"/>
                <w:szCs w:val="13"/>
                <w:lang w:val="en-US"/>
              </w:rPr>
              <w:t>Liquidity</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Coverage</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Ratio</w:t>
            </w:r>
            <w:r w:rsidRPr="00285C10">
              <w:rPr>
                <w:rFonts w:ascii="Segoe UI" w:eastAsia="MS Mincho" w:hAnsi="Segoe UI" w:cs="Segoe UI"/>
                <w:color w:val="000000"/>
                <w:sz w:val="13"/>
                <w:szCs w:val="13"/>
              </w:rPr>
              <w:t>)</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US"/>
              </w:rPr>
              <w:t>LCR</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 σύμφωνα με τον Κανονισμό (ΕΕ) 2015/61 </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Κόστους προς Λειτουργικά Έσοδα</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Λειτουργικά έξοδα προς καθαρά λειτουργικά έσοδα </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Δείκτης Κόστους προς Οργανικά Έσοδα</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έξοδα προς οργανικά έσοδα</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κεφαλαίου κοινών μετοχών κατηγορίας 1 («Common </w:t>
            </w:r>
            <w:proofErr w:type="spellStart"/>
            <w:r w:rsidRPr="00285C10">
              <w:rPr>
                <w:rFonts w:ascii="Segoe UI" w:eastAsia="MS Mincho" w:hAnsi="Segoe UI" w:cs="Segoe UI"/>
                <w:color w:val="000000"/>
                <w:sz w:val="13"/>
                <w:szCs w:val="13"/>
              </w:rPr>
              <w:t>Equity</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Tier</w:t>
            </w:r>
            <w:proofErr w:type="spellEnd"/>
            <w:r w:rsidRPr="00285C10">
              <w:rPr>
                <w:rFonts w:ascii="Segoe UI" w:eastAsia="MS Mincho" w:hAnsi="Segoe UI" w:cs="Segoe UI"/>
                <w:color w:val="000000"/>
                <w:sz w:val="13"/>
                <w:szCs w:val="13"/>
              </w:rPr>
              <w:t xml:space="preserve"> 1», «CET1») 1 </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GB"/>
              </w:rPr>
              <w:t>CET</w:t>
            </w:r>
            <w:r w:rsidRPr="00285C10">
              <w:rPr>
                <w:rFonts w:ascii="Segoe UI" w:eastAsia="MS Mincho" w:hAnsi="Segoe UI" w:cs="Segoe UI"/>
                <w:color w:val="000000"/>
                <w:sz w:val="13"/>
                <w:szCs w:val="13"/>
              </w:rPr>
              <w:t>1</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Κεφαλαίου Κοινών Μετοχών Κατηγορίας 1 με πλήρη εφαρμογή του ΔΠΧΑ9 (“CET1 </w:t>
            </w:r>
            <w:proofErr w:type="spellStart"/>
            <w:r w:rsidRPr="00285C10">
              <w:rPr>
                <w:rFonts w:ascii="Segoe UI" w:eastAsia="MS Mincho" w:hAnsi="Segoe UI" w:cs="Segoe UI"/>
                <w:color w:val="000000"/>
                <w:sz w:val="13"/>
                <w:szCs w:val="13"/>
              </w:rPr>
              <w:t>fully</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loaded</w:t>
            </w:r>
            <w:proofErr w:type="spellEnd"/>
            <w:r w:rsidRPr="00285C10">
              <w:rPr>
                <w:rFonts w:ascii="Segoe UI" w:eastAsia="MS Mincho" w:hAnsi="Segoe UI" w:cs="Segoe UI"/>
                <w:color w:val="000000"/>
                <w:sz w:val="13"/>
                <w:szCs w:val="13"/>
              </w:rPr>
              <w:t>”)</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w:t>
            </w:r>
            <w:r w:rsidRPr="00285C10">
              <w:rPr>
                <w:rFonts w:ascii="Segoe UI" w:eastAsia="MS Mincho" w:hAnsi="Segoe UI" w:cs="Segoe UI"/>
                <w:color w:val="000000"/>
                <w:sz w:val="13"/>
                <w:szCs w:val="13"/>
                <w:lang w:val="en-GB"/>
              </w:rPr>
              <w:t>CET</w:t>
            </w:r>
            <w:r w:rsidRPr="00285C10">
              <w:rPr>
                <w:rFonts w:ascii="Segoe UI" w:eastAsia="MS Mincho" w:hAnsi="Segoe UI" w:cs="Segoe UI"/>
                <w:color w:val="000000"/>
                <w:sz w:val="13"/>
                <w:szCs w:val="13"/>
              </w:rPr>
              <w:t xml:space="preserve">1 </w:t>
            </w:r>
            <w:r w:rsidRPr="00285C10">
              <w:rPr>
                <w:rFonts w:ascii="Segoe UI" w:eastAsia="MS Mincho" w:hAnsi="Segoe UI" w:cs="Segoe UI"/>
                <w:color w:val="000000"/>
                <w:sz w:val="13"/>
                <w:szCs w:val="13"/>
                <w:lang w:val="en-GB"/>
              </w:rPr>
              <w:t>FL</w:t>
            </w:r>
          </w:p>
        </w:tc>
        <w:tc>
          <w:tcPr>
            <w:tcW w:w="7087"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proofErr w:type="spellStart"/>
            <w:r w:rsidRPr="00285C10">
              <w:rPr>
                <w:rFonts w:ascii="Segoe UI" w:eastAsia="MS Mincho" w:hAnsi="Segoe UI" w:cs="Segoe UI"/>
                <w:color w:val="000000"/>
                <w:sz w:val="13"/>
                <w:szCs w:val="13"/>
                <w:lang w:val="en-GB"/>
              </w:rPr>
              <w:t>Δείκτης</w:t>
            </w:r>
            <w:proofErr w:type="spellEnd"/>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Μη</w:t>
            </w:r>
            <w:proofErr w:type="spellEnd"/>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Εξυ</w:t>
            </w:r>
            <w:proofErr w:type="spellEnd"/>
            <w:r w:rsidRPr="00285C10">
              <w:rPr>
                <w:rFonts w:ascii="Segoe UI" w:eastAsia="MS Mincho" w:hAnsi="Segoe UI" w:cs="Segoe UI"/>
                <w:color w:val="000000"/>
                <w:sz w:val="13"/>
                <w:szCs w:val="13"/>
                <w:lang w:val="en-GB"/>
              </w:rPr>
              <w:t xml:space="preserve">πηρετούμενων </w:t>
            </w:r>
            <w:proofErr w:type="spellStart"/>
            <w:r w:rsidRPr="00285C10">
              <w:rPr>
                <w:rFonts w:ascii="Segoe UI" w:eastAsia="MS Mincho" w:hAnsi="Segoe UI" w:cs="Segoe UI"/>
                <w:color w:val="000000"/>
                <w:sz w:val="13"/>
                <w:szCs w:val="13"/>
                <w:lang w:val="en-GB"/>
              </w:rPr>
              <w:t>Ανοιγμάτων</w:t>
            </w:r>
            <w:proofErr w:type="spellEnd"/>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Δείκτης ΜΕΑ </w:t>
            </w:r>
          </w:p>
        </w:tc>
        <w:tc>
          <w:tcPr>
            <w:tcW w:w="7087" w:type="dxa"/>
            <w:shd w:val="clear" w:color="auto" w:fill="F2F2F2" w:themeFill="background1" w:themeFillShade="F2"/>
            <w:noWrap/>
            <w:vAlign w:val="center"/>
            <w:hideMark/>
          </w:tcPr>
          <w:p w:rsidR="0027264F" w:rsidRPr="00285C10" w:rsidRDefault="0027264F" w:rsidP="00D96BA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Μη Εξυπηρετούμενα Ανοίγματα προς δάνεια προ προβλέψεων, </w:t>
            </w:r>
            <w:r w:rsidR="00127029" w:rsidRPr="00285C10">
              <w:rPr>
                <w:rFonts w:ascii="Segoe UI" w:eastAsia="MS Mincho" w:hAnsi="Segoe UI" w:cs="Segoe UI"/>
                <w:color w:val="000000"/>
                <w:sz w:val="13"/>
                <w:szCs w:val="13"/>
              </w:rPr>
              <w:t xml:space="preserve">τέλος </w:t>
            </w:r>
            <w:r w:rsidR="00D96BA6" w:rsidRPr="00285C10">
              <w:rPr>
                <w:rFonts w:ascii="Segoe UI" w:eastAsia="MS Mincho" w:hAnsi="Segoe UI" w:cs="Segoe UI"/>
                <w:color w:val="000000"/>
                <w:sz w:val="13"/>
                <w:szCs w:val="13"/>
              </w:rPr>
              <w:t>χρήσης</w:t>
            </w:r>
            <w:r w:rsidR="00941D74" w:rsidRPr="00285C10">
              <w:rPr>
                <w:rFonts w:ascii="Segoe UI" w:eastAsia="MS Mincho" w:hAnsi="Segoe UI" w:cs="Segoe UI"/>
                <w:color w:val="000000"/>
                <w:sz w:val="13"/>
                <w:szCs w:val="13"/>
              </w:rPr>
              <w:t xml:space="preserve"> </w:t>
            </w:r>
            <w:r w:rsidR="00127029" w:rsidRPr="00285C10">
              <w:rPr>
                <w:rFonts w:ascii="Segoe UI" w:eastAsia="MS Mincho" w:hAnsi="Segoe UI" w:cs="Segoe UI"/>
                <w:color w:val="000000"/>
                <w:sz w:val="13"/>
                <w:szCs w:val="13"/>
              </w:rPr>
              <w:t>/</w:t>
            </w:r>
            <w:r w:rsidR="00941D74" w:rsidRPr="00285C10">
              <w:rPr>
                <w:rFonts w:ascii="Segoe UI" w:eastAsia="MS Mincho" w:hAnsi="Segoe UI" w:cs="Segoe UI"/>
                <w:color w:val="000000"/>
                <w:sz w:val="13"/>
                <w:szCs w:val="13"/>
              </w:rPr>
              <w:t xml:space="preserve"> </w:t>
            </w:r>
            <w:r w:rsidR="00127029" w:rsidRPr="00285C10">
              <w:rPr>
                <w:rFonts w:ascii="Segoe UI" w:eastAsia="MS Mincho" w:hAnsi="Segoe UI" w:cs="Segoe UI"/>
                <w:color w:val="000000"/>
                <w:sz w:val="13"/>
                <w:szCs w:val="13"/>
              </w:rPr>
              <w:t>περιόδου</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Ενσώματα Ίδια Κεφάλαια</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Ίδια κεφάλαια μετόχων Τράπεζας μείον υπεραξία επιχειρήσεων, λογισμικό και λοιπά άυλα</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Εξυπηρετούμενα Δάνεια / Ανοίγματα</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προ προβλέψεων μείον Μη Εξυπηρετούμενα Ανοίγματα</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Έσοδα ή κέρδη (έξοδα ή ζημίες) από </w:t>
            </w:r>
            <w:proofErr w:type="spellStart"/>
            <w:r w:rsidRPr="00285C10">
              <w:rPr>
                <w:rFonts w:ascii="Segoe UI" w:eastAsia="MS Mincho" w:hAnsi="Segoe UI" w:cs="Segoe UI"/>
                <w:color w:val="000000"/>
                <w:sz w:val="13"/>
                <w:szCs w:val="13"/>
              </w:rPr>
              <w:t>Χρηματ</w:t>
            </w:r>
            <w:proofErr w:type="spellEnd"/>
            <w:r w:rsidRPr="00285C10">
              <w:rPr>
                <w:rFonts w:ascii="Segoe UI" w:eastAsia="MS Mincho" w:hAnsi="Segoe UI" w:cs="Segoe UI"/>
                <w:color w:val="000000"/>
                <w:sz w:val="13"/>
                <w:szCs w:val="13"/>
              </w:rPr>
              <w:t>/</w:t>
            </w:r>
            <w:proofErr w:type="spellStart"/>
            <w:r w:rsidRPr="00285C10">
              <w:rPr>
                <w:rFonts w:ascii="Segoe UI" w:eastAsia="MS Mincho" w:hAnsi="Segoe UI" w:cs="Segoe UI"/>
                <w:color w:val="000000"/>
                <w:sz w:val="13"/>
                <w:szCs w:val="13"/>
              </w:rPr>
              <w:t>κες</w:t>
            </w:r>
            <w:proofErr w:type="spellEnd"/>
            <w:r w:rsidRPr="00285C10">
              <w:rPr>
                <w:rFonts w:ascii="Segoe UI" w:eastAsia="MS Mincho" w:hAnsi="Segoe UI" w:cs="Segoe UI"/>
                <w:color w:val="000000"/>
                <w:sz w:val="13"/>
                <w:szCs w:val="13"/>
              </w:rPr>
              <w:t xml:space="preserve"> Πράξεις &amp; Λοιπά Έσοδα (Έξοδα) / Μη Οργανικά Έσοδα</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Αποτελέσματα χρηματοοικονομικών πράξεων &amp; τίτλων επενδυτικού χαρτοφυλακίου {«έσοδα ή κέρδη (έξοδα ή ζημίες) από χρηματοοικονομικές πράξεις»)+ καθαρά λοιπά έσοδα / (έξοδα) {«λοιπά έσοδα (έξοδα)»}</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Ίδια Κεφάλαια</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Ίδια κεφάλαια μετόχων Τράπεζας </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Ισολογισμός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Κατάσταση χρηματοοικονομικής θέσης</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Καθα</w:t>
            </w:r>
            <w:proofErr w:type="spellStart"/>
            <w:r w:rsidRPr="00285C10">
              <w:rPr>
                <w:rFonts w:ascii="Segoe UI" w:eastAsia="MS Mincho" w:hAnsi="Segoe UI" w:cs="Segoe UI"/>
                <w:color w:val="000000"/>
                <w:sz w:val="13"/>
                <w:szCs w:val="13"/>
                <w:lang w:val="en-GB"/>
              </w:rPr>
              <w:t>ρό</w:t>
            </w:r>
            <w:proofErr w:type="spellEnd"/>
            <w:r w:rsidRPr="00285C10">
              <w:rPr>
                <w:rFonts w:ascii="Segoe UI" w:eastAsia="MS Mincho" w:hAnsi="Segoe UI" w:cs="Segoe UI"/>
                <w:color w:val="000000"/>
                <w:sz w:val="13"/>
                <w:szCs w:val="13"/>
                <w:lang w:val="en-GB"/>
              </w:rPr>
              <w:t xml:space="preserve"> Επ</w:t>
            </w:r>
            <w:proofErr w:type="spellStart"/>
            <w:r w:rsidRPr="00285C10">
              <w:rPr>
                <w:rFonts w:ascii="Segoe UI" w:eastAsia="MS Mincho" w:hAnsi="Segoe UI" w:cs="Segoe UI"/>
                <w:color w:val="000000"/>
                <w:sz w:val="13"/>
                <w:szCs w:val="13"/>
                <w:lang w:val="en-GB"/>
              </w:rPr>
              <w:t>ιτοκι</w:t>
            </w:r>
            <w:proofErr w:type="spellEnd"/>
            <w:r w:rsidRPr="00285C10">
              <w:rPr>
                <w:rFonts w:ascii="Segoe UI" w:eastAsia="MS Mincho" w:hAnsi="Segoe UI" w:cs="Segoe UI"/>
                <w:color w:val="000000"/>
                <w:sz w:val="13"/>
                <w:szCs w:val="13"/>
                <w:lang w:val="en-GB"/>
              </w:rPr>
              <w:t xml:space="preserve">ακό </w:t>
            </w:r>
            <w:proofErr w:type="spellStart"/>
            <w:r w:rsidRPr="00285C10">
              <w:rPr>
                <w:rFonts w:ascii="Segoe UI" w:eastAsia="MS Mincho" w:hAnsi="Segoe UI" w:cs="Segoe UI"/>
                <w:color w:val="000000"/>
                <w:sz w:val="13"/>
                <w:szCs w:val="13"/>
                <w:lang w:val="en-GB"/>
              </w:rPr>
              <w:t>Περιθώριο</w:t>
            </w:r>
            <w:proofErr w:type="spellEnd"/>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Καθαρά έσοδα από τόκους προς το μέσο όρο των τοκοφόρων στοιχείων ενεργητικού (ο μέσος όρος των τοκοφόρων στοιχείων του ενεργητικού υπολογίζεται ως το άθροισμα των υπολοίπων των τοκοφόρων στοιχείων του ενεργητικού στο τέλος του προηγούμενου έτους και στο τέλος του έτους αναφοράς καθώς και των ενδιάμεσων τριμήνων, δια τον αριθμό των περιόδων (πέντε περίοδοι) για τις ετήσιες χρήσεις). Σε επίπεδο τριμήνου, το καθαρό επιτοκιακό περιθώριο υπολογίζεται επί του μηνιαίου μέσου όρου των τοκοφόρων στοιχείων ενεργητικού </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Καθαρό Επιτοκιακό Περιθώριο Προσαρμοσμένο στον Κίνδυνο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Καθαρό επιτοκιακό περιθώριο μείον το κόστος πιστωτικού κινδύνου</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proofErr w:type="spellStart"/>
            <w:r w:rsidRPr="00285C10">
              <w:rPr>
                <w:rFonts w:ascii="Segoe UI" w:eastAsia="MS Mincho" w:hAnsi="Segoe UI" w:cs="Segoe UI"/>
                <w:color w:val="000000"/>
                <w:sz w:val="13"/>
                <w:szCs w:val="13"/>
              </w:rPr>
              <w:t>Κατ</w:t>
            </w:r>
            <w:proofErr w:type="spellEnd"/>
            <w:r w:rsidRPr="00285C10">
              <w:rPr>
                <w:rFonts w:ascii="Segoe UI" w:eastAsia="MS Mincho" w:hAnsi="Segoe UI" w:cs="Segoe UI"/>
                <w:color w:val="000000"/>
                <w:sz w:val="13"/>
                <w:szCs w:val="13"/>
                <w:lang w:val="en-GB"/>
              </w:rPr>
              <w:t>α</w:t>
            </w:r>
            <w:proofErr w:type="spellStart"/>
            <w:r w:rsidRPr="00285C10">
              <w:rPr>
                <w:rFonts w:ascii="Segoe UI" w:eastAsia="MS Mincho" w:hAnsi="Segoe UI" w:cs="Segoe UI"/>
                <w:color w:val="000000"/>
                <w:sz w:val="13"/>
                <w:szCs w:val="13"/>
                <w:lang w:val="en-GB"/>
              </w:rPr>
              <w:t>θέσεις</w:t>
            </w:r>
            <w:proofErr w:type="spellEnd"/>
            <w:r w:rsidRPr="00285C10">
              <w:rPr>
                <w:rFonts w:ascii="Segoe UI" w:eastAsia="MS Mincho" w:hAnsi="Segoe UI" w:cs="Segoe UI"/>
                <w:color w:val="000000"/>
                <w:sz w:val="13"/>
                <w:szCs w:val="13"/>
                <w:lang w:val="en-GB"/>
              </w:rPr>
              <w:t xml:space="preserve"> </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Υπ</w:t>
            </w:r>
            <w:proofErr w:type="spellStart"/>
            <w:r w:rsidRPr="00285C10">
              <w:rPr>
                <w:rFonts w:ascii="Segoe UI" w:eastAsia="MS Mincho" w:hAnsi="Segoe UI" w:cs="Segoe UI"/>
                <w:color w:val="000000"/>
                <w:sz w:val="13"/>
                <w:szCs w:val="13"/>
                <w:lang w:val="en-GB"/>
              </w:rPr>
              <w:t>οχρεώσεις</w:t>
            </w:r>
            <w:proofErr w:type="spellEnd"/>
            <w:r w:rsidRPr="00285C10">
              <w:rPr>
                <w:rFonts w:ascii="Segoe UI" w:eastAsia="MS Mincho" w:hAnsi="Segoe UI" w:cs="Segoe UI"/>
                <w:color w:val="000000"/>
                <w:sz w:val="13"/>
                <w:szCs w:val="13"/>
                <w:lang w:val="en-GB"/>
              </w:rPr>
              <w:t xml:space="preserve"> π</w:t>
            </w:r>
            <w:proofErr w:type="spellStart"/>
            <w:r w:rsidRPr="00285C10">
              <w:rPr>
                <w:rFonts w:ascii="Segoe UI" w:eastAsia="MS Mincho" w:hAnsi="Segoe UI" w:cs="Segoe UI"/>
                <w:color w:val="000000"/>
                <w:sz w:val="13"/>
                <w:szCs w:val="13"/>
                <w:lang w:val="en-GB"/>
              </w:rPr>
              <w:t>ρος</w:t>
            </w:r>
            <w:proofErr w:type="spellEnd"/>
            <w:r w:rsidRPr="00285C10">
              <w:rPr>
                <w:rFonts w:ascii="Segoe UI" w:eastAsia="MS Mincho" w:hAnsi="Segoe UI" w:cs="Segoe UI"/>
                <w:color w:val="000000"/>
                <w:sz w:val="13"/>
                <w:szCs w:val="13"/>
                <w:lang w:val="en-GB"/>
              </w:rPr>
              <w:t xml:space="preserve"> π</w:t>
            </w:r>
            <w:proofErr w:type="spellStart"/>
            <w:r w:rsidRPr="00285C10">
              <w:rPr>
                <w:rFonts w:ascii="Segoe UI" w:eastAsia="MS Mincho" w:hAnsi="Segoe UI" w:cs="Segoe UI"/>
                <w:color w:val="000000"/>
                <w:sz w:val="13"/>
                <w:szCs w:val="13"/>
                <w:lang w:val="en-GB"/>
              </w:rPr>
              <w:t>ελάτες</w:t>
            </w:r>
            <w:proofErr w:type="spellEnd"/>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Κέρδη / (ζημίες) από συνεχιζόμενες δραστηριότητες</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14D65">
            <w:pPr>
              <w:rPr>
                <w:rFonts w:ascii="Segoe UI" w:eastAsia="MS Mincho" w:hAnsi="Segoe UI" w:cs="Segoe UI"/>
                <w:color w:val="000000"/>
                <w:sz w:val="13"/>
                <w:szCs w:val="13"/>
              </w:rPr>
            </w:pPr>
            <w:r w:rsidRPr="00285C10">
              <w:rPr>
                <w:rFonts w:ascii="Segoe UI" w:eastAsia="MS Mincho" w:hAnsi="Segoe UI" w:cs="Segoe UI"/>
                <w:color w:val="000000"/>
                <w:sz w:val="13"/>
                <w:szCs w:val="13"/>
              </w:rPr>
              <w:t>Κέρδη / (ζημίες) από συνεχιζόμενες δραστηριότητες, 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 Τα κέρδη / (ζημίες) από συνεχιζόμενες δραστηριότητες εξαιρούν τη δαπάνη για το ΛΕΠΕΤΕ (€</w:t>
            </w:r>
            <w:r w:rsidR="00A979F9" w:rsidRPr="00285C10">
              <w:rPr>
                <w:rFonts w:ascii="Segoe UI" w:eastAsia="MS Mincho" w:hAnsi="Segoe UI" w:cs="Segoe UI"/>
                <w:color w:val="000000"/>
                <w:sz w:val="13"/>
                <w:szCs w:val="13"/>
              </w:rPr>
              <w:t>37</w:t>
            </w:r>
            <w:r w:rsidR="007D0860" w:rsidRPr="00285C10">
              <w:rPr>
                <w:rFonts w:ascii="Segoe UI" w:eastAsia="MS Mincho" w:hAnsi="Segoe UI" w:cs="Segoe UI"/>
                <w:color w:val="000000"/>
                <w:sz w:val="13"/>
                <w:szCs w:val="13"/>
              </w:rPr>
              <w:t xml:space="preserve"> εκατ.) &amp; </w:t>
            </w:r>
            <w:r w:rsidRPr="00285C10">
              <w:rPr>
                <w:rFonts w:ascii="Segoe UI" w:eastAsia="MS Mincho" w:hAnsi="Segoe UI" w:cs="Segoe UI"/>
                <w:color w:val="000000"/>
                <w:sz w:val="13"/>
                <w:szCs w:val="13"/>
              </w:rPr>
              <w:t>κόστ</w:t>
            </w:r>
            <w:r w:rsidR="007D0860" w:rsidRPr="00285C10">
              <w:rPr>
                <w:rFonts w:ascii="Segoe UI" w:eastAsia="MS Mincho" w:hAnsi="Segoe UI" w:cs="Segoe UI"/>
                <w:color w:val="000000"/>
                <w:sz w:val="13"/>
                <w:szCs w:val="13"/>
              </w:rPr>
              <w:t>η</w:t>
            </w:r>
            <w:r w:rsidRPr="00285C10">
              <w:rPr>
                <w:rFonts w:ascii="Segoe UI" w:eastAsia="MS Mincho" w:hAnsi="Segoe UI" w:cs="Segoe UI"/>
                <w:color w:val="000000"/>
                <w:sz w:val="13"/>
                <w:szCs w:val="13"/>
              </w:rPr>
              <w:t xml:space="preserve"> Εθελουσίας Εξόδου Προσωπικού </w:t>
            </w:r>
            <w:r w:rsidR="007D0860" w:rsidRPr="00285C10">
              <w:rPr>
                <w:rFonts w:ascii="Segoe UI" w:eastAsia="MS Mincho" w:hAnsi="Segoe UI" w:cs="Segoe UI"/>
                <w:color w:val="000000"/>
                <w:sz w:val="13"/>
                <w:szCs w:val="13"/>
              </w:rPr>
              <w:t>και</w:t>
            </w:r>
            <w:r w:rsidRPr="00285C10">
              <w:rPr>
                <w:rFonts w:ascii="Segoe UI" w:eastAsia="MS Mincho" w:hAnsi="Segoe UI" w:cs="Segoe UI"/>
                <w:color w:val="000000"/>
                <w:sz w:val="13"/>
                <w:szCs w:val="13"/>
              </w:rPr>
              <w:t xml:space="preserve"> αναδιάρθρωσης και λοιπές μη επαναλαμβανόμενες δαπάνες (€</w:t>
            </w:r>
            <w:r w:rsidR="00A979F9" w:rsidRPr="00285C10">
              <w:rPr>
                <w:rFonts w:ascii="Segoe UI" w:eastAsia="MS Mincho" w:hAnsi="Segoe UI" w:cs="Segoe UI"/>
                <w:color w:val="000000"/>
                <w:sz w:val="13"/>
                <w:szCs w:val="13"/>
              </w:rPr>
              <w:t>15</w:t>
            </w:r>
            <w:r w:rsidR="00D14D65" w:rsidRPr="00285C10">
              <w:rPr>
                <w:rFonts w:ascii="Segoe UI" w:eastAsia="MS Mincho" w:hAnsi="Segoe UI" w:cs="Segoe UI"/>
                <w:color w:val="000000"/>
                <w:sz w:val="13"/>
                <w:szCs w:val="13"/>
              </w:rPr>
              <w:t>2</w:t>
            </w:r>
            <w:r w:rsidRPr="00285C10">
              <w:rPr>
                <w:rFonts w:ascii="Segoe UI" w:eastAsia="MS Mincho" w:hAnsi="Segoe UI" w:cs="Segoe UI"/>
                <w:color w:val="000000"/>
                <w:sz w:val="13"/>
                <w:szCs w:val="13"/>
              </w:rPr>
              <w:t xml:space="preserve"> εκατ.) για το 2020, καθώς και τη δαπάνη για το ΛΕΠΕΤΕ (€</w:t>
            </w:r>
            <w:r w:rsidR="00A979F9" w:rsidRPr="00285C10">
              <w:rPr>
                <w:rFonts w:ascii="Segoe UI" w:eastAsia="MS Mincho" w:hAnsi="Segoe UI" w:cs="Segoe UI"/>
                <w:color w:val="000000"/>
                <w:sz w:val="13"/>
                <w:szCs w:val="13"/>
              </w:rPr>
              <w:t>90</w:t>
            </w:r>
            <w:r w:rsidR="007D0860" w:rsidRPr="00285C10">
              <w:rPr>
                <w:rFonts w:ascii="Segoe UI" w:eastAsia="MS Mincho" w:hAnsi="Segoe UI" w:cs="Segoe UI"/>
                <w:color w:val="000000"/>
                <w:sz w:val="13"/>
                <w:szCs w:val="13"/>
              </w:rPr>
              <w:t xml:space="preserve"> εκατ.) &amp; κόστη Εθελουσίας Εξόδου Προσωπικού και αναδιάρθρωσης και λοιπές μη επαναλαμβανόμενες δαπάνες (€136 εκατ.)</w:t>
            </w:r>
            <w:r w:rsidRPr="00285C10">
              <w:rPr>
                <w:rFonts w:ascii="Segoe UI" w:eastAsia="MS Mincho" w:hAnsi="Segoe UI" w:cs="Segoe UI"/>
                <w:color w:val="000000"/>
                <w:sz w:val="13"/>
                <w:szCs w:val="13"/>
              </w:rPr>
              <w:t xml:space="preserve"> για το 2019</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Κέρδη προ Προβλέψεων</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Καθαρά λειτουργικά έσοδα μείον λειτουργικά έξοδα</w:t>
            </w:r>
            <w:r w:rsidR="00ED3861" w:rsidRPr="00285C10">
              <w:rPr>
                <w:rFonts w:ascii="Segoe UI" w:eastAsia="MS Mincho" w:hAnsi="Segoe UI" w:cs="Segoe UI"/>
                <w:color w:val="000000"/>
                <w:sz w:val="13"/>
                <w:szCs w:val="13"/>
              </w:rPr>
              <w:t xml:space="preserve"> προ προβλέψεων</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proofErr w:type="spellStart"/>
            <w:r w:rsidRPr="00285C10">
              <w:rPr>
                <w:rFonts w:ascii="Segoe UI" w:eastAsia="MS Mincho" w:hAnsi="Segoe UI" w:cs="Segoe UI"/>
                <w:color w:val="000000"/>
                <w:sz w:val="13"/>
                <w:szCs w:val="13"/>
                <w:lang w:val="en-GB"/>
              </w:rPr>
              <w:t>Κόστος</w:t>
            </w:r>
            <w:proofErr w:type="spellEnd"/>
            <w:r w:rsidRPr="00285C10">
              <w:rPr>
                <w:rFonts w:ascii="Segoe UI" w:eastAsia="MS Mincho" w:hAnsi="Segoe UI" w:cs="Segoe UI"/>
                <w:color w:val="000000"/>
                <w:sz w:val="13"/>
                <w:szCs w:val="13"/>
                <w:lang w:val="en-GB"/>
              </w:rPr>
              <w:t xml:space="preserve"> π</w:t>
            </w:r>
            <w:proofErr w:type="spellStart"/>
            <w:r w:rsidRPr="00285C10">
              <w:rPr>
                <w:rFonts w:ascii="Segoe UI" w:eastAsia="MS Mincho" w:hAnsi="Segoe UI" w:cs="Segoe UI"/>
                <w:color w:val="000000"/>
                <w:sz w:val="13"/>
                <w:szCs w:val="13"/>
                <w:lang w:val="en-GB"/>
              </w:rPr>
              <w:t>ιστωτικού</w:t>
            </w:r>
            <w:proofErr w:type="spellEnd"/>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κινδύνου</w:t>
            </w:r>
            <w:proofErr w:type="spellEnd"/>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rsidR="0027264F" w:rsidRPr="00285C10" w:rsidRDefault="0027264F" w:rsidP="001B61E0">
            <w:pPr>
              <w:rPr>
                <w:rFonts w:ascii="Segoe UI" w:eastAsia="MS Mincho" w:hAnsi="Segoe UI" w:cs="Segoe UI"/>
                <w:color w:val="000000"/>
                <w:sz w:val="13"/>
                <w:szCs w:val="13"/>
              </w:rPr>
            </w:pPr>
            <w:r w:rsidRPr="00285C10">
              <w:rPr>
                <w:rFonts w:ascii="Segoe UI" w:eastAsia="MS Mincho" w:hAnsi="Segoe UI" w:cs="Segoe UI"/>
                <w:color w:val="000000"/>
                <w:sz w:val="13"/>
                <w:szCs w:val="13"/>
              </w:rPr>
              <w:t>Προβλέψεις απομείωσης για ΑΠΖ</w:t>
            </w:r>
            <w:r w:rsidR="000471C2" w:rsidRPr="00285C10">
              <w:rPr>
                <w:rFonts w:ascii="Segoe UI" w:eastAsia="MS Mincho" w:hAnsi="Segoe UI" w:cs="Segoe UI"/>
                <w:color w:val="000000"/>
                <w:sz w:val="13"/>
                <w:szCs w:val="13"/>
              </w:rPr>
              <w:t xml:space="preserve"> για </w:t>
            </w:r>
            <w:r w:rsidR="00D96BA6" w:rsidRPr="00285C10">
              <w:rPr>
                <w:rFonts w:ascii="Segoe UI" w:eastAsia="MS Mincho" w:hAnsi="Segoe UI" w:cs="Segoe UI"/>
                <w:color w:val="000000"/>
                <w:sz w:val="13"/>
                <w:szCs w:val="13"/>
              </w:rPr>
              <w:t xml:space="preserve">το τέλος της χρήσης </w:t>
            </w:r>
            <w:r w:rsidR="000471C2" w:rsidRPr="00285C10">
              <w:rPr>
                <w:rFonts w:ascii="Segoe UI" w:eastAsia="MS Mincho" w:hAnsi="Segoe UI" w:cs="Segoe UI"/>
                <w:color w:val="000000"/>
                <w:sz w:val="13"/>
                <w:szCs w:val="13"/>
              </w:rPr>
              <w:t xml:space="preserve">ή </w:t>
            </w:r>
            <w:r w:rsidR="00D96BA6" w:rsidRPr="00285C10">
              <w:rPr>
                <w:rFonts w:ascii="Segoe UI" w:eastAsia="MS Mincho" w:hAnsi="Segoe UI" w:cs="Segoe UI"/>
                <w:color w:val="000000"/>
                <w:sz w:val="13"/>
                <w:szCs w:val="13"/>
              </w:rPr>
              <w:t xml:space="preserve">της </w:t>
            </w:r>
            <w:r w:rsidR="00127029" w:rsidRPr="00285C10">
              <w:rPr>
                <w:rFonts w:ascii="Segoe UI" w:eastAsia="MS Mincho" w:hAnsi="Segoe UI" w:cs="Segoe UI"/>
                <w:color w:val="000000"/>
                <w:sz w:val="13"/>
                <w:szCs w:val="13"/>
              </w:rPr>
              <w:t>περιόδου</w:t>
            </w:r>
            <w:r w:rsidR="001B61E0" w:rsidRPr="00285C10">
              <w:rPr>
                <w:rFonts w:ascii="Segoe UI" w:eastAsia="MS Mincho" w:hAnsi="Segoe UI" w:cs="Segoe UI"/>
                <w:color w:val="000000"/>
                <w:sz w:val="13"/>
                <w:szCs w:val="13"/>
              </w:rPr>
              <w:t xml:space="preserve"> </w:t>
            </w:r>
            <w:r w:rsidR="000B7A26" w:rsidRPr="00285C10">
              <w:rPr>
                <w:rFonts w:ascii="Segoe UI" w:eastAsia="MS Mincho" w:hAnsi="Segoe UI" w:cs="Segoe UI"/>
                <w:color w:val="000000"/>
                <w:sz w:val="13"/>
                <w:szCs w:val="13"/>
              </w:rPr>
              <w:t>ετησιοποιημένες</w:t>
            </w:r>
            <w:r w:rsidR="00127029"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rPr>
              <w:t xml:space="preserve">προς μέσο </w:t>
            </w:r>
            <w:r w:rsidR="000471C2" w:rsidRPr="00285C10">
              <w:rPr>
                <w:rFonts w:ascii="Segoe UI" w:eastAsia="MS Mincho" w:hAnsi="Segoe UI" w:cs="Segoe UI"/>
                <w:color w:val="000000"/>
                <w:sz w:val="13"/>
                <w:szCs w:val="13"/>
              </w:rPr>
              <w:t xml:space="preserve">όρο </w:t>
            </w:r>
            <w:r w:rsidRPr="00285C10">
              <w:rPr>
                <w:rFonts w:ascii="Segoe UI" w:eastAsia="MS Mincho" w:hAnsi="Segoe UI" w:cs="Segoe UI"/>
                <w:color w:val="000000"/>
                <w:sz w:val="13"/>
                <w:szCs w:val="13"/>
              </w:rPr>
              <w:t xml:space="preserve">δανείων μετά από προβλέψεις </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Κόστος Προγράμματος Εθελουσίας, κόστη αναδιάρθρωσης και λοιπά έκτακτα έξοδα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Περιλαμβάνει </w:t>
            </w:r>
            <w:r w:rsidR="00C044EA" w:rsidRPr="00285C10">
              <w:rPr>
                <w:rFonts w:ascii="Segoe UI" w:eastAsia="MS Mincho" w:hAnsi="Segoe UI" w:cs="Segoe UI"/>
                <w:color w:val="000000"/>
                <w:sz w:val="13"/>
                <w:szCs w:val="13"/>
              </w:rPr>
              <w:t>τη δαπάνη για το ΛΕΠΕΤΕ, το κ</w:t>
            </w:r>
            <w:r w:rsidRPr="00285C10">
              <w:rPr>
                <w:rFonts w:ascii="Segoe UI" w:eastAsia="MS Mincho" w:hAnsi="Segoe UI" w:cs="Segoe UI"/>
                <w:color w:val="000000"/>
                <w:sz w:val="13"/>
                <w:szCs w:val="13"/>
              </w:rPr>
              <w:t xml:space="preserve">όστος </w:t>
            </w:r>
            <w:r w:rsidR="00C044EA" w:rsidRPr="00285C10">
              <w:rPr>
                <w:rFonts w:ascii="Segoe UI" w:eastAsia="MS Mincho" w:hAnsi="Segoe UI" w:cs="Segoe UI"/>
                <w:color w:val="000000"/>
                <w:sz w:val="13"/>
                <w:szCs w:val="13"/>
              </w:rPr>
              <w:t xml:space="preserve">του </w:t>
            </w:r>
            <w:r w:rsidRPr="00285C10">
              <w:rPr>
                <w:rFonts w:ascii="Segoe UI" w:eastAsia="MS Mincho" w:hAnsi="Segoe UI" w:cs="Segoe UI"/>
                <w:color w:val="000000"/>
                <w:sz w:val="13"/>
                <w:szCs w:val="13"/>
              </w:rPr>
              <w:t xml:space="preserve">Προγράμματος Εθελουσίας Εξόδου, κόστη αναδιάρθρωσης, καθώς και λοιπά μη επαναλαμβανόμενα έξοδα </w:t>
            </w:r>
          </w:p>
        </w:tc>
      </w:tr>
      <w:tr w:rsidR="0027264F" w:rsidRPr="001616AD"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Κόστος Χρηματοδότησης</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Το σταθμισμένος μέσο κόστος των καταθέσεων, της χρηματοδότησης μέσω Ευρωσυστήματος και συμφωνιών επαναγοράς, καθώς και των καλυμμένων ομολόγων και των τιτλοποιήσεων</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ή Συνολικά Έσοδα</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Καθαρά λειτουργικά έσοδα</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Λειτουργικά ή Συνολικά Έξοδα / Δαπάνες / Κόστη</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14D65">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Δαπάνες προσωπικού + Γενικά διοικητικά έξοδα + Αποσβέσεις, 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 Τα λειτουργικά έξοδα εξαιρούν τη δαπάνη για το </w:t>
            </w:r>
            <w:r w:rsidR="007C2DE1" w:rsidRPr="00285C10">
              <w:rPr>
                <w:rFonts w:ascii="Segoe UI" w:eastAsia="MS Mincho" w:hAnsi="Segoe UI" w:cs="Segoe UI"/>
                <w:color w:val="000000"/>
                <w:sz w:val="13"/>
                <w:szCs w:val="13"/>
              </w:rPr>
              <w:t>ΛΕΠΕΤΕ (€37 εκατ.) &amp; κόστη Εθελουσίας Εξόδου Προσωπικού και αναδιάρθρωσης και λοιπές μη επαναλαμβανόμενες δαπάνες (€15</w:t>
            </w:r>
            <w:r w:rsidR="00D14D65" w:rsidRPr="00285C10">
              <w:rPr>
                <w:rFonts w:ascii="Segoe UI" w:eastAsia="MS Mincho" w:hAnsi="Segoe UI" w:cs="Segoe UI"/>
                <w:color w:val="000000"/>
                <w:sz w:val="13"/>
                <w:szCs w:val="13"/>
              </w:rPr>
              <w:t>2</w:t>
            </w:r>
            <w:r w:rsidR="007C2DE1" w:rsidRPr="00285C10">
              <w:rPr>
                <w:rFonts w:ascii="Segoe UI" w:eastAsia="MS Mincho" w:hAnsi="Segoe UI" w:cs="Segoe UI"/>
                <w:color w:val="000000"/>
                <w:sz w:val="13"/>
                <w:szCs w:val="13"/>
              </w:rPr>
              <w:t xml:space="preserve"> εκατ.) για το 2020, καθώς και τη δαπάνη για το ΛΕΠΕΤΕ (€90 εκατ.) &amp; κόστη </w:t>
            </w:r>
            <w:r w:rsidR="007C2DE1" w:rsidRPr="00285C10">
              <w:rPr>
                <w:rFonts w:ascii="Segoe UI" w:eastAsia="MS Mincho" w:hAnsi="Segoe UI" w:cs="Segoe UI"/>
                <w:color w:val="000000"/>
                <w:sz w:val="13"/>
                <w:szCs w:val="13"/>
              </w:rPr>
              <w:lastRenderedPageBreak/>
              <w:t>Εθελουσίας Εξόδου Προσωπικού και αναδιάρθρωσης και λοιπές μη επαναλαμβανόμενες δαπάνες (€136 εκατ.) για το 2019</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lastRenderedPageBreak/>
              <w:t>Λειτουργικά Κέρδη / (Ζημίες)</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hideMark/>
          </w:tcPr>
          <w:p w:rsidR="0027264F" w:rsidRPr="00285C10" w:rsidRDefault="0027264F" w:rsidP="00717A63">
            <w:pPr>
              <w:rPr>
                <w:rFonts w:ascii="Segoe UI" w:eastAsia="MS Mincho" w:hAnsi="Segoe UI" w:cs="Segoe UI"/>
                <w:color w:val="000000"/>
                <w:sz w:val="13"/>
                <w:szCs w:val="13"/>
              </w:rPr>
            </w:pPr>
            <w:r w:rsidRPr="00285C10">
              <w:rPr>
                <w:rFonts w:ascii="Segoe UI" w:eastAsia="MS Mincho" w:hAnsi="Segoe UI" w:cs="Segoe UI"/>
                <w:color w:val="000000"/>
                <w:sz w:val="13"/>
                <w:szCs w:val="13"/>
              </w:rPr>
              <w:t>Καθαρά λειτουργικά έσοδα μείον λειτουργικά έξοδα και προβλέψεις απομείωσης για ΑΠΖ</w:t>
            </w:r>
            <w:r w:rsidR="00717A63" w:rsidRPr="00285C10">
              <w:rPr>
                <w:rFonts w:ascii="Segoe UI" w:eastAsia="MS Mincho" w:hAnsi="Segoe UI" w:cs="Segoe UI"/>
                <w:color w:val="000000"/>
                <w:sz w:val="13"/>
                <w:szCs w:val="13"/>
              </w:rPr>
              <w:t xml:space="preserve">, 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 Τα λειτουργικά κέρδη </w:t>
            </w:r>
            <w:r w:rsidR="000471C2" w:rsidRPr="00285C10">
              <w:rPr>
                <w:rFonts w:ascii="Segoe UI" w:eastAsia="MS Mincho" w:hAnsi="Segoe UI" w:cs="Segoe UI"/>
                <w:color w:val="000000"/>
                <w:sz w:val="13"/>
                <w:szCs w:val="13"/>
              </w:rPr>
              <w:t xml:space="preserve">/ (ζημίες) </w:t>
            </w:r>
            <w:r w:rsidR="00717A63" w:rsidRPr="00285C10">
              <w:rPr>
                <w:rFonts w:ascii="Segoe UI" w:eastAsia="MS Mincho" w:hAnsi="Segoe UI" w:cs="Segoe UI"/>
                <w:color w:val="000000"/>
                <w:sz w:val="13"/>
                <w:szCs w:val="13"/>
              </w:rPr>
              <w:t>εξαιρούν τη δαπάνη για το ΛΕΠΕΤΕ (€37 εκατ.) &amp; κόστη Εθελουσίας Εξόδου Προσωπικού και αναδιάρθρωσης και λοιπές μη επαναλαμβανόμενες δαπάνες (€152 εκατ.) για το 2020, καθώς και τη δαπάνη για το ΛΕΠΕΤΕ (€90 εκατ.) &amp; κόστη Εθελουσίας Εξόδου Προσωπικού και αναδιάρθρωσης και λοιπές μη επαναλαμβανόμενες δαπάνες (€136 εκατ.) για το 2019</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Λοιπές προβλέψεις </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Προβλέψεις απομείωσης χρεογράφων + Λοιπές προβλέψεις και προβλέψεις απομείωσης </w:t>
            </w:r>
          </w:p>
        </w:tc>
      </w:tr>
      <w:tr w:rsidR="0027264F" w:rsidRPr="00CB691B" w:rsidTr="00D95F56">
        <w:trPr>
          <w:trHeight w:val="113"/>
        </w:trPr>
        <w:tc>
          <w:tcPr>
            <w:tcW w:w="1972"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Μη Εξυπηρετούμενα Ανοίγματα (</w:t>
            </w:r>
            <w:r w:rsidRPr="00285C10">
              <w:rPr>
                <w:rFonts w:ascii="Segoe UI" w:eastAsia="MS Mincho" w:hAnsi="Segoe UI" w:cs="Segoe UI"/>
                <w:color w:val="000000"/>
                <w:sz w:val="13"/>
                <w:szCs w:val="13"/>
                <w:lang w:val="en-US"/>
              </w:rPr>
              <w:t>Non</w:t>
            </w:r>
            <w:r w:rsidRPr="00285C10">
              <w:rPr>
                <w:rFonts w:ascii="Segoe UI" w:eastAsia="MS Mincho" w:hAnsi="Segoe UI" w:cs="Segoe UI"/>
                <w:color w:val="000000"/>
                <w:sz w:val="13"/>
                <w:szCs w:val="13"/>
              </w:rPr>
              <w:t>-</w:t>
            </w:r>
            <w:r w:rsidRPr="00285C10">
              <w:rPr>
                <w:rFonts w:ascii="Segoe UI" w:eastAsia="MS Mincho" w:hAnsi="Segoe UI" w:cs="Segoe UI"/>
                <w:color w:val="000000"/>
                <w:sz w:val="13"/>
                <w:szCs w:val="13"/>
                <w:lang w:val="en-US"/>
              </w:rPr>
              <w:t>Performing</w:t>
            </w:r>
            <w:r w:rsidRPr="00285C10">
              <w:rPr>
                <w:rFonts w:ascii="Segoe UI" w:eastAsia="MS Mincho" w:hAnsi="Segoe UI" w:cs="Segoe UI"/>
                <w:color w:val="000000"/>
                <w:sz w:val="13"/>
                <w:szCs w:val="13"/>
              </w:rPr>
              <w:t xml:space="preserve"> </w:t>
            </w:r>
            <w:r w:rsidRPr="00285C10">
              <w:rPr>
                <w:rFonts w:ascii="Segoe UI" w:eastAsia="MS Mincho" w:hAnsi="Segoe UI" w:cs="Segoe UI"/>
                <w:color w:val="000000"/>
                <w:sz w:val="13"/>
                <w:szCs w:val="13"/>
                <w:lang w:val="en-US"/>
              </w:rPr>
              <w:t>Exposures</w:t>
            </w:r>
            <w:r w:rsidRPr="00285C10">
              <w:rPr>
                <w:rFonts w:ascii="Segoe UI" w:eastAsia="MS Mincho" w:hAnsi="Segoe UI" w:cs="Segoe UI"/>
                <w:color w:val="000000"/>
                <w:sz w:val="13"/>
                <w:szCs w:val="13"/>
              </w:rPr>
              <w:t xml:space="preserve"> – </w:t>
            </w:r>
            <w:r w:rsidRPr="00285C10">
              <w:rPr>
                <w:rFonts w:ascii="Segoe UI" w:eastAsia="MS Mincho" w:hAnsi="Segoe UI" w:cs="Segoe UI"/>
                <w:color w:val="000000"/>
                <w:sz w:val="13"/>
                <w:szCs w:val="13"/>
                <w:lang w:val="en-US"/>
              </w:rPr>
              <w:t>NPEs</w:t>
            </w:r>
            <w:r w:rsidRPr="00285C10">
              <w:rPr>
                <w:rFonts w:ascii="Segoe UI" w:eastAsia="MS Mincho" w:hAnsi="Segoe UI" w:cs="Segoe UI"/>
                <w:color w:val="000000"/>
                <w:sz w:val="13"/>
                <w:szCs w:val="13"/>
              </w:rPr>
              <w:t>)</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ΜΕΑ </w:t>
            </w:r>
          </w:p>
        </w:tc>
        <w:tc>
          <w:tcPr>
            <w:tcW w:w="7087" w:type="dxa"/>
            <w:shd w:val="clear" w:color="auto" w:fill="auto"/>
            <w:noWrap/>
            <w:vAlign w:val="center"/>
            <w:hideMark/>
          </w:tcPr>
          <w:p w:rsidR="0027264F" w:rsidRPr="00285C10" w:rsidRDefault="0027264F" w:rsidP="002F1589">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Σύμφωνα με τους ορισμούς της Ευρωπαϊκής Αρχής Τραπεζών (EBA, ITS </w:t>
            </w:r>
            <w:proofErr w:type="spellStart"/>
            <w:r w:rsidRPr="00285C10">
              <w:rPr>
                <w:rFonts w:ascii="Segoe UI" w:eastAsia="MS Mincho" w:hAnsi="Segoe UI" w:cs="Segoe UI"/>
                <w:color w:val="000000"/>
                <w:sz w:val="13"/>
                <w:szCs w:val="13"/>
              </w:rPr>
              <w:t>Τechnical</w:t>
            </w:r>
            <w:proofErr w:type="spellEnd"/>
            <w:r w:rsidRPr="00285C10">
              <w:rPr>
                <w:rFonts w:ascii="Segoe UI" w:eastAsia="MS Mincho" w:hAnsi="Segoe UI" w:cs="Segoe UI"/>
                <w:color w:val="000000"/>
                <w:sz w:val="13"/>
                <w:szCs w:val="13"/>
              </w:rPr>
              <w:t xml:space="preserve"> </w:t>
            </w:r>
            <w:proofErr w:type="spellStart"/>
            <w:r w:rsidRPr="00285C10">
              <w:rPr>
                <w:rFonts w:ascii="Segoe UI" w:eastAsia="MS Mincho" w:hAnsi="Segoe UI" w:cs="Segoe UI"/>
                <w:color w:val="000000"/>
                <w:sz w:val="13"/>
                <w:szCs w:val="13"/>
              </w:rPr>
              <w:t>Standards</w:t>
            </w:r>
            <w:proofErr w:type="spellEnd"/>
            <w:r w:rsidRPr="00285C10">
              <w:rPr>
                <w:rFonts w:ascii="Segoe UI" w:eastAsia="MS Mincho" w:hAnsi="Segoe UI" w:cs="Segoe UI"/>
                <w:color w:val="000000"/>
                <w:sz w:val="13"/>
                <w:szCs w:val="13"/>
              </w:rPr>
              <w:t>) ως μη εξυπηρετούμενα ορίζονται τα ανοίγματα που πληρούν μία εκ ή και τις δύο κάτωθι προϋποθέσεις: (</w:t>
            </w:r>
            <w:proofErr w:type="spellStart"/>
            <w:r w:rsidR="002F1589" w:rsidRPr="00285C10">
              <w:rPr>
                <w:rFonts w:ascii="Segoe UI" w:eastAsia="MS Mincho" w:hAnsi="Segoe UI" w:cs="Segoe UI"/>
                <w:color w:val="000000"/>
                <w:sz w:val="13"/>
                <w:szCs w:val="13"/>
                <w:lang w:val="en-US"/>
              </w:rPr>
              <w:t>i</w:t>
            </w:r>
            <w:proofErr w:type="spellEnd"/>
            <w:r w:rsidR="002F1589" w:rsidRPr="00285C10">
              <w:rPr>
                <w:rFonts w:ascii="Segoe UI" w:eastAsia="MS Mincho" w:hAnsi="Segoe UI" w:cs="Segoe UI"/>
                <w:color w:val="000000"/>
                <w:sz w:val="13"/>
                <w:szCs w:val="13"/>
              </w:rPr>
              <w:t>)</w:t>
            </w:r>
            <w:r w:rsidRPr="00285C10">
              <w:rPr>
                <w:rFonts w:ascii="Segoe UI" w:eastAsia="MS Mincho" w:hAnsi="Segoe UI" w:cs="Segoe UI"/>
                <w:color w:val="000000"/>
                <w:sz w:val="13"/>
                <w:szCs w:val="13"/>
              </w:rPr>
              <w:t xml:space="preserve"> σημαντικά ανοίγματα με καθυστέρηση μεγαλύτερη των 90 ημερών και (</w:t>
            </w:r>
            <w:r w:rsidRPr="00285C10">
              <w:rPr>
                <w:rFonts w:ascii="Segoe UI" w:eastAsia="MS Mincho" w:hAnsi="Segoe UI" w:cs="Segoe UI"/>
                <w:color w:val="000000"/>
                <w:sz w:val="13"/>
                <w:szCs w:val="13"/>
                <w:lang w:val="en-US"/>
              </w:rPr>
              <w:t>ii</w:t>
            </w:r>
            <w:r w:rsidRPr="00285C10">
              <w:rPr>
                <w:rFonts w:ascii="Segoe UI" w:eastAsia="MS Mincho" w:hAnsi="Segoe UI" w:cs="Segoe UI"/>
                <w:color w:val="000000"/>
                <w:sz w:val="13"/>
                <w:szCs w:val="13"/>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proofErr w:type="spellStart"/>
            <w:r w:rsidRPr="00285C10">
              <w:rPr>
                <w:rFonts w:ascii="Segoe UI" w:eastAsia="MS Mincho" w:hAnsi="Segoe UI" w:cs="Segoe UI"/>
                <w:color w:val="000000"/>
                <w:sz w:val="13"/>
                <w:szCs w:val="13"/>
                <w:lang w:val="en-GB"/>
              </w:rPr>
              <w:t>Μη</w:t>
            </w:r>
            <w:proofErr w:type="spellEnd"/>
            <w:r w:rsidRPr="00285C10">
              <w:rPr>
                <w:rFonts w:ascii="Segoe UI" w:eastAsia="MS Mincho" w:hAnsi="Segoe UI" w:cs="Segoe UI"/>
                <w:color w:val="000000"/>
                <w:sz w:val="13"/>
                <w:szCs w:val="13"/>
                <w:lang w:val="en-GB"/>
              </w:rPr>
              <w:t xml:space="preserve"> </w:t>
            </w:r>
            <w:proofErr w:type="spellStart"/>
            <w:r w:rsidRPr="00285C10">
              <w:rPr>
                <w:rFonts w:ascii="Segoe UI" w:eastAsia="MS Mincho" w:hAnsi="Segoe UI" w:cs="Segoe UI"/>
                <w:color w:val="000000"/>
                <w:sz w:val="13"/>
                <w:szCs w:val="13"/>
                <w:lang w:val="en-GB"/>
              </w:rPr>
              <w:t>Εξυ</w:t>
            </w:r>
            <w:proofErr w:type="spellEnd"/>
            <w:r w:rsidRPr="00285C10">
              <w:rPr>
                <w:rFonts w:ascii="Segoe UI" w:eastAsia="MS Mincho" w:hAnsi="Segoe UI" w:cs="Segoe UI"/>
                <w:color w:val="000000"/>
                <w:sz w:val="13"/>
                <w:szCs w:val="13"/>
                <w:lang w:val="en-GB"/>
              </w:rPr>
              <w:t xml:space="preserve">πηρετούμενα </w:t>
            </w:r>
            <w:proofErr w:type="spellStart"/>
            <w:r w:rsidRPr="00285C10">
              <w:rPr>
                <w:rFonts w:ascii="Segoe UI" w:eastAsia="MS Mincho" w:hAnsi="Segoe UI" w:cs="Segoe UI"/>
                <w:color w:val="000000"/>
                <w:sz w:val="13"/>
                <w:szCs w:val="13"/>
                <w:lang w:val="en-GB"/>
              </w:rPr>
              <w:t>Δάνει</w:t>
            </w:r>
            <w:proofErr w:type="spellEnd"/>
            <w:r w:rsidRPr="00285C10">
              <w:rPr>
                <w:rFonts w:ascii="Segoe UI" w:eastAsia="MS Mincho" w:hAnsi="Segoe UI" w:cs="Segoe UI"/>
                <w:color w:val="000000"/>
                <w:sz w:val="13"/>
                <w:szCs w:val="13"/>
                <w:lang w:val="en-GB"/>
              </w:rPr>
              <w:t>α</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Δάνεια και απαιτήσεις κατά πελατών σε καθυστέρηση μεγαλύτερη των 90 ημερών</w:t>
            </w:r>
            <w:r w:rsidR="00942BA0" w:rsidRPr="00285C10">
              <w:rPr>
                <w:rFonts w:ascii="Segoe UI" w:eastAsia="MS Mincho" w:hAnsi="Segoe UI" w:cs="Segoe UI"/>
                <w:color w:val="000000"/>
                <w:sz w:val="13"/>
                <w:szCs w:val="13"/>
              </w:rPr>
              <w:t>, τέλος χρήσης / περιόδου</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sz w:val="13"/>
                <w:szCs w:val="13"/>
              </w:rPr>
            </w:pPr>
            <w:r w:rsidRPr="00285C10">
              <w:rPr>
                <w:rFonts w:ascii="Segoe UI" w:eastAsia="MS Mincho" w:hAnsi="Segoe UI" w:cs="Segoe UI"/>
                <w:sz w:val="13"/>
                <w:szCs w:val="13"/>
              </w:rPr>
              <w:t>Οργανική Αύξηση / (Μείωση) Μη Εξυπηρετούμενων Ανοιγμάτων</w:t>
            </w:r>
          </w:p>
        </w:tc>
        <w:tc>
          <w:tcPr>
            <w:tcW w:w="1134" w:type="dxa"/>
            <w:shd w:val="clear" w:color="auto" w:fill="auto"/>
            <w:noWrap/>
            <w:vAlign w:val="center"/>
          </w:tcPr>
          <w:p w:rsidR="0027264F" w:rsidRPr="00285C10" w:rsidRDefault="0027264F" w:rsidP="00D95F56">
            <w:pPr>
              <w:rPr>
                <w:rFonts w:ascii="Segoe UI" w:eastAsia="MS Mincho" w:hAnsi="Segoe UI" w:cs="Segoe UI"/>
                <w:sz w:val="13"/>
                <w:szCs w:val="13"/>
                <w:lang w:val="en-GB"/>
              </w:rPr>
            </w:pPr>
            <w:r w:rsidRPr="00285C10">
              <w:rPr>
                <w:rFonts w:ascii="Segoe UI" w:eastAsia="MS Mincho" w:hAnsi="Segoe UI" w:cs="Segoe UI"/>
                <w:sz w:val="13"/>
                <w:szCs w:val="13"/>
                <w:lang w:val="en-GB"/>
              </w:rPr>
              <w:t>--</w:t>
            </w:r>
          </w:p>
        </w:tc>
        <w:tc>
          <w:tcPr>
            <w:tcW w:w="7087" w:type="dxa"/>
            <w:shd w:val="clear" w:color="auto" w:fill="auto"/>
            <w:noWrap/>
            <w:vAlign w:val="center"/>
          </w:tcPr>
          <w:p w:rsidR="0027264F" w:rsidRPr="00285C10" w:rsidRDefault="0027264F" w:rsidP="003A7701">
            <w:pPr>
              <w:rPr>
                <w:rFonts w:ascii="Segoe UI" w:eastAsia="MS Mincho" w:hAnsi="Segoe UI" w:cs="Segoe UI"/>
                <w:sz w:val="13"/>
                <w:szCs w:val="13"/>
              </w:rPr>
            </w:pPr>
            <w:r w:rsidRPr="00285C10">
              <w:rPr>
                <w:rFonts w:ascii="Segoe UI" w:eastAsia="MS Mincho" w:hAnsi="Segoe UI" w:cs="Segoe UI"/>
                <w:sz w:val="13"/>
                <w:szCs w:val="13"/>
              </w:rPr>
              <w:t xml:space="preserve">Υπόλοιπο Μη Εξυπηρετούμενων Ανοιγμάτων στο τέλος </w:t>
            </w:r>
            <w:r w:rsidR="003A7701" w:rsidRPr="00285C10">
              <w:rPr>
                <w:rFonts w:ascii="Segoe UI" w:eastAsia="MS Mincho" w:hAnsi="Segoe UI" w:cs="Segoe UI"/>
                <w:sz w:val="13"/>
                <w:szCs w:val="13"/>
              </w:rPr>
              <w:t>χρήσης</w:t>
            </w:r>
            <w:r w:rsidR="00797C9C" w:rsidRPr="00285C10">
              <w:rPr>
                <w:rFonts w:ascii="Segoe UI" w:eastAsia="MS Mincho" w:hAnsi="Segoe UI" w:cs="Segoe UI"/>
                <w:sz w:val="13"/>
                <w:szCs w:val="13"/>
              </w:rPr>
              <w:t xml:space="preserve"> </w:t>
            </w:r>
            <w:r w:rsidRPr="00285C10">
              <w:rPr>
                <w:rFonts w:ascii="Segoe UI" w:eastAsia="MS Mincho" w:hAnsi="Segoe UI" w:cs="Segoe UI"/>
                <w:sz w:val="13"/>
                <w:szCs w:val="13"/>
              </w:rPr>
              <w:t>/</w:t>
            </w:r>
            <w:r w:rsidR="00797C9C" w:rsidRPr="00285C10">
              <w:rPr>
                <w:rFonts w:ascii="Segoe UI" w:eastAsia="MS Mincho" w:hAnsi="Segoe UI" w:cs="Segoe UI"/>
                <w:sz w:val="13"/>
                <w:szCs w:val="13"/>
              </w:rPr>
              <w:t xml:space="preserve"> </w:t>
            </w:r>
            <w:r w:rsidRPr="00285C10">
              <w:rPr>
                <w:rFonts w:ascii="Segoe UI" w:eastAsia="MS Mincho" w:hAnsi="Segoe UI" w:cs="Segoe UI"/>
                <w:sz w:val="13"/>
                <w:szCs w:val="13"/>
              </w:rPr>
              <w:t xml:space="preserve">περιόδου, προ πωλήσεων και διαγραφών </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proofErr w:type="spellStart"/>
            <w:r w:rsidRPr="00285C10">
              <w:rPr>
                <w:rFonts w:ascii="Segoe UI" w:eastAsia="MS Mincho" w:hAnsi="Segoe UI" w:cs="Segoe UI"/>
                <w:color w:val="000000"/>
                <w:sz w:val="13"/>
                <w:szCs w:val="13"/>
                <w:lang w:val="en-GB"/>
              </w:rPr>
              <w:t>Οργ</w:t>
            </w:r>
            <w:proofErr w:type="spellEnd"/>
            <w:r w:rsidRPr="00285C10">
              <w:rPr>
                <w:rFonts w:ascii="Segoe UI" w:eastAsia="MS Mincho" w:hAnsi="Segoe UI" w:cs="Segoe UI"/>
                <w:color w:val="000000"/>
                <w:sz w:val="13"/>
                <w:szCs w:val="13"/>
                <w:lang w:val="en-GB"/>
              </w:rPr>
              <w:t xml:space="preserve">ανικά </w:t>
            </w:r>
            <w:proofErr w:type="spellStart"/>
            <w:r w:rsidRPr="00285C10">
              <w:rPr>
                <w:rFonts w:ascii="Segoe UI" w:eastAsia="MS Mincho" w:hAnsi="Segoe UI" w:cs="Segoe UI"/>
                <w:color w:val="000000"/>
                <w:sz w:val="13"/>
                <w:szCs w:val="13"/>
                <w:lang w:val="en-GB"/>
              </w:rPr>
              <w:t>Έσοδ</w:t>
            </w:r>
            <w:proofErr w:type="spellEnd"/>
            <w:r w:rsidRPr="00285C10">
              <w:rPr>
                <w:rFonts w:ascii="Segoe UI" w:eastAsia="MS Mincho" w:hAnsi="Segoe UI" w:cs="Segoe UI"/>
                <w:color w:val="000000"/>
                <w:sz w:val="13"/>
                <w:szCs w:val="13"/>
                <w:lang w:val="en-GB"/>
              </w:rPr>
              <w:t>α</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Καθαρά έσοδα από τόκους + καθαρά έσοδα από προμήθειες </w:t>
            </w:r>
          </w:p>
        </w:tc>
      </w:tr>
      <w:tr w:rsidR="0027264F" w:rsidRPr="00CB691B" w:rsidTr="00D95F56">
        <w:trPr>
          <w:trHeight w:val="113"/>
        </w:trPr>
        <w:tc>
          <w:tcPr>
            <w:tcW w:w="1972" w:type="dxa"/>
            <w:shd w:val="clear" w:color="auto" w:fill="auto"/>
            <w:noWrap/>
            <w:vAlign w:val="center"/>
            <w:hideMark/>
          </w:tcPr>
          <w:p w:rsidR="0027264F" w:rsidRPr="00285C10" w:rsidRDefault="0027264F" w:rsidP="0072639C">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Οργανικά Κέρδη ή Κερδοφορία </w:t>
            </w:r>
            <w:r w:rsidR="0072639C" w:rsidRPr="00285C10">
              <w:rPr>
                <w:rFonts w:ascii="Segoe UI" w:eastAsia="MS Mincho" w:hAnsi="Segoe UI" w:cs="Segoe UI"/>
                <w:color w:val="000000"/>
                <w:sz w:val="13"/>
                <w:szCs w:val="13"/>
              </w:rPr>
              <w:t xml:space="preserve">ή Αποτέλεσμα </w:t>
            </w:r>
            <w:r w:rsidRPr="00285C10">
              <w:rPr>
                <w:rFonts w:ascii="Segoe UI" w:eastAsia="MS Mincho" w:hAnsi="Segoe UI" w:cs="Segoe UI"/>
                <w:color w:val="000000"/>
                <w:sz w:val="13"/>
                <w:szCs w:val="13"/>
              </w:rPr>
              <w:t xml:space="preserve">/ (Ζημίες) </w:t>
            </w:r>
          </w:p>
        </w:tc>
        <w:tc>
          <w:tcPr>
            <w:tcW w:w="1134" w:type="dxa"/>
            <w:shd w:val="clear" w:color="auto" w:fill="auto"/>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auto"/>
            <w:noWrap/>
            <w:vAlign w:val="center"/>
            <w:hideMark/>
          </w:tcPr>
          <w:p w:rsidR="0027264F" w:rsidRPr="00285C10" w:rsidRDefault="0027264F" w:rsidP="00834458">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έσοδα μείον λειτουργικά έξοδα και προβλέψεις απομείωσης για ΑΠΖ, 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της δαπάνης για το ΛΕΠΕΤΕ</w:t>
            </w:r>
            <w:r w:rsidR="00AF70AB" w:rsidRPr="00285C10">
              <w:rPr>
                <w:rFonts w:ascii="Segoe UI" w:eastAsia="MS Mincho" w:hAnsi="Segoe UI" w:cs="Segoe UI"/>
                <w:color w:val="000000"/>
                <w:sz w:val="13"/>
                <w:szCs w:val="13"/>
              </w:rPr>
              <w:t>, καθώς και</w:t>
            </w:r>
            <w:r w:rsidRPr="00285C10">
              <w:rPr>
                <w:rFonts w:ascii="Segoe UI" w:eastAsia="MS Mincho" w:hAnsi="Segoe UI" w:cs="Segoe UI"/>
                <w:color w:val="000000"/>
                <w:sz w:val="13"/>
                <w:szCs w:val="13"/>
              </w:rPr>
              <w:t xml:space="preserve"> </w:t>
            </w:r>
            <w:r w:rsidR="00AF70AB" w:rsidRPr="00285C10">
              <w:rPr>
                <w:rFonts w:ascii="Segoe UI" w:eastAsia="MS Mincho" w:hAnsi="Segoe UI" w:cs="Segoe UI"/>
                <w:color w:val="000000"/>
                <w:sz w:val="13"/>
                <w:szCs w:val="13"/>
              </w:rPr>
              <w:t xml:space="preserve">των πρόσθετων προβλέψεων για τον κορωνοϊό (€0,4 δισ.) και τη συναλλαγή Frontier (€0,4 δισ.) </w:t>
            </w:r>
            <w:r w:rsidRPr="00285C10">
              <w:rPr>
                <w:rFonts w:ascii="Segoe UI" w:eastAsia="MS Mincho" w:hAnsi="Segoe UI" w:cs="Segoe UI"/>
                <w:color w:val="000000"/>
                <w:sz w:val="13"/>
                <w:szCs w:val="13"/>
              </w:rPr>
              <w:t xml:space="preserve">Τα οργανικά κέρδη </w:t>
            </w:r>
            <w:r w:rsidR="002B5B51" w:rsidRPr="00285C10">
              <w:rPr>
                <w:rFonts w:ascii="Segoe UI" w:eastAsia="MS Mincho" w:hAnsi="Segoe UI" w:cs="Segoe UI"/>
                <w:color w:val="000000"/>
                <w:sz w:val="13"/>
                <w:szCs w:val="13"/>
              </w:rPr>
              <w:t xml:space="preserve">/ (ζημίες) </w:t>
            </w:r>
            <w:r w:rsidRPr="00285C10">
              <w:rPr>
                <w:rFonts w:ascii="Segoe UI" w:eastAsia="MS Mincho" w:hAnsi="Segoe UI" w:cs="Segoe UI"/>
                <w:color w:val="000000"/>
                <w:sz w:val="13"/>
                <w:szCs w:val="13"/>
              </w:rPr>
              <w:t xml:space="preserve">εξαιρούν τη δαπάνη για το </w:t>
            </w:r>
            <w:r w:rsidR="007C2DE1" w:rsidRPr="00285C10">
              <w:rPr>
                <w:rFonts w:ascii="Segoe UI" w:eastAsia="MS Mincho" w:hAnsi="Segoe UI" w:cs="Segoe UI"/>
                <w:color w:val="000000"/>
                <w:sz w:val="13"/>
                <w:szCs w:val="13"/>
              </w:rPr>
              <w:t>ΛΕΠΕΤΕ (€37 εκατ.) &amp; κόστη Εθελουσίας Εξόδου Προσωπικού και αναδιάρθρωσης και λοιπές μη επαναλαμβανόμενες δαπάνες (€15</w:t>
            </w:r>
            <w:r w:rsidR="00D14D65" w:rsidRPr="00285C10">
              <w:rPr>
                <w:rFonts w:ascii="Segoe UI" w:eastAsia="MS Mincho" w:hAnsi="Segoe UI" w:cs="Segoe UI"/>
                <w:color w:val="000000"/>
                <w:sz w:val="13"/>
                <w:szCs w:val="13"/>
              </w:rPr>
              <w:t>2</w:t>
            </w:r>
            <w:r w:rsidR="007C2DE1" w:rsidRPr="00285C10">
              <w:rPr>
                <w:rFonts w:ascii="Segoe UI" w:eastAsia="MS Mincho" w:hAnsi="Segoe UI" w:cs="Segoe UI"/>
                <w:color w:val="000000"/>
                <w:sz w:val="13"/>
                <w:szCs w:val="13"/>
              </w:rPr>
              <w:t xml:space="preserve"> εκατ.) για το 2020, καθώς και τη δαπάνη για το ΛΕΠΕΤΕ (€90 εκατ.) &amp; κόστη Εθελουσίας Εξόδου Προσωπικού και αναδιάρθρωσης και λοιπές μη επαναλαμβανόμενες δαπάνες (€136 εκατ.) για το 2019</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Κέρδη / (Ζημίες) προ Προβλέψεων</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Οργανικά έσοδα μείον λειτουργικά έξοδ</w:t>
            </w:r>
            <w:r w:rsidR="00697115" w:rsidRPr="00285C10">
              <w:rPr>
                <w:rFonts w:ascii="Segoe UI" w:eastAsia="MS Mincho" w:hAnsi="Segoe UI" w:cs="Segoe UI"/>
                <w:color w:val="000000"/>
                <w:sz w:val="13"/>
                <w:szCs w:val="13"/>
              </w:rPr>
              <w:t xml:space="preserve">α, 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 Τα οργανικά κέρδη </w:t>
            </w:r>
            <w:r w:rsidR="000471C2" w:rsidRPr="00285C10">
              <w:rPr>
                <w:rFonts w:ascii="Segoe UI" w:eastAsia="MS Mincho" w:hAnsi="Segoe UI" w:cs="Segoe UI"/>
                <w:color w:val="000000"/>
                <w:sz w:val="13"/>
                <w:szCs w:val="13"/>
              </w:rPr>
              <w:t xml:space="preserve">/ (ζημίες) </w:t>
            </w:r>
            <w:r w:rsidR="00501C91" w:rsidRPr="00285C10">
              <w:rPr>
                <w:rFonts w:ascii="Segoe UI" w:eastAsia="MS Mincho" w:hAnsi="Segoe UI" w:cs="Segoe UI"/>
                <w:color w:val="000000"/>
                <w:sz w:val="13"/>
                <w:szCs w:val="13"/>
              </w:rPr>
              <w:t xml:space="preserve">προ προβλέψεων </w:t>
            </w:r>
            <w:r w:rsidR="00697115" w:rsidRPr="00285C10">
              <w:rPr>
                <w:rFonts w:ascii="Segoe UI" w:eastAsia="MS Mincho" w:hAnsi="Segoe UI" w:cs="Segoe UI"/>
                <w:color w:val="000000"/>
                <w:sz w:val="13"/>
                <w:szCs w:val="13"/>
              </w:rPr>
              <w:t>εξαιρούν τη δαπάνη για το ΛΕΠΕΤΕ (€37 εκατ.) &amp; κόστη Εθελουσίας Εξόδου Προσωπικού και αναδιάρθρωσης και λοιπές μη επαναλαμβανόμενες δαπάνες (€152 εκατ.) για το 2020, καθώς και τη δαπάνη για το ΛΕΠΕΤΕ (€90 εκατ.) &amp; κόστη Εθελουσίας Εξόδου Προσωπικού και αναδιάρθρωσης και λοιπές μη επαναλαμβανόμενες δαπάνες (€136 εκατ.) για το 2019</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Προβλέψεις για επισφαλή δάνεια / απαιτήσεις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Προβλέψεις απομείωσης για Αναμενόμενες Πιστωτικές Ζημιές (ΑΠΖ)</w:t>
            </w:r>
          </w:p>
        </w:tc>
      </w:tr>
      <w:tr w:rsidR="0027264F" w:rsidRPr="00CB691B" w:rsidTr="00D95F56">
        <w:trPr>
          <w:trHeight w:val="113"/>
        </w:trPr>
        <w:tc>
          <w:tcPr>
            <w:tcW w:w="1972"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Συνολικός Δείκτης Κεφαλαιακής Επάρκειας </w:t>
            </w:r>
          </w:p>
        </w:tc>
        <w:tc>
          <w:tcPr>
            <w:tcW w:w="1134"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rPr>
              <w:t xml:space="preserve">Τοκοφόρα Στοιχεία </w:t>
            </w:r>
            <w:r w:rsidRPr="00285C10">
              <w:rPr>
                <w:rFonts w:ascii="Segoe UI" w:eastAsia="MS Mincho" w:hAnsi="Segoe UI" w:cs="Segoe UI"/>
                <w:color w:val="000000"/>
                <w:sz w:val="13"/>
                <w:szCs w:val="13"/>
                <w:lang w:val="en-GB"/>
              </w:rPr>
              <w:t>Ενεργητικού</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Τα τοκοφόρα στοιχεία Ενεργητικού περιλαμβάνουν τα εν δυνάμει τοκοφόρα στοιχεία του ενεργητικού και αφορούν το ταμείο και διαθέσιμα σε Κεντρικές Τράπεζες, τις απαιτήσεις κατά χρηματοπιστωτικών ιδρυμάτων, τα χρηματοοικονομικά περιουσιακά στοιχεία στην εύλογη αξία (εξαιρουμένων των μετοχών και μεριδίων αμοιβαίων κεφαλαίων), δάνεια και απαιτήσεις κατά πελατών και χαρτοφυλάκιο επενδύσεων (εξαιρουμένων των μετοχών και μεριδίων αμοιβαίων κεφαλαίων)</w:t>
            </w:r>
          </w:p>
        </w:tc>
      </w:tr>
      <w:tr w:rsidR="0027264F" w:rsidRPr="00CB691B" w:rsidTr="00D95F56">
        <w:trPr>
          <w:trHeight w:val="113"/>
        </w:trPr>
        <w:tc>
          <w:tcPr>
            <w:tcW w:w="1972" w:type="dxa"/>
            <w:shd w:val="clear" w:color="auto" w:fill="F2F2F2" w:themeFill="background1" w:themeFillShade="F2"/>
            <w:noWrap/>
            <w:vAlign w:val="center"/>
            <w:hideMark/>
          </w:tcPr>
          <w:p w:rsidR="0027264F" w:rsidRPr="00285C10" w:rsidRDefault="00285C10" w:rsidP="00285C10">
            <w:pPr>
              <w:rPr>
                <w:rFonts w:ascii="Segoe UI" w:eastAsia="MS Mincho" w:hAnsi="Segoe UI" w:cs="Segoe UI"/>
                <w:color w:val="000000"/>
                <w:sz w:val="13"/>
                <w:szCs w:val="13"/>
                <w:lang w:val="en-GB"/>
              </w:rPr>
            </w:pPr>
            <w:r>
              <w:rPr>
                <w:rFonts w:ascii="Segoe UI" w:eastAsia="MS Mincho" w:hAnsi="Segoe UI" w:cs="Segoe UI"/>
                <w:color w:val="000000"/>
                <w:sz w:val="13"/>
                <w:szCs w:val="13"/>
              </w:rPr>
              <w:t>Σταθμισμένα Στοιχεία</w:t>
            </w:r>
            <w:bookmarkStart w:id="0" w:name="_GoBack"/>
            <w:bookmarkEnd w:id="0"/>
            <w:r w:rsidR="0027264F" w:rsidRPr="00285C10">
              <w:rPr>
                <w:rFonts w:ascii="Segoe UI" w:eastAsia="MS Mincho" w:hAnsi="Segoe UI" w:cs="Segoe UI"/>
                <w:color w:val="000000"/>
                <w:sz w:val="13"/>
                <w:szCs w:val="13"/>
                <w:lang w:val="en-GB"/>
              </w:rPr>
              <w:t xml:space="preserve"> Ενεργητικού  </w:t>
            </w:r>
          </w:p>
        </w:tc>
        <w:tc>
          <w:tcPr>
            <w:tcW w:w="1134"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lang w:val="en-GB"/>
              </w:rPr>
            </w:pPr>
            <w:r w:rsidRPr="00285C10">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Στοιχεία Ενεργητικού και στοιχεία εκτός Ισολογισμού, προσδιορισμένα βάσει σταθμισμένου κινδύνου, σύμφωνα με τον κανονισμό (</w:t>
            </w:r>
            <w:r w:rsidRPr="00285C10">
              <w:rPr>
                <w:rFonts w:ascii="Segoe UI" w:eastAsia="MS Mincho" w:hAnsi="Segoe UI" w:cs="Segoe UI"/>
                <w:color w:val="000000"/>
                <w:sz w:val="13"/>
                <w:szCs w:val="13"/>
                <w:lang w:val="en-GB"/>
              </w:rPr>
              <w:t>EU</w:t>
            </w:r>
            <w:r w:rsidRPr="00285C10">
              <w:rPr>
                <w:rFonts w:ascii="Segoe UI" w:eastAsia="MS Mincho" w:hAnsi="Segoe UI" w:cs="Segoe UI"/>
                <w:color w:val="000000"/>
                <w:sz w:val="13"/>
                <w:szCs w:val="13"/>
              </w:rPr>
              <w:t>) 575/2013</w:t>
            </w:r>
          </w:p>
        </w:tc>
      </w:tr>
      <w:tr w:rsidR="0027264F" w:rsidRPr="00CB691B" w:rsidTr="00D95F56">
        <w:trPr>
          <w:trHeight w:val="113"/>
        </w:trPr>
        <w:tc>
          <w:tcPr>
            <w:tcW w:w="1972"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 xml:space="preserve">Σωρευμένες προβλέψεις </w:t>
            </w:r>
          </w:p>
        </w:tc>
        <w:tc>
          <w:tcPr>
            <w:tcW w:w="1134"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w:t>
            </w:r>
          </w:p>
        </w:tc>
        <w:tc>
          <w:tcPr>
            <w:tcW w:w="7087" w:type="dxa"/>
            <w:shd w:val="clear" w:color="auto" w:fill="auto"/>
            <w:noWrap/>
            <w:vAlign w:val="center"/>
          </w:tcPr>
          <w:p w:rsidR="0027264F" w:rsidRPr="00285C10" w:rsidRDefault="0027264F" w:rsidP="00D95F56">
            <w:pPr>
              <w:rPr>
                <w:rFonts w:ascii="Segoe UI" w:eastAsia="MS Mincho" w:hAnsi="Segoe UI" w:cs="Segoe UI"/>
                <w:color w:val="000000"/>
                <w:sz w:val="13"/>
                <w:szCs w:val="13"/>
              </w:rPr>
            </w:pPr>
            <w:r w:rsidRPr="00285C10">
              <w:rPr>
                <w:rFonts w:ascii="Segoe UI" w:eastAsia="MS Mincho" w:hAnsi="Segoe UI" w:cs="Segoe UI"/>
                <w:color w:val="000000"/>
                <w:sz w:val="13"/>
                <w:szCs w:val="13"/>
              </w:rPr>
              <w:t>Πρόβλεψη ΑΠΖ δανείων και απαιτήσεων κατά πελατών</w:t>
            </w:r>
          </w:p>
        </w:tc>
      </w:tr>
    </w:tbl>
    <w:p w:rsidR="0027264F" w:rsidRDefault="0027264F">
      <w:pPr>
        <w:rPr>
          <w:rFonts w:ascii="Segoe UI" w:hAnsi="Segoe UI" w:cs="Segoe UI"/>
          <w:sz w:val="15"/>
          <w:szCs w:val="15"/>
        </w:rPr>
      </w:pPr>
    </w:p>
    <w:p w:rsidR="008146D0" w:rsidRPr="00F04303" w:rsidRDefault="008146D0" w:rsidP="00E55AED">
      <w:pPr>
        <w:rPr>
          <w:rFonts w:ascii="Segoe UI" w:hAnsi="Segoe UI" w:cs="Segoe UI"/>
          <w:sz w:val="4"/>
          <w:szCs w:val="20"/>
          <w:lang w:eastAsia="el-GR"/>
        </w:rPr>
        <w:sectPr w:rsidR="008146D0" w:rsidRPr="00F04303" w:rsidSect="008D7AFE">
          <w:headerReference w:type="even" r:id="rId15"/>
          <w:headerReference w:type="default" r:id="rId16"/>
          <w:footerReference w:type="even" r:id="rId17"/>
          <w:footerReference w:type="default" r:id="rId18"/>
          <w:headerReference w:type="first" r:id="rId19"/>
          <w:footerReference w:type="first" r:id="rId20"/>
          <w:type w:val="continuous"/>
          <w:pgSz w:w="11900" w:h="16840"/>
          <w:pgMar w:top="993" w:right="851" w:bottom="1134" w:left="851" w:header="283" w:footer="0" w:gutter="0"/>
          <w:pgBorders w:offsetFrom="page">
            <w:bottom w:val="single" w:sz="12" w:space="24" w:color="FFC000"/>
          </w:pgBorders>
          <w:cols w:space="292"/>
          <w:docGrid w:linePitch="360"/>
        </w:sectPr>
      </w:pPr>
    </w:p>
    <w:p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lastRenderedPageBreak/>
        <w:t>ΑΠΟΠΟΙΗΣΗΣ ΕΥΘΥΝΗΣ</w:t>
      </w:r>
    </w:p>
    <w:p w:rsidR="003F566B" w:rsidRPr="00AC6374" w:rsidRDefault="003F566B" w:rsidP="003F566B">
      <w:pPr>
        <w:spacing w:after="160" w:line="276" w:lineRule="auto"/>
        <w:jc w:val="both"/>
        <w:rPr>
          <w:rFonts w:ascii="Segoe UI" w:eastAsia="MS Mincho" w:hAnsi="Segoe UI" w:cs="Segoe UI"/>
          <w:sz w:val="13"/>
          <w:szCs w:val="13"/>
          <w:highlight w:val="yellow"/>
        </w:rPr>
      </w:pPr>
      <w:r w:rsidRPr="00AC6374">
        <w:rPr>
          <w:rFonts w:ascii="Segoe UI" w:eastAsia="MS Mincho" w:hAnsi="Segoe UI" w:cs="Segoe UI"/>
          <w:sz w:val="13"/>
          <w:szCs w:val="13"/>
        </w:rPr>
        <w:t xml:space="preserve">Οι πληροφορίες, οι δηλώσεις και οι γνώμες που παρατίθενται στο παρών Δελτίο Τύπου Αποτελεσμάτων </w:t>
      </w:r>
      <w:r w:rsidR="004458A5">
        <w:rPr>
          <w:rFonts w:ascii="Segoe UI" w:eastAsia="MS Mincho" w:hAnsi="Segoe UI" w:cs="Segoe UI"/>
          <w:sz w:val="13"/>
          <w:szCs w:val="13"/>
        </w:rPr>
        <w:t>Δ</w:t>
      </w:r>
      <w:r w:rsidR="00C601D1" w:rsidRPr="00C601D1">
        <w:rPr>
          <w:rFonts w:ascii="Segoe UI" w:eastAsia="MS Mincho" w:hAnsi="Segoe UI" w:cs="Segoe UI"/>
          <w:sz w:val="13"/>
          <w:szCs w:val="13"/>
        </w:rPr>
        <w:t xml:space="preserve">’ τριμήνου 2020 </w:t>
      </w:r>
      <w:r w:rsidRPr="00AC6374">
        <w:rPr>
          <w:rFonts w:ascii="Segoe UI" w:eastAsia="MS Mincho" w:hAnsi="Segoe UI" w:cs="Segoe UI"/>
          <w:sz w:val="13"/>
          <w:szCs w:val="13"/>
        </w:rPr>
        <w:t>και η συνοδευτική συζήτηση (το «Δελτίο Τύπου») έχουν παρασχεθεί από την Εθνική Τράπεζα της Ελλάδας Α.Ε. (η «Τράπεζα») (μαζί με τις ενοποιούμενες θυγατρικές της (</w:t>
      </w:r>
      <w:r w:rsidRPr="00AC6374">
        <w:rPr>
          <w:rFonts w:ascii="Segoe UI" w:eastAsia="MS Mincho" w:hAnsi="Segoe UI" w:cs="Segoe UI"/>
          <w:sz w:val="13"/>
          <w:szCs w:val="13"/>
          <w:lang w:val="en-US"/>
        </w:rPr>
        <w:t>o</w:t>
      </w:r>
      <w:r w:rsidRPr="00AC6374">
        <w:rPr>
          <w:rFonts w:ascii="Segoe UI" w:eastAsia="MS Mincho" w:hAnsi="Segoe UI" w:cs="Segoe UI"/>
          <w:sz w:val="13"/>
          <w:szCs w:val="13"/>
        </w:rPr>
        <w:t xml:space="preserve">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Μολονότι έχει ληφθεί εύλογη επιμέλεια για να διασφαλιστεί ότι το περιεχόμενό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περιεχόμενό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w:t>
      </w:r>
      <w:proofErr w:type="spellStart"/>
      <w:r w:rsidRPr="00AC6374">
        <w:rPr>
          <w:rFonts w:ascii="Segoe UI" w:eastAsia="MS Mincho" w:hAnsi="Segoe UI" w:cs="Segoe UI"/>
          <w:sz w:val="13"/>
          <w:szCs w:val="13"/>
        </w:rPr>
        <w:t>καταλληλότητα</w:t>
      </w:r>
      <w:proofErr w:type="spellEnd"/>
      <w:r w:rsidRPr="00AC6374">
        <w:rPr>
          <w:rFonts w:ascii="Segoe UI" w:eastAsia="MS Mincho" w:hAnsi="Segoe UI" w:cs="Segoe UI"/>
          <w:sz w:val="13"/>
          <w:szCs w:val="13"/>
        </w:rPr>
        <w:t xml:space="preserve"> και την επάρκεια των πληροφοριών. </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ενότητα «Ορισμός των χρηματοοικονομικών στοιχείων και των δεικτών που χρησιμοποιήθηκαν» (“</w:t>
      </w:r>
      <w:proofErr w:type="spellStart"/>
      <w:r w:rsidRPr="00AC6374">
        <w:rPr>
          <w:rFonts w:ascii="Segoe UI" w:eastAsia="MS Mincho" w:hAnsi="Segoe UI" w:cs="Segoe UI"/>
          <w:sz w:val="13"/>
          <w:szCs w:val="13"/>
        </w:rPr>
        <w:t>Definition</w:t>
      </w:r>
      <w:proofErr w:type="spellEnd"/>
      <w:r w:rsidRPr="00AC6374">
        <w:rPr>
          <w:rFonts w:ascii="Segoe UI" w:eastAsia="MS Mincho" w:hAnsi="Segoe UI" w:cs="Segoe UI"/>
          <w:sz w:val="13"/>
          <w:szCs w:val="13"/>
        </w:rPr>
        <w:t xml:space="preserve"> of </w:t>
      </w:r>
      <w:proofErr w:type="spellStart"/>
      <w:r w:rsidRPr="00AC6374">
        <w:rPr>
          <w:rFonts w:ascii="Segoe UI" w:eastAsia="MS Mincho" w:hAnsi="Segoe UI" w:cs="Segoe UI"/>
          <w:sz w:val="13"/>
          <w:szCs w:val="13"/>
        </w:rPr>
        <w:t>financial</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data</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ratios</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used</w:t>
      </w:r>
      <w:proofErr w:type="spellEnd"/>
      <w:r w:rsidRPr="00AC6374">
        <w:rPr>
          <w:rFonts w:ascii="Segoe UI" w:eastAsia="MS Mincho" w:hAnsi="Segoe UI" w:cs="Segoe UI"/>
          <w:sz w:val="13"/>
          <w:szCs w:val="13"/>
        </w:rPr>
        <w:t xml:space="preserve"> and </w:t>
      </w:r>
      <w:proofErr w:type="spellStart"/>
      <w:r w:rsidRPr="00AC6374">
        <w:rPr>
          <w:rFonts w:ascii="Segoe UI" w:eastAsia="MS Mincho" w:hAnsi="Segoe UI" w:cs="Segoe UI"/>
          <w:sz w:val="13"/>
          <w:szCs w:val="13"/>
        </w:rPr>
        <w:t>alternative</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performance</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measures</w:t>
      </w:r>
      <w:proofErr w:type="spellEnd"/>
      <w:r w:rsidRPr="00AC6374">
        <w:rPr>
          <w:rFonts w:ascii="Segoe UI" w:eastAsia="MS Mincho" w:hAnsi="Segoe UI" w:cs="Segoe UI"/>
          <w:sz w:val="13"/>
          <w:szCs w:val="13"/>
        </w:rPr>
        <w:t>”)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w:t>
      </w:r>
      <w:proofErr w:type="spellStart"/>
      <w:r w:rsidRPr="00AC6374">
        <w:rPr>
          <w:rFonts w:ascii="Segoe UI" w:eastAsia="MS Mincho" w:hAnsi="Segoe UI" w:cs="Segoe UI"/>
          <w:b/>
          <w:sz w:val="13"/>
          <w:szCs w:val="13"/>
        </w:rPr>
        <w:t>Forward</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Looking</w:t>
      </w:r>
      <w:proofErr w:type="spellEnd"/>
      <w:r w:rsidRPr="00AC6374">
        <w:rPr>
          <w:rFonts w:ascii="Segoe UI" w:eastAsia="MS Mincho" w:hAnsi="Segoe UI" w:cs="Segoe UI"/>
          <w:b/>
          <w:sz w:val="13"/>
          <w:szCs w:val="13"/>
        </w:rPr>
        <w:t xml:space="preserve"> </w:t>
      </w:r>
      <w:proofErr w:type="spellStart"/>
      <w:r w:rsidRPr="00AC6374">
        <w:rPr>
          <w:rFonts w:ascii="Segoe UI" w:eastAsia="MS Mincho" w:hAnsi="Segoe UI" w:cs="Segoe UI"/>
          <w:b/>
          <w:sz w:val="13"/>
          <w:szCs w:val="13"/>
        </w:rPr>
        <w:t>Statements</w:t>
      </w:r>
      <w:proofErr w:type="spellEnd"/>
      <w:r w:rsidRPr="00AC6374">
        <w:rPr>
          <w:rFonts w:ascii="Segoe UI" w:eastAsia="MS Mincho" w:hAnsi="Segoe UI" w:cs="Segoe UI"/>
          <w:b/>
          <w:sz w:val="13"/>
          <w:szCs w:val="13"/>
        </w:rPr>
        <w:t>)</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περιέχει δηλώσεις σχετικά με το μέλλον (</w:t>
      </w:r>
      <w:proofErr w:type="spellStart"/>
      <w:r w:rsidRPr="00AC6374">
        <w:rPr>
          <w:rFonts w:ascii="Segoe UI" w:eastAsia="MS Mincho" w:hAnsi="Segoe UI" w:cs="Segoe UI"/>
          <w:sz w:val="13"/>
          <w:szCs w:val="13"/>
        </w:rPr>
        <w:t>forward-looking</w:t>
      </w:r>
      <w:proofErr w:type="spellEnd"/>
      <w:r w:rsidRPr="00AC6374">
        <w:rPr>
          <w:rFonts w:ascii="Segoe UI" w:eastAsia="MS Mincho" w:hAnsi="Segoe UI" w:cs="Segoe UI"/>
          <w:sz w:val="13"/>
          <w:szCs w:val="13"/>
        </w:rPr>
        <w:t xml:space="preserve"> </w:t>
      </w:r>
      <w:proofErr w:type="spellStart"/>
      <w:r w:rsidRPr="00AC6374">
        <w:rPr>
          <w:rFonts w:ascii="Segoe UI" w:eastAsia="MS Mincho" w:hAnsi="Segoe UI" w:cs="Segoe UI"/>
          <w:sz w:val="13"/>
          <w:szCs w:val="13"/>
        </w:rPr>
        <w:t>statements</w:t>
      </w:r>
      <w:proofErr w:type="spellEnd"/>
      <w:r w:rsidRPr="00AC6374">
        <w:rPr>
          <w:rFonts w:ascii="Segoe UI" w:eastAsia="MS Mincho" w:hAnsi="Segoe UI" w:cs="Segoe UI"/>
          <w:sz w:val="13"/>
          <w:szCs w:val="13"/>
        </w:rPr>
        <w:t>)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«στοχοθετεί», «θα επιθυμούσε», «θα μπορούσε» ή παρόμοιες εκφράσεις ή τα αρνητικά αυτών.</w:t>
      </w:r>
    </w:p>
    <w:p w:rsidR="003B64BD"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δηλώσεις σχετικά με το μέλλον αντικατοπτρίζουν τις γνώσεις και τις πληροφορίες που είναι διαθέσιμες κατά την ημερομηνία του Δελτίου Τύπου και υπόκεινται σε εγγενείς αβεβαιότητες και σε ποικίλες παραδοχές, είτε αυτές αναφέρονται ρητά στο Δελτίο Τύπου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w:t>
      </w:r>
      <w:r w:rsidR="00B63C07">
        <w:rPr>
          <w:rFonts w:ascii="Segoe UI" w:eastAsia="MS Mincho" w:hAnsi="Segoe UI" w:cs="Segoe UI"/>
          <w:sz w:val="13"/>
          <w:szCs w:val="13"/>
        </w:rPr>
        <w:t xml:space="preserve">συμπεριλαμβανομένων και των συνεπειών της πανδημίας του κορωνοϊού, </w:t>
      </w:r>
      <w:r w:rsidR="00B63C07" w:rsidRPr="00AC6374">
        <w:rPr>
          <w:rFonts w:ascii="Segoe UI" w:eastAsia="MS Mincho" w:hAnsi="Segoe UI" w:cs="Segoe UI"/>
          <w:sz w:val="13"/>
          <w:szCs w:val="13"/>
        </w:rPr>
        <w:t xml:space="preserve">που είναι δύσκολο ή αδύνατο να προβλεφθούν και κείνται εκτός του ελέγχου της Τράπεζας </w:t>
      </w:r>
      <w:r w:rsidRPr="00AC6374">
        <w:rPr>
          <w:rFonts w:ascii="Segoe UI" w:eastAsia="MS Mincho" w:hAnsi="Segoe UI" w:cs="Segoe UI"/>
          <w:sz w:val="13"/>
          <w:szCs w:val="13"/>
        </w:rPr>
        <w:t>δεν μπορεί να παρασχεθεί διαβεβαίωση ότι η Τράπεζα θα επιτύχει ή θα εκπληρώσει αυτές τις προσδοκίες, πεποιθήσεις ή προβλέψεις. Η εξέλιξη της νόσου και ο οικονομικός της αντίκτυπος παραμένουν εξαιρετικά αβέβαια. Ως εκ τούτου, η εξάπλωση αυτή αποτελεί έναν άλλο παράγοντα που θα μπορούσε να προκαλέσει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w:t>
      </w:r>
    </w:p>
    <w:p w:rsidR="003F566B"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Δεν μπορεί να υπάρξει διαβεβαίωση ότι ο</w:t>
      </w:r>
      <w:r w:rsidR="00521B7A">
        <w:rPr>
          <w:rFonts w:ascii="Segoe UI" w:eastAsia="MS Mincho" w:hAnsi="Segoe UI" w:cs="Segoe UI"/>
          <w:sz w:val="13"/>
          <w:szCs w:val="13"/>
        </w:rPr>
        <w:t>ποιεσ</w:t>
      </w:r>
      <w:r w:rsidRPr="00AC6374">
        <w:rPr>
          <w:rFonts w:ascii="Segoe UI" w:eastAsia="MS Mincho" w:hAnsi="Segoe UI" w:cs="Segoe UI"/>
          <w:sz w:val="13"/>
          <w:szCs w:val="13"/>
        </w:rPr>
        <w:t>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εφιστάται η προσοχή του αναγνώστη να μη βασίζεται υπέρ το δέον στις δηλώσεις σχετικά με το μέλλον.</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Μη επικαιροποίηση</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Εκτός εάν ορίζεται διαφορετικά, όλες οι πληροφορίες στο Δελτίο Τύπου φέρουν ημερομηνία αναφοράς την ημερομηνία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επικαιροποιήσει το Δελτίο Τύπου ή οποιαδήποτε από τις πληροφορίες που περιλαμβάνονται σε αυτό.</w:t>
      </w:r>
    </w:p>
    <w:p w:rsidR="000765E8" w:rsidRPr="00AC6374" w:rsidRDefault="003F566B" w:rsidP="003F566B">
      <w:pPr>
        <w:spacing w:after="160" w:line="276" w:lineRule="auto"/>
        <w:jc w:val="both"/>
        <w:rPr>
          <w:rFonts w:ascii="Segoe UI" w:hAnsi="Segoe UI" w:cs="Segoe UI"/>
          <w:sz w:val="13"/>
          <w:szCs w:val="13"/>
        </w:rPr>
      </w:pPr>
      <w:r w:rsidRPr="00AC6374">
        <w:rPr>
          <w:rFonts w:ascii="Segoe UI" w:eastAsia="MS Mincho" w:hAnsi="Segoe UI" w:cs="Segoe UI"/>
          <w:sz w:val="13"/>
          <w:szCs w:val="13"/>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104FC2" w:rsidRPr="00AC6374">
        <w:rPr>
          <w:rFonts w:ascii="Segoe UI" w:eastAsia="MS Mincho" w:hAnsi="Segoe UI" w:cs="Segoe UI"/>
          <w:sz w:val="13"/>
          <w:szCs w:val="13"/>
        </w:rPr>
        <w:t xml:space="preserve"> </w:t>
      </w:r>
    </w:p>
    <w:sectPr w:rsidR="000765E8" w:rsidRPr="00AC6374"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20" w:rsidRDefault="00817D20" w:rsidP="005D44F6">
      <w:r>
        <w:separator/>
      </w:r>
    </w:p>
  </w:endnote>
  <w:endnote w:type="continuationSeparator" w:id="0">
    <w:p w:rsidR="00817D20" w:rsidRDefault="00817D20"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20" w:rsidRDefault="00817D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632402"/>
      <w:docPartObj>
        <w:docPartGallery w:val="Page Numbers (Bottom of Page)"/>
        <w:docPartUnique/>
      </w:docPartObj>
    </w:sdtPr>
    <w:sdtEndPr>
      <w:rPr>
        <w:noProof/>
        <w:sz w:val="16"/>
        <w:szCs w:val="16"/>
      </w:rPr>
    </w:sdtEndPr>
    <w:sdtContent>
      <w:p w:rsidR="00817D20" w:rsidRPr="008A22B0" w:rsidRDefault="00817D20">
        <w:pPr>
          <w:pStyle w:val="a4"/>
          <w:jc w:val="right"/>
          <w:rPr>
            <w:sz w:val="16"/>
            <w:szCs w:val="16"/>
          </w:rPr>
        </w:pPr>
        <w:r w:rsidRPr="008A22B0">
          <w:rPr>
            <w:sz w:val="16"/>
            <w:szCs w:val="16"/>
          </w:rPr>
          <w:fldChar w:fldCharType="begin"/>
        </w:r>
        <w:r w:rsidRPr="008A22B0">
          <w:rPr>
            <w:sz w:val="16"/>
            <w:szCs w:val="16"/>
          </w:rPr>
          <w:instrText xml:space="preserve"> PAGE   \* MERGEFORMAT </w:instrText>
        </w:r>
        <w:r w:rsidRPr="008A22B0">
          <w:rPr>
            <w:sz w:val="16"/>
            <w:szCs w:val="16"/>
          </w:rPr>
          <w:fldChar w:fldCharType="separate"/>
        </w:r>
        <w:r w:rsidR="00285C10">
          <w:rPr>
            <w:noProof/>
            <w:sz w:val="16"/>
            <w:szCs w:val="16"/>
          </w:rPr>
          <w:t>14</w:t>
        </w:r>
        <w:r w:rsidRPr="008A22B0">
          <w:rPr>
            <w:noProof/>
            <w:sz w:val="16"/>
            <w:szCs w:val="16"/>
          </w:rPr>
          <w:fldChar w:fldCharType="end"/>
        </w:r>
      </w:p>
    </w:sdtContent>
  </w:sdt>
  <w:p w:rsidR="00817D20" w:rsidRDefault="00817D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20" w:rsidRDefault="00817D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20" w:rsidRDefault="00817D20" w:rsidP="005D44F6">
      <w:r>
        <w:separator/>
      </w:r>
    </w:p>
  </w:footnote>
  <w:footnote w:type="continuationSeparator" w:id="0">
    <w:p w:rsidR="00817D20" w:rsidRDefault="00817D20" w:rsidP="005D44F6">
      <w:r>
        <w:continuationSeparator/>
      </w:r>
    </w:p>
  </w:footnote>
  <w:footnote w:id="1">
    <w:p w:rsidR="00817D20" w:rsidRPr="009733C4" w:rsidRDefault="00817D20" w:rsidP="00EE40A0">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sidRPr="009733C4">
        <w:rPr>
          <w:rFonts w:ascii="Segoe UI" w:hAnsi="Segoe UI" w:cs="Segoe UI"/>
          <w:color w:val="7F7F7F" w:themeColor="text1" w:themeTint="80"/>
          <w:sz w:val="12"/>
          <w:szCs w:val="12"/>
          <w:lang w:val="el-GR"/>
        </w:rPr>
        <w:t>)</w:t>
      </w:r>
      <w:r>
        <w:rPr>
          <w:rFonts w:ascii="Segoe UI" w:hAnsi="Segoe UI" w:cs="Segoe UI"/>
          <w:color w:val="7F7F7F" w:themeColor="text1" w:themeTint="80"/>
          <w:sz w:val="12"/>
          <w:szCs w:val="12"/>
          <w:lang w:val="el-GR"/>
        </w:rPr>
        <w:t xml:space="preserve">, </w:t>
      </w:r>
      <w:r w:rsidRPr="0047559C">
        <w:rPr>
          <w:rFonts w:ascii="Segoe UI" w:hAnsi="Segoe UI" w:cs="Segoe UI"/>
          <w:color w:val="7F7F7F" w:themeColor="text1" w:themeTint="80"/>
          <w:sz w:val="12"/>
          <w:szCs w:val="12"/>
          <w:lang w:val="el-GR"/>
        </w:rPr>
        <w:t xml:space="preserve">Μάλτα (NBG </w:t>
      </w:r>
      <w:proofErr w:type="spellStart"/>
      <w:r w:rsidRPr="0047559C">
        <w:rPr>
          <w:rFonts w:ascii="Segoe UI" w:hAnsi="Segoe UI" w:cs="Segoe UI"/>
          <w:color w:val="7F7F7F" w:themeColor="text1" w:themeTint="80"/>
          <w:sz w:val="12"/>
          <w:szCs w:val="12"/>
          <w:lang w:val="el-GR"/>
        </w:rPr>
        <w:t>Malta</w:t>
      </w:r>
      <w:proofErr w:type="spellEnd"/>
      <w:r w:rsidRPr="0047559C">
        <w:rPr>
          <w:rFonts w:ascii="Segoe UI" w:hAnsi="Segoe UI" w:cs="Segoe UI"/>
          <w:color w:val="7F7F7F" w:themeColor="text1" w:themeTint="80"/>
          <w:sz w:val="12"/>
          <w:szCs w:val="12"/>
          <w:lang w:val="el-GR"/>
        </w:rPr>
        <w:t>) και Αίγυπτο (ETE Αιγύπτου)</w:t>
      </w:r>
    </w:p>
  </w:footnote>
  <w:footnote w:id="2">
    <w:p w:rsidR="00817D20" w:rsidRPr="009733C4" w:rsidRDefault="00817D20" w:rsidP="00E76A9D">
      <w:pPr>
        <w:pStyle w:val="a9"/>
        <w:rPr>
          <w:lang w:val="el-GR"/>
        </w:rPr>
      </w:pPr>
      <w:r w:rsidRPr="00EE40A0">
        <w:rPr>
          <w:rStyle w:val="a8"/>
          <w:color w:val="7F7F7F" w:themeColor="text1" w:themeTint="80"/>
          <w:sz w:val="12"/>
          <w:szCs w:val="12"/>
        </w:rPr>
        <w:footnoteRef/>
      </w:r>
      <w:r w:rsidRPr="00453E66">
        <w:rPr>
          <w:rFonts w:ascii="Segoe UI" w:hAnsi="Segoe UI" w:cs="Segoe UI"/>
          <w:color w:val="7F7F7F" w:themeColor="text1" w:themeTint="80"/>
          <w:sz w:val="12"/>
          <w:szCs w:val="12"/>
          <w:lang w:val="el-GR"/>
        </w:rPr>
        <w:t>Περιλαμβάν</w:t>
      </w:r>
      <w:r>
        <w:rPr>
          <w:rFonts w:ascii="Segoe UI" w:hAnsi="Segoe UI" w:cs="Segoe UI"/>
          <w:color w:val="7F7F7F" w:themeColor="text1" w:themeTint="80"/>
          <w:sz w:val="12"/>
          <w:szCs w:val="12"/>
          <w:lang w:val="el-GR"/>
        </w:rPr>
        <w:t>ουν</w:t>
      </w:r>
      <w:r w:rsidRPr="00453E66">
        <w:rPr>
          <w:rFonts w:ascii="Segoe UI" w:hAnsi="Segoe UI" w:cs="Segoe UI"/>
          <w:color w:val="7F7F7F" w:themeColor="text1" w:themeTint="80"/>
          <w:sz w:val="12"/>
          <w:szCs w:val="12"/>
          <w:lang w:val="el-GR"/>
        </w:rPr>
        <w:t xml:space="preserve"> τα ομόλογα υψηλής διαβάθμισης</w:t>
      </w:r>
      <w:r w:rsidRPr="004C43FA">
        <w:rPr>
          <w:rFonts w:ascii="Segoe UI" w:hAnsi="Segoe UI" w:cs="Segoe UI"/>
          <w:color w:val="7F7F7F" w:themeColor="text1" w:themeTint="80"/>
          <w:sz w:val="12"/>
          <w:szCs w:val="12"/>
          <w:lang w:val="el-GR"/>
        </w:rPr>
        <w:t xml:space="preserve"> </w:t>
      </w:r>
      <w:r w:rsidRPr="00453E66">
        <w:rPr>
          <w:rFonts w:ascii="Segoe UI" w:hAnsi="Segoe UI" w:cs="Segoe UI"/>
          <w:color w:val="7F7F7F" w:themeColor="text1" w:themeTint="80"/>
          <w:sz w:val="12"/>
          <w:szCs w:val="12"/>
          <w:lang w:val="el-GR"/>
        </w:rPr>
        <w:t>ύψους περίπου €3</w:t>
      </w:r>
      <w:r w:rsidRPr="00230DD2">
        <w:rPr>
          <w:rFonts w:ascii="Segoe UI" w:hAnsi="Segoe UI" w:cs="Segoe UI"/>
          <w:color w:val="7F7F7F" w:themeColor="text1" w:themeTint="80"/>
          <w:sz w:val="12"/>
          <w:szCs w:val="12"/>
          <w:lang w:val="el-GR"/>
        </w:rPr>
        <w:t xml:space="preserve"> </w:t>
      </w:r>
      <w:r w:rsidRPr="00453E66">
        <w:rPr>
          <w:rFonts w:ascii="Segoe UI" w:hAnsi="Segoe UI" w:cs="Segoe UI"/>
          <w:color w:val="7F7F7F" w:themeColor="text1" w:themeTint="80"/>
          <w:sz w:val="12"/>
          <w:szCs w:val="12"/>
          <w:lang w:val="el-GR"/>
        </w:rPr>
        <w:t>δισ. της συναλλαγής Frontier</w:t>
      </w:r>
    </w:p>
  </w:footnote>
  <w:footnote w:id="3">
    <w:p w:rsidR="00817D20" w:rsidRPr="009733C4" w:rsidRDefault="00817D20" w:rsidP="00702F61">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l-GR"/>
        </w:rPr>
        <w:t>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r w:rsidRPr="009F27D9">
        <w:rPr>
          <w:lang w:val="el-GR"/>
        </w:rPr>
        <w:t xml:space="preserve"> </w:t>
      </w:r>
      <w:r w:rsidRPr="0047559C">
        <w:rPr>
          <w:rFonts w:ascii="Segoe UI" w:hAnsi="Segoe UI" w:cs="Segoe UI"/>
          <w:color w:val="7F7F7F" w:themeColor="text1" w:themeTint="80"/>
          <w:sz w:val="12"/>
          <w:szCs w:val="12"/>
          <w:lang w:val="el-GR"/>
        </w:rPr>
        <w:t>και Αίγυπτο (ETE Αιγύπτου)</w:t>
      </w:r>
    </w:p>
  </w:footnote>
  <w:footnote w:id="4">
    <w:p w:rsidR="00817D20" w:rsidRPr="009733C4" w:rsidRDefault="00817D20" w:rsidP="00077EE6">
      <w:pPr>
        <w:pStyle w:val="a9"/>
        <w:rPr>
          <w:lang w:val="el-GR"/>
        </w:rPr>
      </w:pPr>
      <w:r w:rsidRPr="00EE40A0">
        <w:rPr>
          <w:rStyle w:val="a8"/>
          <w:color w:val="7F7F7F" w:themeColor="text1" w:themeTint="80"/>
          <w:sz w:val="12"/>
          <w:szCs w:val="12"/>
        </w:rPr>
        <w:footnoteRef/>
      </w:r>
      <w:r>
        <w:rPr>
          <w:rFonts w:ascii="Segoe UI" w:hAnsi="Segoe UI" w:cs="Segoe UI"/>
          <w:color w:val="7F7F7F" w:themeColor="text1" w:themeTint="80"/>
          <w:sz w:val="12"/>
          <w:szCs w:val="12"/>
          <w:lang w:val="el-GR"/>
        </w:rPr>
        <w:t>Οι Συνολικές Κεφαλαιακές Απαιτήσεις (</w:t>
      </w:r>
      <w:r>
        <w:rPr>
          <w:rFonts w:ascii="Segoe UI" w:hAnsi="Segoe UI" w:cs="Segoe UI"/>
          <w:color w:val="7F7F7F" w:themeColor="text1" w:themeTint="80"/>
          <w:sz w:val="12"/>
          <w:szCs w:val="12"/>
          <w:lang w:val="en-US"/>
        </w:rPr>
        <w:t>OCR</w:t>
      </w:r>
      <w:r w:rsidRPr="00E05B00">
        <w:rPr>
          <w:rFonts w:ascii="Segoe UI" w:hAnsi="Segoe UI" w:cs="Segoe UI"/>
          <w:color w:val="7F7F7F" w:themeColor="text1" w:themeTint="80"/>
          <w:sz w:val="12"/>
          <w:szCs w:val="12"/>
          <w:lang w:val="el-GR"/>
        </w:rPr>
        <w:t xml:space="preserve">) </w:t>
      </w:r>
      <w:r>
        <w:rPr>
          <w:rFonts w:ascii="Segoe UI" w:hAnsi="Segoe UI" w:cs="Segoe UI"/>
          <w:color w:val="7F7F7F" w:themeColor="text1" w:themeTint="80"/>
          <w:sz w:val="12"/>
          <w:szCs w:val="12"/>
          <w:lang w:val="el-GR"/>
        </w:rPr>
        <w:t xml:space="preserve">ύψους 11,00% (δείκτης </w:t>
      </w:r>
      <w:r>
        <w:rPr>
          <w:rFonts w:ascii="Segoe UI" w:hAnsi="Segoe UI" w:cs="Segoe UI"/>
          <w:color w:val="7F7F7F" w:themeColor="text1" w:themeTint="80"/>
          <w:sz w:val="12"/>
          <w:szCs w:val="12"/>
        </w:rPr>
        <w:t>CET</w:t>
      </w:r>
      <w:r w:rsidRPr="00DE31D8">
        <w:rPr>
          <w:rFonts w:ascii="Segoe UI" w:hAnsi="Segoe UI" w:cs="Segoe UI"/>
          <w:color w:val="7F7F7F" w:themeColor="text1" w:themeTint="80"/>
          <w:sz w:val="12"/>
          <w:szCs w:val="12"/>
          <w:lang w:val="el-GR"/>
        </w:rPr>
        <w:t xml:space="preserve">1 </w:t>
      </w:r>
      <w:r>
        <w:rPr>
          <w:rFonts w:ascii="Segoe UI" w:hAnsi="Segoe UI" w:cs="Segoe UI"/>
          <w:color w:val="7F7F7F" w:themeColor="text1" w:themeTint="80"/>
          <w:sz w:val="12"/>
          <w:szCs w:val="12"/>
          <w:lang w:val="el-GR"/>
        </w:rPr>
        <w:t>στο 6,19%) εξαιρούν το α</w:t>
      </w:r>
      <w:r w:rsidRPr="00A52D2B">
        <w:rPr>
          <w:rFonts w:ascii="Segoe UI" w:hAnsi="Segoe UI" w:cs="Segoe UI"/>
          <w:color w:val="7F7F7F" w:themeColor="text1" w:themeTint="80"/>
          <w:sz w:val="12"/>
          <w:szCs w:val="12"/>
          <w:lang w:val="el-GR"/>
        </w:rPr>
        <w:t>πόθεμα Ασφαλείας των Λοιπών Συστημικά Σημαντικ</w:t>
      </w:r>
      <w:r>
        <w:rPr>
          <w:rFonts w:ascii="Segoe UI" w:hAnsi="Segoe UI" w:cs="Segoe UI"/>
          <w:color w:val="7F7F7F" w:themeColor="text1" w:themeTint="80"/>
          <w:sz w:val="12"/>
          <w:szCs w:val="12"/>
          <w:lang w:val="el-GR"/>
        </w:rPr>
        <w:t xml:space="preserve">ών Πιστωτικών Ιδρυμάτων (O-SII) ύψους </w:t>
      </w:r>
      <w:r w:rsidRPr="00A52D2B">
        <w:rPr>
          <w:rFonts w:ascii="Segoe UI" w:hAnsi="Segoe UI" w:cs="Segoe UI"/>
          <w:color w:val="7F7F7F" w:themeColor="text1" w:themeTint="80"/>
          <w:sz w:val="12"/>
          <w:szCs w:val="12"/>
          <w:lang w:val="el-GR"/>
        </w:rPr>
        <w:t>0,5</w:t>
      </w:r>
      <w:r>
        <w:rPr>
          <w:rFonts w:ascii="Segoe UI" w:hAnsi="Segoe UI" w:cs="Segoe UI"/>
          <w:color w:val="7F7F7F" w:themeColor="text1" w:themeTint="80"/>
          <w:sz w:val="12"/>
          <w:szCs w:val="12"/>
          <w:lang w:val="el-GR"/>
        </w:rPr>
        <w:t>0</w:t>
      </w:r>
      <w:r w:rsidRPr="00A52D2B">
        <w:rPr>
          <w:rFonts w:ascii="Segoe UI" w:hAnsi="Segoe UI" w:cs="Segoe UI"/>
          <w:color w:val="7F7F7F" w:themeColor="text1" w:themeTint="80"/>
          <w:sz w:val="12"/>
          <w:szCs w:val="12"/>
          <w:lang w:val="el-GR"/>
        </w:rPr>
        <w:t>%</w:t>
      </w:r>
      <w:r>
        <w:rPr>
          <w:rFonts w:ascii="Segoe UI" w:hAnsi="Segoe UI" w:cs="Segoe UI"/>
          <w:color w:val="7F7F7F" w:themeColor="text1" w:themeTint="80"/>
          <w:sz w:val="12"/>
          <w:szCs w:val="12"/>
          <w:lang w:val="el-GR"/>
        </w:rPr>
        <w:t xml:space="preserve">, υπό την αίρεση της </w:t>
      </w:r>
      <w:r w:rsidRPr="00A52D2B">
        <w:rPr>
          <w:rFonts w:ascii="Segoe UI" w:hAnsi="Segoe UI" w:cs="Segoe UI"/>
          <w:color w:val="7F7F7F" w:themeColor="text1" w:themeTint="80"/>
          <w:sz w:val="12"/>
          <w:szCs w:val="12"/>
          <w:lang w:val="el-GR"/>
        </w:rPr>
        <w:t>έγκριση</w:t>
      </w:r>
      <w:r>
        <w:rPr>
          <w:rFonts w:ascii="Segoe UI" w:hAnsi="Segoe UI" w:cs="Segoe UI"/>
          <w:color w:val="7F7F7F" w:themeColor="text1" w:themeTint="80"/>
          <w:sz w:val="12"/>
          <w:szCs w:val="12"/>
          <w:lang w:val="el-GR"/>
        </w:rPr>
        <w:t>ς</w:t>
      </w:r>
      <w:r w:rsidRPr="00A52D2B">
        <w:rPr>
          <w:rFonts w:ascii="Segoe UI" w:hAnsi="Segoe UI" w:cs="Segoe UI"/>
          <w:color w:val="7F7F7F" w:themeColor="text1" w:themeTint="80"/>
          <w:sz w:val="12"/>
          <w:szCs w:val="12"/>
          <w:lang w:val="el-GR"/>
        </w:rPr>
        <w:t xml:space="preserve"> της ΤτΕ</w:t>
      </w:r>
    </w:p>
  </w:footnote>
  <w:footnote w:id="5">
    <w:p w:rsidR="00817D20" w:rsidRPr="009733C4" w:rsidRDefault="00817D20" w:rsidP="003C6BDB">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l-GR"/>
        </w:rPr>
        <w:t>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r w:rsidRPr="009F27D9">
        <w:rPr>
          <w:lang w:val="el-GR"/>
        </w:rPr>
        <w:t xml:space="preserve"> </w:t>
      </w:r>
      <w:r w:rsidRPr="0047559C">
        <w:rPr>
          <w:rFonts w:ascii="Segoe UI" w:hAnsi="Segoe UI" w:cs="Segoe UI"/>
          <w:color w:val="7F7F7F" w:themeColor="text1" w:themeTint="80"/>
          <w:sz w:val="12"/>
          <w:szCs w:val="12"/>
          <w:lang w:val="el-GR"/>
        </w:rPr>
        <w:t>και Αίγυπτο (ETE Αιγύπτου)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20" w:rsidRDefault="00817D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817D20" w:rsidRPr="00044763" w:rsidTr="00B5579A">
      <w:trPr>
        <w:trHeight w:val="370"/>
      </w:trPr>
      <w:tc>
        <w:tcPr>
          <w:tcW w:w="2610" w:type="pct"/>
          <w:tcBorders>
            <w:bottom w:val="single" w:sz="18" w:space="0" w:color="00B2C6"/>
          </w:tcBorders>
          <w:shd w:val="clear" w:color="auto" w:fill="auto"/>
          <w:vAlign w:val="bottom"/>
        </w:tcPr>
        <w:p w:rsidR="00817D20" w:rsidRPr="00061D9F" w:rsidRDefault="00817D20" w:rsidP="00F81F11">
          <w:pPr>
            <w:pStyle w:val="a3"/>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rsidR="00817D20" w:rsidRPr="005A4681" w:rsidRDefault="00817D20" w:rsidP="00D11E59">
          <w:pPr>
            <w:pStyle w:val="a3"/>
            <w:jc w:val="right"/>
            <w:rPr>
              <w:color w:val="007382"/>
              <w:sz w:val="18"/>
              <w:szCs w:val="18"/>
              <w:lang w:val="en-US"/>
            </w:rPr>
          </w:pPr>
          <w:r>
            <w:rPr>
              <w:color w:val="808080" w:themeColor="background1" w:themeShade="80"/>
              <w:sz w:val="18"/>
              <w:szCs w:val="18"/>
            </w:rPr>
            <w:t>Αποτελέσματα Οικονομικού Έτους 2020</w:t>
          </w:r>
        </w:p>
      </w:tc>
    </w:tr>
  </w:tbl>
  <w:p w:rsidR="00817D20" w:rsidRPr="00044763" w:rsidRDefault="00817D20" w:rsidP="00D1701C">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20" w:rsidRDefault="00817D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C7009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B5DBA"/>
    <w:multiLevelType w:val="hybridMultilevel"/>
    <w:tmpl w:val="846EE38E"/>
    <w:lvl w:ilvl="0" w:tplc="82C67AB8">
      <w:start w:val="1"/>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55A4F"/>
    <w:multiLevelType w:val="hybridMultilevel"/>
    <w:tmpl w:val="87DA15DE"/>
    <w:lvl w:ilvl="0" w:tplc="62A6E3B0">
      <w:numFmt w:val="bullet"/>
      <w:lvlText w:val=""/>
      <w:lvlJc w:val="left"/>
      <w:pPr>
        <w:ind w:left="720" w:hanging="360"/>
      </w:pPr>
      <w:rPr>
        <w:rFonts w:ascii="Symbol" w:eastAsiaTheme="minorHAnsi"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D65F2C"/>
    <w:multiLevelType w:val="hybridMultilevel"/>
    <w:tmpl w:val="CEBEE8BA"/>
    <w:lvl w:ilvl="0" w:tplc="BCEE7A58">
      <w:start w:val="1"/>
      <w:numFmt w:val="bullet"/>
      <w:lvlText w:val=""/>
      <w:lvlPicBulletId w:val="0"/>
      <w:lvlJc w:val="left"/>
      <w:pPr>
        <w:ind w:left="360" w:hanging="360"/>
      </w:pPr>
      <w:rPr>
        <w:rFonts w:ascii="Symbol" w:hAnsi="Symbol" w:hint="default"/>
        <w:color w:val="auto"/>
      </w:rPr>
    </w:lvl>
    <w:lvl w:ilvl="1" w:tplc="E7A8B170">
      <w:start w:val="1"/>
      <w:numFmt w:val="bullet"/>
      <w:lvlText w:val="o"/>
      <w:lvlJc w:val="left"/>
      <w:pPr>
        <w:ind w:left="644" w:hanging="360"/>
      </w:pPr>
      <w:rPr>
        <w:rFonts w:ascii="Courier New" w:hAnsi="Courier New" w:cs="Courier New" w:hint="default"/>
        <w:sz w:val="15"/>
        <w:szCs w:val="15"/>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3"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4"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5"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2"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A5E167E"/>
    <w:multiLevelType w:val="hybridMultilevel"/>
    <w:tmpl w:val="FF82ADB0"/>
    <w:lvl w:ilvl="0" w:tplc="9C82ACEA">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1"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40"/>
  </w:num>
  <w:num w:numId="8">
    <w:abstractNumId w:val="8"/>
  </w:num>
  <w:num w:numId="9">
    <w:abstractNumId w:val="4"/>
  </w:num>
  <w:num w:numId="10">
    <w:abstractNumId w:val="2"/>
  </w:num>
  <w:num w:numId="11">
    <w:abstractNumId w:val="38"/>
  </w:num>
  <w:num w:numId="12">
    <w:abstractNumId w:val="3"/>
  </w:num>
  <w:num w:numId="13">
    <w:abstractNumId w:val="6"/>
  </w:num>
  <w:num w:numId="14">
    <w:abstractNumId w:val="20"/>
  </w:num>
  <w:num w:numId="15">
    <w:abstractNumId w:val="37"/>
  </w:num>
  <w:num w:numId="16">
    <w:abstractNumId w:val="32"/>
  </w:num>
  <w:num w:numId="17">
    <w:abstractNumId w:val="11"/>
  </w:num>
  <w:num w:numId="18">
    <w:abstractNumId w:val="29"/>
  </w:num>
  <w:num w:numId="19">
    <w:abstractNumId w:val="17"/>
  </w:num>
  <w:num w:numId="20">
    <w:abstractNumId w:val="27"/>
  </w:num>
  <w:num w:numId="21">
    <w:abstractNumId w:val="1"/>
  </w:num>
  <w:num w:numId="22">
    <w:abstractNumId w:val="9"/>
  </w:num>
  <w:num w:numId="23">
    <w:abstractNumId w:val="39"/>
  </w:num>
  <w:num w:numId="24">
    <w:abstractNumId w:val="41"/>
  </w:num>
  <w:num w:numId="25">
    <w:abstractNumId w:val="14"/>
  </w:num>
  <w:num w:numId="26">
    <w:abstractNumId w:val="34"/>
  </w:num>
  <w:num w:numId="27">
    <w:abstractNumId w:val="13"/>
  </w:num>
  <w:num w:numId="28">
    <w:abstractNumId w:val="42"/>
  </w:num>
  <w:num w:numId="29">
    <w:abstractNumId w:val="19"/>
  </w:num>
  <w:num w:numId="30">
    <w:abstractNumId w:val="18"/>
  </w:num>
  <w:num w:numId="31">
    <w:abstractNumId w:val="15"/>
  </w:num>
  <w:num w:numId="32">
    <w:abstractNumId w:val="21"/>
  </w:num>
  <w:num w:numId="33">
    <w:abstractNumId w:val="12"/>
  </w:num>
  <w:num w:numId="34">
    <w:abstractNumId w:val="43"/>
  </w:num>
  <w:num w:numId="35">
    <w:abstractNumId w:val="26"/>
  </w:num>
  <w:num w:numId="36">
    <w:abstractNumId w:val="36"/>
  </w:num>
  <w:num w:numId="37">
    <w:abstractNumId w:val="28"/>
  </w:num>
  <w:num w:numId="38">
    <w:abstractNumId w:val="30"/>
  </w:num>
  <w:num w:numId="39">
    <w:abstractNumId w:val="35"/>
  </w:num>
  <w:num w:numId="40">
    <w:abstractNumId w:val="0"/>
  </w:num>
  <w:num w:numId="41">
    <w:abstractNumId w:val="5"/>
  </w:num>
  <w:num w:numId="42">
    <w:abstractNumId w:val="33"/>
  </w:num>
  <w:num w:numId="43">
    <w:abstractNumId w:val="7"/>
  </w:num>
  <w:num w:numId="4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F6"/>
    <w:rsid w:val="00000E66"/>
    <w:rsid w:val="000013EC"/>
    <w:rsid w:val="000017C8"/>
    <w:rsid w:val="00002C2B"/>
    <w:rsid w:val="0000340D"/>
    <w:rsid w:val="00003724"/>
    <w:rsid w:val="00003C48"/>
    <w:rsid w:val="0000442E"/>
    <w:rsid w:val="00005D82"/>
    <w:rsid w:val="00005FD6"/>
    <w:rsid w:val="000069C4"/>
    <w:rsid w:val="00006BDB"/>
    <w:rsid w:val="00006D0C"/>
    <w:rsid w:val="00006DA3"/>
    <w:rsid w:val="00006FC1"/>
    <w:rsid w:val="0000754F"/>
    <w:rsid w:val="00007DF2"/>
    <w:rsid w:val="000105E7"/>
    <w:rsid w:val="00010CD7"/>
    <w:rsid w:val="00011401"/>
    <w:rsid w:val="0001201F"/>
    <w:rsid w:val="000125F9"/>
    <w:rsid w:val="00012AA7"/>
    <w:rsid w:val="00013060"/>
    <w:rsid w:val="000131DB"/>
    <w:rsid w:val="000139A7"/>
    <w:rsid w:val="00013A11"/>
    <w:rsid w:val="00013AB3"/>
    <w:rsid w:val="00014247"/>
    <w:rsid w:val="000146F8"/>
    <w:rsid w:val="00014BDE"/>
    <w:rsid w:val="00015FB6"/>
    <w:rsid w:val="000178A9"/>
    <w:rsid w:val="00017B65"/>
    <w:rsid w:val="000201BD"/>
    <w:rsid w:val="00020239"/>
    <w:rsid w:val="0002099F"/>
    <w:rsid w:val="00020AC9"/>
    <w:rsid w:val="00020B68"/>
    <w:rsid w:val="00021DE8"/>
    <w:rsid w:val="00023268"/>
    <w:rsid w:val="000237DA"/>
    <w:rsid w:val="00023894"/>
    <w:rsid w:val="00023D78"/>
    <w:rsid w:val="0002401C"/>
    <w:rsid w:val="00024327"/>
    <w:rsid w:val="00025154"/>
    <w:rsid w:val="000254A9"/>
    <w:rsid w:val="000255BD"/>
    <w:rsid w:val="0002621F"/>
    <w:rsid w:val="00026340"/>
    <w:rsid w:val="00026516"/>
    <w:rsid w:val="000266C9"/>
    <w:rsid w:val="00026C57"/>
    <w:rsid w:val="0002778C"/>
    <w:rsid w:val="00030770"/>
    <w:rsid w:val="00030800"/>
    <w:rsid w:val="000308D5"/>
    <w:rsid w:val="00031EB4"/>
    <w:rsid w:val="00032164"/>
    <w:rsid w:val="000328E9"/>
    <w:rsid w:val="00032B02"/>
    <w:rsid w:val="00032D33"/>
    <w:rsid w:val="00032D78"/>
    <w:rsid w:val="00033225"/>
    <w:rsid w:val="000339DE"/>
    <w:rsid w:val="000347D0"/>
    <w:rsid w:val="00034929"/>
    <w:rsid w:val="000353F5"/>
    <w:rsid w:val="00036104"/>
    <w:rsid w:val="00036B80"/>
    <w:rsid w:val="00040144"/>
    <w:rsid w:val="00040A06"/>
    <w:rsid w:val="00040E71"/>
    <w:rsid w:val="00041267"/>
    <w:rsid w:val="00041948"/>
    <w:rsid w:val="00042696"/>
    <w:rsid w:val="00042845"/>
    <w:rsid w:val="00043108"/>
    <w:rsid w:val="000446CC"/>
    <w:rsid w:val="00044763"/>
    <w:rsid w:val="000448E1"/>
    <w:rsid w:val="00045A5C"/>
    <w:rsid w:val="00045E96"/>
    <w:rsid w:val="000471C2"/>
    <w:rsid w:val="0004729A"/>
    <w:rsid w:val="00050585"/>
    <w:rsid w:val="00050775"/>
    <w:rsid w:val="00052445"/>
    <w:rsid w:val="00052521"/>
    <w:rsid w:val="00053193"/>
    <w:rsid w:val="000540A1"/>
    <w:rsid w:val="000542A6"/>
    <w:rsid w:val="00054679"/>
    <w:rsid w:val="00054FA3"/>
    <w:rsid w:val="00056F22"/>
    <w:rsid w:val="00057482"/>
    <w:rsid w:val="0005770F"/>
    <w:rsid w:val="00057A38"/>
    <w:rsid w:val="00057EB0"/>
    <w:rsid w:val="00060B18"/>
    <w:rsid w:val="0006126E"/>
    <w:rsid w:val="00061558"/>
    <w:rsid w:val="00061D9F"/>
    <w:rsid w:val="00061FE2"/>
    <w:rsid w:val="000622D9"/>
    <w:rsid w:val="000635FB"/>
    <w:rsid w:val="00063A93"/>
    <w:rsid w:val="000646CD"/>
    <w:rsid w:val="000650FB"/>
    <w:rsid w:val="0006557D"/>
    <w:rsid w:val="000655A1"/>
    <w:rsid w:val="00065C94"/>
    <w:rsid w:val="0006615D"/>
    <w:rsid w:val="000668AD"/>
    <w:rsid w:val="00066A02"/>
    <w:rsid w:val="00066AAA"/>
    <w:rsid w:val="000671D7"/>
    <w:rsid w:val="0006750A"/>
    <w:rsid w:val="00070233"/>
    <w:rsid w:val="000702FF"/>
    <w:rsid w:val="0007063A"/>
    <w:rsid w:val="00070846"/>
    <w:rsid w:val="000709B8"/>
    <w:rsid w:val="00071032"/>
    <w:rsid w:val="0007157F"/>
    <w:rsid w:val="00071C69"/>
    <w:rsid w:val="00072CE3"/>
    <w:rsid w:val="00072D2D"/>
    <w:rsid w:val="00073707"/>
    <w:rsid w:val="00074812"/>
    <w:rsid w:val="00074843"/>
    <w:rsid w:val="00074C0A"/>
    <w:rsid w:val="00074C2C"/>
    <w:rsid w:val="00075716"/>
    <w:rsid w:val="0007577C"/>
    <w:rsid w:val="000762BF"/>
    <w:rsid w:val="000765E8"/>
    <w:rsid w:val="00076A0A"/>
    <w:rsid w:val="000776A1"/>
    <w:rsid w:val="00077EE6"/>
    <w:rsid w:val="00080528"/>
    <w:rsid w:val="000815AD"/>
    <w:rsid w:val="00081ED2"/>
    <w:rsid w:val="00082F2B"/>
    <w:rsid w:val="00083041"/>
    <w:rsid w:val="000858F2"/>
    <w:rsid w:val="00085E3F"/>
    <w:rsid w:val="0008648D"/>
    <w:rsid w:val="00087115"/>
    <w:rsid w:val="00090994"/>
    <w:rsid w:val="00090F57"/>
    <w:rsid w:val="0009104F"/>
    <w:rsid w:val="000915A1"/>
    <w:rsid w:val="0009183E"/>
    <w:rsid w:val="000920F5"/>
    <w:rsid w:val="000925E5"/>
    <w:rsid w:val="00092D39"/>
    <w:rsid w:val="00092DC3"/>
    <w:rsid w:val="000930D0"/>
    <w:rsid w:val="0009509C"/>
    <w:rsid w:val="00096A48"/>
    <w:rsid w:val="00096B18"/>
    <w:rsid w:val="00097139"/>
    <w:rsid w:val="000A030A"/>
    <w:rsid w:val="000A05D1"/>
    <w:rsid w:val="000A07AF"/>
    <w:rsid w:val="000A0DA1"/>
    <w:rsid w:val="000A0F8A"/>
    <w:rsid w:val="000A146A"/>
    <w:rsid w:val="000A1D4E"/>
    <w:rsid w:val="000A2880"/>
    <w:rsid w:val="000A2E3C"/>
    <w:rsid w:val="000A2FBE"/>
    <w:rsid w:val="000A3FF8"/>
    <w:rsid w:val="000A41E9"/>
    <w:rsid w:val="000A5093"/>
    <w:rsid w:val="000A7332"/>
    <w:rsid w:val="000A7D9C"/>
    <w:rsid w:val="000B01A9"/>
    <w:rsid w:val="000B029F"/>
    <w:rsid w:val="000B02FC"/>
    <w:rsid w:val="000B0C18"/>
    <w:rsid w:val="000B1778"/>
    <w:rsid w:val="000B17C3"/>
    <w:rsid w:val="000B1CEA"/>
    <w:rsid w:val="000B23DD"/>
    <w:rsid w:val="000B24C9"/>
    <w:rsid w:val="000B2982"/>
    <w:rsid w:val="000B2C98"/>
    <w:rsid w:val="000B30E4"/>
    <w:rsid w:val="000B318B"/>
    <w:rsid w:val="000B33C5"/>
    <w:rsid w:val="000B3DDF"/>
    <w:rsid w:val="000B6DAB"/>
    <w:rsid w:val="000B6DD1"/>
    <w:rsid w:val="000B7723"/>
    <w:rsid w:val="000B77F3"/>
    <w:rsid w:val="000B78DA"/>
    <w:rsid w:val="000B79C0"/>
    <w:rsid w:val="000B7A26"/>
    <w:rsid w:val="000C0032"/>
    <w:rsid w:val="000C0191"/>
    <w:rsid w:val="000C0A43"/>
    <w:rsid w:val="000C14F0"/>
    <w:rsid w:val="000C16CA"/>
    <w:rsid w:val="000C1A73"/>
    <w:rsid w:val="000C2218"/>
    <w:rsid w:val="000C2BE0"/>
    <w:rsid w:val="000C2CCA"/>
    <w:rsid w:val="000C3AB6"/>
    <w:rsid w:val="000C3C89"/>
    <w:rsid w:val="000C3F5A"/>
    <w:rsid w:val="000C6C3D"/>
    <w:rsid w:val="000C6F0D"/>
    <w:rsid w:val="000C6F70"/>
    <w:rsid w:val="000C726F"/>
    <w:rsid w:val="000C79CB"/>
    <w:rsid w:val="000C7A73"/>
    <w:rsid w:val="000D0072"/>
    <w:rsid w:val="000D09DA"/>
    <w:rsid w:val="000D0A49"/>
    <w:rsid w:val="000D2509"/>
    <w:rsid w:val="000D2BB3"/>
    <w:rsid w:val="000D2D20"/>
    <w:rsid w:val="000D315A"/>
    <w:rsid w:val="000D4E54"/>
    <w:rsid w:val="000D58C3"/>
    <w:rsid w:val="000D598C"/>
    <w:rsid w:val="000D59EB"/>
    <w:rsid w:val="000D5A13"/>
    <w:rsid w:val="000D5C5F"/>
    <w:rsid w:val="000D6A50"/>
    <w:rsid w:val="000D6D8E"/>
    <w:rsid w:val="000D779E"/>
    <w:rsid w:val="000D7F62"/>
    <w:rsid w:val="000E0770"/>
    <w:rsid w:val="000E1C4E"/>
    <w:rsid w:val="000E1D28"/>
    <w:rsid w:val="000E1EA4"/>
    <w:rsid w:val="000E2036"/>
    <w:rsid w:val="000E24A7"/>
    <w:rsid w:val="000E275D"/>
    <w:rsid w:val="000E32BA"/>
    <w:rsid w:val="000E3722"/>
    <w:rsid w:val="000E4CED"/>
    <w:rsid w:val="000E5272"/>
    <w:rsid w:val="000E5377"/>
    <w:rsid w:val="000E5AC7"/>
    <w:rsid w:val="000E5CA5"/>
    <w:rsid w:val="000E651C"/>
    <w:rsid w:val="000E6714"/>
    <w:rsid w:val="000E75D4"/>
    <w:rsid w:val="000E77FB"/>
    <w:rsid w:val="000E78A8"/>
    <w:rsid w:val="000F1FBE"/>
    <w:rsid w:val="000F2349"/>
    <w:rsid w:val="000F26B0"/>
    <w:rsid w:val="000F2C5D"/>
    <w:rsid w:val="000F39DE"/>
    <w:rsid w:val="000F4782"/>
    <w:rsid w:val="000F4DBC"/>
    <w:rsid w:val="000F5C24"/>
    <w:rsid w:val="000F5E8A"/>
    <w:rsid w:val="000F6118"/>
    <w:rsid w:val="000F6B47"/>
    <w:rsid w:val="000F6D3C"/>
    <w:rsid w:val="000F6EA1"/>
    <w:rsid w:val="000F701B"/>
    <w:rsid w:val="00100707"/>
    <w:rsid w:val="00101648"/>
    <w:rsid w:val="00102505"/>
    <w:rsid w:val="001028DC"/>
    <w:rsid w:val="00103657"/>
    <w:rsid w:val="00103808"/>
    <w:rsid w:val="00103AAE"/>
    <w:rsid w:val="00104A3C"/>
    <w:rsid w:val="00104F1A"/>
    <w:rsid w:val="00104FC2"/>
    <w:rsid w:val="0010579E"/>
    <w:rsid w:val="00105CBA"/>
    <w:rsid w:val="001073E9"/>
    <w:rsid w:val="0011054B"/>
    <w:rsid w:val="00111DAF"/>
    <w:rsid w:val="00111F47"/>
    <w:rsid w:val="0011268E"/>
    <w:rsid w:val="00112BE9"/>
    <w:rsid w:val="00113FB6"/>
    <w:rsid w:val="00114711"/>
    <w:rsid w:val="00114E10"/>
    <w:rsid w:val="00114E52"/>
    <w:rsid w:val="0011501A"/>
    <w:rsid w:val="00115189"/>
    <w:rsid w:val="001161A3"/>
    <w:rsid w:val="00116709"/>
    <w:rsid w:val="001168D3"/>
    <w:rsid w:val="0011691E"/>
    <w:rsid w:val="00116995"/>
    <w:rsid w:val="00117BC2"/>
    <w:rsid w:val="0012024E"/>
    <w:rsid w:val="00120B55"/>
    <w:rsid w:val="0012114E"/>
    <w:rsid w:val="001223E7"/>
    <w:rsid w:val="001224E9"/>
    <w:rsid w:val="00122EE2"/>
    <w:rsid w:val="001233CA"/>
    <w:rsid w:val="00124765"/>
    <w:rsid w:val="00124D4A"/>
    <w:rsid w:val="00125555"/>
    <w:rsid w:val="00125A73"/>
    <w:rsid w:val="00125B19"/>
    <w:rsid w:val="00125DF9"/>
    <w:rsid w:val="00126317"/>
    <w:rsid w:val="001267D7"/>
    <w:rsid w:val="00126949"/>
    <w:rsid w:val="00126FE2"/>
    <w:rsid w:val="00127029"/>
    <w:rsid w:val="0012791A"/>
    <w:rsid w:val="00127A64"/>
    <w:rsid w:val="00130976"/>
    <w:rsid w:val="00130BCC"/>
    <w:rsid w:val="001316D7"/>
    <w:rsid w:val="00131F5C"/>
    <w:rsid w:val="001325D4"/>
    <w:rsid w:val="00132FA3"/>
    <w:rsid w:val="00133E39"/>
    <w:rsid w:val="001340BE"/>
    <w:rsid w:val="00134B1E"/>
    <w:rsid w:val="0013547C"/>
    <w:rsid w:val="0013594E"/>
    <w:rsid w:val="00135AA2"/>
    <w:rsid w:val="001361FF"/>
    <w:rsid w:val="00136684"/>
    <w:rsid w:val="001366A3"/>
    <w:rsid w:val="00136817"/>
    <w:rsid w:val="001369A2"/>
    <w:rsid w:val="001415A9"/>
    <w:rsid w:val="00141CEE"/>
    <w:rsid w:val="00142510"/>
    <w:rsid w:val="00143074"/>
    <w:rsid w:val="001441C8"/>
    <w:rsid w:val="00144E25"/>
    <w:rsid w:val="00144F12"/>
    <w:rsid w:val="00144F4D"/>
    <w:rsid w:val="0014618E"/>
    <w:rsid w:val="001479E1"/>
    <w:rsid w:val="00151196"/>
    <w:rsid w:val="001513C7"/>
    <w:rsid w:val="00151B1E"/>
    <w:rsid w:val="00151FF7"/>
    <w:rsid w:val="00152099"/>
    <w:rsid w:val="001522C3"/>
    <w:rsid w:val="00152FA6"/>
    <w:rsid w:val="0015351A"/>
    <w:rsid w:val="001541D6"/>
    <w:rsid w:val="00154C57"/>
    <w:rsid w:val="00155AA1"/>
    <w:rsid w:val="001565D8"/>
    <w:rsid w:val="0015732E"/>
    <w:rsid w:val="00160B0B"/>
    <w:rsid w:val="00160EB8"/>
    <w:rsid w:val="00161617"/>
    <w:rsid w:val="00161923"/>
    <w:rsid w:val="00162888"/>
    <w:rsid w:val="00162BDD"/>
    <w:rsid w:val="0016305E"/>
    <w:rsid w:val="001633DC"/>
    <w:rsid w:val="0016376C"/>
    <w:rsid w:val="00163C8D"/>
    <w:rsid w:val="00164607"/>
    <w:rsid w:val="00164B05"/>
    <w:rsid w:val="00164F23"/>
    <w:rsid w:val="00165E55"/>
    <w:rsid w:val="00166656"/>
    <w:rsid w:val="00166BDC"/>
    <w:rsid w:val="00166C15"/>
    <w:rsid w:val="0016729D"/>
    <w:rsid w:val="0017097E"/>
    <w:rsid w:val="00171051"/>
    <w:rsid w:val="00171395"/>
    <w:rsid w:val="00171B93"/>
    <w:rsid w:val="00171C3B"/>
    <w:rsid w:val="00171D68"/>
    <w:rsid w:val="00172D3D"/>
    <w:rsid w:val="0017315C"/>
    <w:rsid w:val="0017432F"/>
    <w:rsid w:val="0017545C"/>
    <w:rsid w:val="0017552B"/>
    <w:rsid w:val="00175879"/>
    <w:rsid w:val="00175992"/>
    <w:rsid w:val="001760BD"/>
    <w:rsid w:val="00176490"/>
    <w:rsid w:val="001772E9"/>
    <w:rsid w:val="00180A68"/>
    <w:rsid w:val="00182C5F"/>
    <w:rsid w:val="001834B6"/>
    <w:rsid w:val="001835A1"/>
    <w:rsid w:val="00183ABC"/>
    <w:rsid w:val="00184741"/>
    <w:rsid w:val="001851A9"/>
    <w:rsid w:val="00185B57"/>
    <w:rsid w:val="00185C35"/>
    <w:rsid w:val="00185D59"/>
    <w:rsid w:val="00186878"/>
    <w:rsid w:val="00186DCF"/>
    <w:rsid w:val="00186F3E"/>
    <w:rsid w:val="00187344"/>
    <w:rsid w:val="001874DF"/>
    <w:rsid w:val="00187734"/>
    <w:rsid w:val="00187DE9"/>
    <w:rsid w:val="00190657"/>
    <w:rsid w:val="00191C39"/>
    <w:rsid w:val="001928A5"/>
    <w:rsid w:val="00192FCD"/>
    <w:rsid w:val="00193511"/>
    <w:rsid w:val="001937AC"/>
    <w:rsid w:val="00194167"/>
    <w:rsid w:val="0019490A"/>
    <w:rsid w:val="00194C5F"/>
    <w:rsid w:val="00195344"/>
    <w:rsid w:val="001958FA"/>
    <w:rsid w:val="00196646"/>
    <w:rsid w:val="001969E5"/>
    <w:rsid w:val="001972A2"/>
    <w:rsid w:val="00197438"/>
    <w:rsid w:val="001A03C4"/>
    <w:rsid w:val="001A0468"/>
    <w:rsid w:val="001A275D"/>
    <w:rsid w:val="001A2FB5"/>
    <w:rsid w:val="001A30BC"/>
    <w:rsid w:val="001A3168"/>
    <w:rsid w:val="001A374F"/>
    <w:rsid w:val="001A3974"/>
    <w:rsid w:val="001A39BC"/>
    <w:rsid w:val="001A44C9"/>
    <w:rsid w:val="001A47E5"/>
    <w:rsid w:val="001A52A1"/>
    <w:rsid w:val="001A5454"/>
    <w:rsid w:val="001A576A"/>
    <w:rsid w:val="001A5AFA"/>
    <w:rsid w:val="001A5B1C"/>
    <w:rsid w:val="001A60D0"/>
    <w:rsid w:val="001A62A4"/>
    <w:rsid w:val="001A6760"/>
    <w:rsid w:val="001A6BE9"/>
    <w:rsid w:val="001A7475"/>
    <w:rsid w:val="001B0D42"/>
    <w:rsid w:val="001B1B56"/>
    <w:rsid w:val="001B2B45"/>
    <w:rsid w:val="001B2C3B"/>
    <w:rsid w:val="001B31BF"/>
    <w:rsid w:val="001B32C8"/>
    <w:rsid w:val="001B34C1"/>
    <w:rsid w:val="001B37BC"/>
    <w:rsid w:val="001B4282"/>
    <w:rsid w:val="001B48FD"/>
    <w:rsid w:val="001B4950"/>
    <w:rsid w:val="001B5318"/>
    <w:rsid w:val="001B5DD6"/>
    <w:rsid w:val="001B5ED8"/>
    <w:rsid w:val="001B61E0"/>
    <w:rsid w:val="001B6CA3"/>
    <w:rsid w:val="001B6EBE"/>
    <w:rsid w:val="001B7783"/>
    <w:rsid w:val="001B7A5B"/>
    <w:rsid w:val="001B7A79"/>
    <w:rsid w:val="001C0B76"/>
    <w:rsid w:val="001C1CF5"/>
    <w:rsid w:val="001C206E"/>
    <w:rsid w:val="001C2BAB"/>
    <w:rsid w:val="001C2F52"/>
    <w:rsid w:val="001C36D0"/>
    <w:rsid w:val="001C37C5"/>
    <w:rsid w:val="001C3EAC"/>
    <w:rsid w:val="001C4829"/>
    <w:rsid w:val="001C508D"/>
    <w:rsid w:val="001C5A04"/>
    <w:rsid w:val="001C5C57"/>
    <w:rsid w:val="001C5D6E"/>
    <w:rsid w:val="001C65B9"/>
    <w:rsid w:val="001C73CD"/>
    <w:rsid w:val="001D058E"/>
    <w:rsid w:val="001D08E9"/>
    <w:rsid w:val="001D0F1B"/>
    <w:rsid w:val="001D1936"/>
    <w:rsid w:val="001D1CED"/>
    <w:rsid w:val="001D283B"/>
    <w:rsid w:val="001D36B9"/>
    <w:rsid w:val="001D3E98"/>
    <w:rsid w:val="001D4481"/>
    <w:rsid w:val="001D46F4"/>
    <w:rsid w:val="001D552B"/>
    <w:rsid w:val="001D6231"/>
    <w:rsid w:val="001D6711"/>
    <w:rsid w:val="001D67B4"/>
    <w:rsid w:val="001D7C5C"/>
    <w:rsid w:val="001E012B"/>
    <w:rsid w:val="001E1DC9"/>
    <w:rsid w:val="001E2640"/>
    <w:rsid w:val="001E2C74"/>
    <w:rsid w:val="001E3687"/>
    <w:rsid w:val="001E39CA"/>
    <w:rsid w:val="001E3C09"/>
    <w:rsid w:val="001E3EAC"/>
    <w:rsid w:val="001E40B2"/>
    <w:rsid w:val="001E472E"/>
    <w:rsid w:val="001E4B93"/>
    <w:rsid w:val="001E4D00"/>
    <w:rsid w:val="001E55B2"/>
    <w:rsid w:val="001E56FB"/>
    <w:rsid w:val="001E5DE1"/>
    <w:rsid w:val="001E61DB"/>
    <w:rsid w:val="001E6401"/>
    <w:rsid w:val="001E79B8"/>
    <w:rsid w:val="001E7E10"/>
    <w:rsid w:val="001F0879"/>
    <w:rsid w:val="001F18BD"/>
    <w:rsid w:val="001F2BF2"/>
    <w:rsid w:val="001F2E8E"/>
    <w:rsid w:val="001F4A2A"/>
    <w:rsid w:val="001F57E9"/>
    <w:rsid w:val="001F589C"/>
    <w:rsid w:val="001F6149"/>
    <w:rsid w:val="001F6736"/>
    <w:rsid w:val="001F75EC"/>
    <w:rsid w:val="001F79BB"/>
    <w:rsid w:val="0020033A"/>
    <w:rsid w:val="002004BB"/>
    <w:rsid w:val="00200781"/>
    <w:rsid w:val="0020173D"/>
    <w:rsid w:val="00201C9E"/>
    <w:rsid w:val="00201DF8"/>
    <w:rsid w:val="00201EC4"/>
    <w:rsid w:val="002027DC"/>
    <w:rsid w:val="00202EDC"/>
    <w:rsid w:val="0020487F"/>
    <w:rsid w:val="00204946"/>
    <w:rsid w:val="00204FBB"/>
    <w:rsid w:val="002051BA"/>
    <w:rsid w:val="002067B5"/>
    <w:rsid w:val="00207448"/>
    <w:rsid w:val="002079D0"/>
    <w:rsid w:val="00210CAE"/>
    <w:rsid w:val="00211C02"/>
    <w:rsid w:val="00211F71"/>
    <w:rsid w:val="002128B1"/>
    <w:rsid w:val="00212B0A"/>
    <w:rsid w:val="00212F3D"/>
    <w:rsid w:val="00212FC2"/>
    <w:rsid w:val="00213389"/>
    <w:rsid w:val="002133D0"/>
    <w:rsid w:val="002138B5"/>
    <w:rsid w:val="002138BB"/>
    <w:rsid w:val="0021400C"/>
    <w:rsid w:val="00214A51"/>
    <w:rsid w:val="00214B1A"/>
    <w:rsid w:val="00214C08"/>
    <w:rsid w:val="00215C1F"/>
    <w:rsid w:val="002165CF"/>
    <w:rsid w:val="00217343"/>
    <w:rsid w:val="0021796A"/>
    <w:rsid w:val="00217EAC"/>
    <w:rsid w:val="002211CF"/>
    <w:rsid w:val="00222D3D"/>
    <w:rsid w:val="002230CA"/>
    <w:rsid w:val="00223522"/>
    <w:rsid w:val="00223983"/>
    <w:rsid w:val="00223B8E"/>
    <w:rsid w:val="00223CE9"/>
    <w:rsid w:val="00224797"/>
    <w:rsid w:val="00224C2D"/>
    <w:rsid w:val="00224EBA"/>
    <w:rsid w:val="0022551A"/>
    <w:rsid w:val="00225D7D"/>
    <w:rsid w:val="00227E97"/>
    <w:rsid w:val="00227EC5"/>
    <w:rsid w:val="00230165"/>
    <w:rsid w:val="002303B2"/>
    <w:rsid w:val="00230DD2"/>
    <w:rsid w:val="0023244A"/>
    <w:rsid w:val="002326C0"/>
    <w:rsid w:val="002327AE"/>
    <w:rsid w:val="00232E0C"/>
    <w:rsid w:val="00232F82"/>
    <w:rsid w:val="00234138"/>
    <w:rsid w:val="00235570"/>
    <w:rsid w:val="002362A4"/>
    <w:rsid w:val="00237362"/>
    <w:rsid w:val="00237972"/>
    <w:rsid w:val="00237C90"/>
    <w:rsid w:val="00242067"/>
    <w:rsid w:val="002444B1"/>
    <w:rsid w:val="00245767"/>
    <w:rsid w:val="0024591F"/>
    <w:rsid w:val="002460BC"/>
    <w:rsid w:val="002471DE"/>
    <w:rsid w:val="00247219"/>
    <w:rsid w:val="00247DE8"/>
    <w:rsid w:val="00250073"/>
    <w:rsid w:val="0025027F"/>
    <w:rsid w:val="00250718"/>
    <w:rsid w:val="002507BB"/>
    <w:rsid w:val="002508C5"/>
    <w:rsid w:val="00250C1D"/>
    <w:rsid w:val="00250FA4"/>
    <w:rsid w:val="002516C6"/>
    <w:rsid w:val="0025257E"/>
    <w:rsid w:val="00252CDA"/>
    <w:rsid w:val="00253EF4"/>
    <w:rsid w:val="002544F3"/>
    <w:rsid w:val="00254A66"/>
    <w:rsid w:val="00255651"/>
    <w:rsid w:val="00255B60"/>
    <w:rsid w:val="00256105"/>
    <w:rsid w:val="00257921"/>
    <w:rsid w:val="00260562"/>
    <w:rsid w:val="002607A2"/>
    <w:rsid w:val="00260CD1"/>
    <w:rsid w:val="00261B6D"/>
    <w:rsid w:val="00263FFA"/>
    <w:rsid w:val="002642C4"/>
    <w:rsid w:val="002647DD"/>
    <w:rsid w:val="00264EF3"/>
    <w:rsid w:val="002656DD"/>
    <w:rsid w:val="002658C5"/>
    <w:rsid w:val="00266ECC"/>
    <w:rsid w:val="002671C2"/>
    <w:rsid w:val="002672B1"/>
    <w:rsid w:val="00267EAA"/>
    <w:rsid w:val="00267FA7"/>
    <w:rsid w:val="002702B8"/>
    <w:rsid w:val="00270BB9"/>
    <w:rsid w:val="00270DC3"/>
    <w:rsid w:val="00271465"/>
    <w:rsid w:val="00271800"/>
    <w:rsid w:val="00272115"/>
    <w:rsid w:val="002721CF"/>
    <w:rsid w:val="0027264F"/>
    <w:rsid w:val="00272B14"/>
    <w:rsid w:val="00272DFA"/>
    <w:rsid w:val="00273240"/>
    <w:rsid w:val="002739ED"/>
    <w:rsid w:val="00274103"/>
    <w:rsid w:val="002749A1"/>
    <w:rsid w:val="0027501C"/>
    <w:rsid w:val="00276146"/>
    <w:rsid w:val="002767D5"/>
    <w:rsid w:val="00276D7B"/>
    <w:rsid w:val="00277D80"/>
    <w:rsid w:val="00280B44"/>
    <w:rsid w:val="0028138F"/>
    <w:rsid w:val="002816EE"/>
    <w:rsid w:val="00281F22"/>
    <w:rsid w:val="0028203B"/>
    <w:rsid w:val="00282B51"/>
    <w:rsid w:val="00283A59"/>
    <w:rsid w:val="00283FBA"/>
    <w:rsid w:val="00284159"/>
    <w:rsid w:val="002847B9"/>
    <w:rsid w:val="00284FA8"/>
    <w:rsid w:val="00285C10"/>
    <w:rsid w:val="00285D48"/>
    <w:rsid w:val="00285DF8"/>
    <w:rsid w:val="002864D6"/>
    <w:rsid w:val="0028681B"/>
    <w:rsid w:val="00286F74"/>
    <w:rsid w:val="00286FD9"/>
    <w:rsid w:val="00290253"/>
    <w:rsid w:val="00290284"/>
    <w:rsid w:val="00290A23"/>
    <w:rsid w:val="0029131C"/>
    <w:rsid w:val="002914ED"/>
    <w:rsid w:val="00292B5A"/>
    <w:rsid w:val="00292F85"/>
    <w:rsid w:val="00293D40"/>
    <w:rsid w:val="0029440A"/>
    <w:rsid w:val="002954B9"/>
    <w:rsid w:val="00295763"/>
    <w:rsid w:val="00295808"/>
    <w:rsid w:val="00295A14"/>
    <w:rsid w:val="00296C5D"/>
    <w:rsid w:val="002A092A"/>
    <w:rsid w:val="002A098F"/>
    <w:rsid w:val="002A14D0"/>
    <w:rsid w:val="002A1638"/>
    <w:rsid w:val="002A1B45"/>
    <w:rsid w:val="002A28FE"/>
    <w:rsid w:val="002A2E22"/>
    <w:rsid w:val="002A35FA"/>
    <w:rsid w:val="002A370B"/>
    <w:rsid w:val="002A45E6"/>
    <w:rsid w:val="002A4B81"/>
    <w:rsid w:val="002A4B8B"/>
    <w:rsid w:val="002A52E2"/>
    <w:rsid w:val="002A5616"/>
    <w:rsid w:val="002A5BF5"/>
    <w:rsid w:val="002A5C1A"/>
    <w:rsid w:val="002A694C"/>
    <w:rsid w:val="002A696E"/>
    <w:rsid w:val="002A71E0"/>
    <w:rsid w:val="002A7518"/>
    <w:rsid w:val="002B0592"/>
    <w:rsid w:val="002B05B1"/>
    <w:rsid w:val="002B0695"/>
    <w:rsid w:val="002B20AE"/>
    <w:rsid w:val="002B22EC"/>
    <w:rsid w:val="002B27E3"/>
    <w:rsid w:val="002B3EA9"/>
    <w:rsid w:val="002B4F19"/>
    <w:rsid w:val="002B5710"/>
    <w:rsid w:val="002B5B51"/>
    <w:rsid w:val="002B62D4"/>
    <w:rsid w:val="002B6641"/>
    <w:rsid w:val="002B70D9"/>
    <w:rsid w:val="002B714E"/>
    <w:rsid w:val="002B769C"/>
    <w:rsid w:val="002B7CA4"/>
    <w:rsid w:val="002C0059"/>
    <w:rsid w:val="002C0A4C"/>
    <w:rsid w:val="002C147E"/>
    <w:rsid w:val="002C1AE0"/>
    <w:rsid w:val="002C1E14"/>
    <w:rsid w:val="002C2495"/>
    <w:rsid w:val="002C35C2"/>
    <w:rsid w:val="002C3843"/>
    <w:rsid w:val="002C3E55"/>
    <w:rsid w:val="002C5847"/>
    <w:rsid w:val="002C5C6A"/>
    <w:rsid w:val="002C5EE3"/>
    <w:rsid w:val="002C640E"/>
    <w:rsid w:val="002C641C"/>
    <w:rsid w:val="002C6796"/>
    <w:rsid w:val="002C6A15"/>
    <w:rsid w:val="002C73BA"/>
    <w:rsid w:val="002D01A8"/>
    <w:rsid w:val="002D0A12"/>
    <w:rsid w:val="002D0FDD"/>
    <w:rsid w:val="002D12A1"/>
    <w:rsid w:val="002D14B6"/>
    <w:rsid w:val="002D1753"/>
    <w:rsid w:val="002D17E5"/>
    <w:rsid w:val="002D1AAC"/>
    <w:rsid w:val="002D2463"/>
    <w:rsid w:val="002D2EE3"/>
    <w:rsid w:val="002D3CD0"/>
    <w:rsid w:val="002D44B8"/>
    <w:rsid w:val="002D45D4"/>
    <w:rsid w:val="002D4687"/>
    <w:rsid w:val="002D4A39"/>
    <w:rsid w:val="002D5DC2"/>
    <w:rsid w:val="002D5EF7"/>
    <w:rsid w:val="002D60D4"/>
    <w:rsid w:val="002D6C62"/>
    <w:rsid w:val="002D6C79"/>
    <w:rsid w:val="002D6F4E"/>
    <w:rsid w:val="002D7334"/>
    <w:rsid w:val="002D7885"/>
    <w:rsid w:val="002E000C"/>
    <w:rsid w:val="002E0E37"/>
    <w:rsid w:val="002E0EDB"/>
    <w:rsid w:val="002E1335"/>
    <w:rsid w:val="002E1F4C"/>
    <w:rsid w:val="002E2855"/>
    <w:rsid w:val="002E2FE0"/>
    <w:rsid w:val="002E34E0"/>
    <w:rsid w:val="002E35E6"/>
    <w:rsid w:val="002E36D7"/>
    <w:rsid w:val="002E5102"/>
    <w:rsid w:val="002E63A4"/>
    <w:rsid w:val="002E6807"/>
    <w:rsid w:val="002E6AFE"/>
    <w:rsid w:val="002E6EA4"/>
    <w:rsid w:val="002E7327"/>
    <w:rsid w:val="002E7544"/>
    <w:rsid w:val="002E77E6"/>
    <w:rsid w:val="002F0710"/>
    <w:rsid w:val="002F080B"/>
    <w:rsid w:val="002F1155"/>
    <w:rsid w:val="002F1589"/>
    <w:rsid w:val="002F2F59"/>
    <w:rsid w:val="002F3006"/>
    <w:rsid w:val="002F338E"/>
    <w:rsid w:val="002F3603"/>
    <w:rsid w:val="002F3CE8"/>
    <w:rsid w:val="002F427A"/>
    <w:rsid w:val="002F42BE"/>
    <w:rsid w:val="002F4367"/>
    <w:rsid w:val="002F55F1"/>
    <w:rsid w:val="002F5788"/>
    <w:rsid w:val="002F6795"/>
    <w:rsid w:val="002F68B8"/>
    <w:rsid w:val="002F6E74"/>
    <w:rsid w:val="002F745D"/>
    <w:rsid w:val="002F7B34"/>
    <w:rsid w:val="002F7F8C"/>
    <w:rsid w:val="0030041E"/>
    <w:rsid w:val="00300A03"/>
    <w:rsid w:val="00300E75"/>
    <w:rsid w:val="00302002"/>
    <w:rsid w:val="00302419"/>
    <w:rsid w:val="003026CD"/>
    <w:rsid w:val="00303BAA"/>
    <w:rsid w:val="00303D11"/>
    <w:rsid w:val="0030431D"/>
    <w:rsid w:val="00304385"/>
    <w:rsid w:val="00304471"/>
    <w:rsid w:val="0030451B"/>
    <w:rsid w:val="00305487"/>
    <w:rsid w:val="00305601"/>
    <w:rsid w:val="00305B55"/>
    <w:rsid w:val="00305DE9"/>
    <w:rsid w:val="00306F4A"/>
    <w:rsid w:val="00307CAB"/>
    <w:rsid w:val="003100E2"/>
    <w:rsid w:val="0031050E"/>
    <w:rsid w:val="00310FA8"/>
    <w:rsid w:val="00311673"/>
    <w:rsid w:val="00311951"/>
    <w:rsid w:val="00311CB2"/>
    <w:rsid w:val="003127E9"/>
    <w:rsid w:val="0031406F"/>
    <w:rsid w:val="00314968"/>
    <w:rsid w:val="00314DE8"/>
    <w:rsid w:val="003152F8"/>
    <w:rsid w:val="00316C32"/>
    <w:rsid w:val="00316DED"/>
    <w:rsid w:val="003171A0"/>
    <w:rsid w:val="00317293"/>
    <w:rsid w:val="0032025C"/>
    <w:rsid w:val="00320328"/>
    <w:rsid w:val="003208B1"/>
    <w:rsid w:val="00320C0E"/>
    <w:rsid w:val="00321864"/>
    <w:rsid w:val="00322791"/>
    <w:rsid w:val="00322B04"/>
    <w:rsid w:val="00322E78"/>
    <w:rsid w:val="00322F1D"/>
    <w:rsid w:val="00323517"/>
    <w:rsid w:val="003235E4"/>
    <w:rsid w:val="00324B6A"/>
    <w:rsid w:val="00324F7F"/>
    <w:rsid w:val="0032613E"/>
    <w:rsid w:val="003262BD"/>
    <w:rsid w:val="00326408"/>
    <w:rsid w:val="00326542"/>
    <w:rsid w:val="00326FBC"/>
    <w:rsid w:val="00327634"/>
    <w:rsid w:val="00330D58"/>
    <w:rsid w:val="00331126"/>
    <w:rsid w:val="003314FA"/>
    <w:rsid w:val="00331955"/>
    <w:rsid w:val="00332920"/>
    <w:rsid w:val="003334D2"/>
    <w:rsid w:val="0033371A"/>
    <w:rsid w:val="00333920"/>
    <w:rsid w:val="00334556"/>
    <w:rsid w:val="0033462B"/>
    <w:rsid w:val="00334FAD"/>
    <w:rsid w:val="003351B7"/>
    <w:rsid w:val="0033594F"/>
    <w:rsid w:val="00335AA8"/>
    <w:rsid w:val="00335C03"/>
    <w:rsid w:val="0033638C"/>
    <w:rsid w:val="003367F6"/>
    <w:rsid w:val="00336FDB"/>
    <w:rsid w:val="00337F3A"/>
    <w:rsid w:val="003402EE"/>
    <w:rsid w:val="003409BC"/>
    <w:rsid w:val="00340A5F"/>
    <w:rsid w:val="00341F36"/>
    <w:rsid w:val="00342075"/>
    <w:rsid w:val="003434E0"/>
    <w:rsid w:val="003438D3"/>
    <w:rsid w:val="00343ED0"/>
    <w:rsid w:val="0034469F"/>
    <w:rsid w:val="00344FD0"/>
    <w:rsid w:val="0034516B"/>
    <w:rsid w:val="003452BC"/>
    <w:rsid w:val="00346567"/>
    <w:rsid w:val="00346716"/>
    <w:rsid w:val="00346A53"/>
    <w:rsid w:val="0034760D"/>
    <w:rsid w:val="003505CF"/>
    <w:rsid w:val="00351830"/>
    <w:rsid w:val="0035237B"/>
    <w:rsid w:val="00352CAF"/>
    <w:rsid w:val="00352E05"/>
    <w:rsid w:val="00353234"/>
    <w:rsid w:val="003539BE"/>
    <w:rsid w:val="00354AD2"/>
    <w:rsid w:val="003554B6"/>
    <w:rsid w:val="003554C8"/>
    <w:rsid w:val="003556E8"/>
    <w:rsid w:val="0035570A"/>
    <w:rsid w:val="00355888"/>
    <w:rsid w:val="00356232"/>
    <w:rsid w:val="0035647D"/>
    <w:rsid w:val="003577BB"/>
    <w:rsid w:val="003579E2"/>
    <w:rsid w:val="00360358"/>
    <w:rsid w:val="00360450"/>
    <w:rsid w:val="0036093B"/>
    <w:rsid w:val="00360955"/>
    <w:rsid w:val="00361401"/>
    <w:rsid w:val="00361451"/>
    <w:rsid w:val="003619E9"/>
    <w:rsid w:val="00362373"/>
    <w:rsid w:val="00362E04"/>
    <w:rsid w:val="0036300B"/>
    <w:rsid w:val="00364060"/>
    <w:rsid w:val="00365591"/>
    <w:rsid w:val="00365B0F"/>
    <w:rsid w:val="00366276"/>
    <w:rsid w:val="0036646E"/>
    <w:rsid w:val="00366B85"/>
    <w:rsid w:val="003671A7"/>
    <w:rsid w:val="0036728B"/>
    <w:rsid w:val="00367782"/>
    <w:rsid w:val="0037155E"/>
    <w:rsid w:val="0037353D"/>
    <w:rsid w:val="00373573"/>
    <w:rsid w:val="00374514"/>
    <w:rsid w:val="003745FB"/>
    <w:rsid w:val="00375BD7"/>
    <w:rsid w:val="003765D8"/>
    <w:rsid w:val="00376A19"/>
    <w:rsid w:val="0037720D"/>
    <w:rsid w:val="003774E0"/>
    <w:rsid w:val="00377D4B"/>
    <w:rsid w:val="00377D4F"/>
    <w:rsid w:val="00380296"/>
    <w:rsid w:val="00380A62"/>
    <w:rsid w:val="00380A68"/>
    <w:rsid w:val="00380DAA"/>
    <w:rsid w:val="0038127F"/>
    <w:rsid w:val="003818A8"/>
    <w:rsid w:val="00383948"/>
    <w:rsid w:val="00383C2F"/>
    <w:rsid w:val="0038515D"/>
    <w:rsid w:val="0038595B"/>
    <w:rsid w:val="00385DBC"/>
    <w:rsid w:val="0038608B"/>
    <w:rsid w:val="00386120"/>
    <w:rsid w:val="0038689E"/>
    <w:rsid w:val="00386E93"/>
    <w:rsid w:val="0038739E"/>
    <w:rsid w:val="00387656"/>
    <w:rsid w:val="00390415"/>
    <w:rsid w:val="00390E1C"/>
    <w:rsid w:val="003914A0"/>
    <w:rsid w:val="00392C39"/>
    <w:rsid w:val="0039352A"/>
    <w:rsid w:val="0039352C"/>
    <w:rsid w:val="003936A4"/>
    <w:rsid w:val="00394219"/>
    <w:rsid w:val="003945EE"/>
    <w:rsid w:val="00394B20"/>
    <w:rsid w:val="00395C0D"/>
    <w:rsid w:val="00395D54"/>
    <w:rsid w:val="0039618F"/>
    <w:rsid w:val="003962F0"/>
    <w:rsid w:val="003963E5"/>
    <w:rsid w:val="003966D6"/>
    <w:rsid w:val="00396782"/>
    <w:rsid w:val="003968E6"/>
    <w:rsid w:val="00397202"/>
    <w:rsid w:val="00397D18"/>
    <w:rsid w:val="003A015A"/>
    <w:rsid w:val="003A023C"/>
    <w:rsid w:val="003A11C8"/>
    <w:rsid w:val="003A1C35"/>
    <w:rsid w:val="003A2CA9"/>
    <w:rsid w:val="003A3ADB"/>
    <w:rsid w:val="003A4474"/>
    <w:rsid w:val="003A453C"/>
    <w:rsid w:val="003A45D1"/>
    <w:rsid w:val="003A46B9"/>
    <w:rsid w:val="003A492D"/>
    <w:rsid w:val="003A4DE4"/>
    <w:rsid w:val="003A4EE9"/>
    <w:rsid w:val="003A4FD2"/>
    <w:rsid w:val="003A59CD"/>
    <w:rsid w:val="003A6701"/>
    <w:rsid w:val="003A689C"/>
    <w:rsid w:val="003A70BD"/>
    <w:rsid w:val="003A74DE"/>
    <w:rsid w:val="003A7701"/>
    <w:rsid w:val="003B0D7F"/>
    <w:rsid w:val="003B0D85"/>
    <w:rsid w:val="003B1126"/>
    <w:rsid w:val="003B1249"/>
    <w:rsid w:val="003B1279"/>
    <w:rsid w:val="003B131A"/>
    <w:rsid w:val="003B13E9"/>
    <w:rsid w:val="003B1578"/>
    <w:rsid w:val="003B1599"/>
    <w:rsid w:val="003B178B"/>
    <w:rsid w:val="003B1AD0"/>
    <w:rsid w:val="003B1C6A"/>
    <w:rsid w:val="003B2403"/>
    <w:rsid w:val="003B2B95"/>
    <w:rsid w:val="003B2DDC"/>
    <w:rsid w:val="003B3041"/>
    <w:rsid w:val="003B412E"/>
    <w:rsid w:val="003B5B18"/>
    <w:rsid w:val="003B5D30"/>
    <w:rsid w:val="003B5E36"/>
    <w:rsid w:val="003B61B9"/>
    <w:rsid w:val="003B64BD"/>
    <w:rsid w:val="003B6E61"/>
    <w:rsid w:val="003B6EF4"/>
    <w:rsid w:val="003B7D9D"/>
    <w:rsid w:val="003C0237"/>
    <w:rsid w:val="003C0928"/>
    <w:rsid w:val="003C1158"/>
    <w:rsid w:val="003C15EF"/>
    <w:rsid w:val="003C2057"/>
    <w:rsid w:val="003C2805"/>
    <w:rsid w:val="003C31C2"/>
    <w:rsid w:val="003C41DD"/>
    <w:rsid w:val="003C44A0"/>
    <w:rsid w:val="003C52B0"/>
    <w:rsid w:val="003C6BDB"/>
    <w:rsid w:val="003C73BA"/>
    <w:rsid w:val="003C7926"/>
    <w:rsid w:val="003D03D1"/>
    <w:rsid w:val="003D0C47"/>
    <w:rsid w:val="003D0D6B"/>
    <w:rsid w:val="003D11FE"/>
    <w:rsid w:val="003D1AEF"/>
    <w:rsid w:val="003D1D35"/>
    <w:rsid w:val="003D1E55"/>
    <w:rsid w:val="003D256E"/>
    <w:rsid w:val="003D2F79"/>
    <w:rsid w:val="003D3104"/>
    <w:rsid w:val="003D315E"/>
    <w:rsid w:val="003D3F62"/>
    <w:rsid w:val="003D46F2"/>
    <w:rsid w:val="003D63AB"/>
    <w:rsid w:val="003D7930"/>
    <w:rsid w:val="003D7D27"/>
    <w:rsid w:val="003E0482"/>
    <w:rsid w:val="003E097F"/>
    <w:rsid w:val="003E0F74"/>
    <w:rsid w:val="003E157B"/>
    <w:rsid w:val="003E16F0"/>
    <w:rsid w:val="003E1ECF"/>
    <w:rsid w:val="003E228B"/>
    <w:rsid w:val="003E22FD"/>
    <w:rsid w:val="003E3A4D"/>
    <w:rsid w:val="003E3BA8"/>
    <w:rsid w:val="003E3C03"/>
    <w:rsid w:val="003E3DE6"/>
    <w:rsid w:val="003E4A53"/>
    <w:rsid w:val="003E4D43"/>
    <w:rsid w:val="003E514D"/>
    <w:rsid w:val="003E5C5A"/>
    <w:rsid w:val="003E5D6D"/>
    <w:rsid w:val="003E5EE2"/>
    <w:rsid w:val="003E6072"/>
    <w:rsid w:val="003E6906"/>
    <w:rsid w:val="003E7065"/>
    <w:rsid w:val="003E70BE"/>
    <w:rsid w:val="003E7672"/>
    <w:rsid w:val="003F03A3"/>
    <w:rsid w:val="003F0CD7"/>
    <w:rsid w:val="003F0FD6"/>
    <w:rsid w:val="003F1055"/>
    <w:rsid w:val="003F1402"/>
    <w:rsid w:val="003F165F"/>
    <w:rsid w:val="003F19B9"/>
    <w:rsid w:val="003F1A73"/>
    <w:rsid w:val="003F1F3E"/>
    <w:rsid w:val="003F208E"/>
    <w:rsid w:val="003F29F4"/>
    <w:rsid w:val="003F2CD7"/>
    <w:rsid w:val="003F3755"/>
    <w:rsid w:val="003F4772"/>
    <w:rsid w:val="003F566B"/>
    <w:rsid w:val="003F58CC"/>
    <w:rsid w:val="003F5A8D"/>
    <w:rsid w:val="003F6374"/>
    <w:rsid w:val="003F6491"/>
    <w:rsid w:val="003F6942"/>
    <w:rsid w:val="003F7DD4"/>
    <w:rsid w:val="003F7EEE"/>
    <w:rsid w:val="0040008D"/>
    <w:rsid w:val="004005B1"/>
    <w:rsid w:val="00400A90"/>
    <w:rsid w:val="0040245B"/>
    <w:rsid w:val="004030D6"/>
    <w:rsid w:val="004048DF"/>
    <w:rsid w:val="00405938"/>
    <w:rsid w:val="00405B08"/>
    <w:rsid w:val="004061C6"/>
    <w:rsid w:val="00406865"/>
    <w:rsid w:val="0040725A"/>
    <w:rsid w:val="0041024E"/>
    <w:rsid w:val="00410954"/>
    <w:rsid w:val="0041286B"/>
    <w:rsid w:val="00413529"/>
    <w:rsid w:val="00413ACD"/>
    <w:rsid w:val="00413E91"/>
    <w:rsid w:val="004143B9"/>
    <w:rsid w:val="00414745"/>
    <w:rsid w:val="00414B52"/>
    <w:rsid w:val="00414BDF"/>
    <w:rsid w:val="00414D46"/>
    <w:rsid w:val="00415220"/>
    <w:rsid w:val="00415250"/>
    <w:rsid w:val="004152D9"/>
    <w:rsid w:val="00415818"/>
    <w:rsid w:val="0041592D"/>
    <w:rsid w:val="00415C6A"/>
    <w:rsid w:val="00416051"/>
    <w:rsid w:val="0041646A"/>
    <w:rsid w:val="00416479"/>
    <w:rsid w:val="004174DE"/>
    <w:rsid w:val="004177B9"/>
    <w:rsid w:val="004202AA"/>
    <w:rsid w:val="00420DF4"/>
    <w:rsid w:val="00421869"/>
    <w:rsid w:val="00422617"/>
    <w:rsid w:val="00423EAC"/>
    <w:rsid w:val="00424342"/>
    <w:rsid w:val="0042479E"/>
    <w:rsid w:val="004249FE"/>
    <w:rsid w:val="004250C4"/>
    <w:rsid w:val="00425274"/>
    <w:rsid w:val="00425490"/>
    <w:rsid w:val="0042655F"/>
    <w:rsid w:val="00426A6F"/>
    <w:rsid w:val="00426BCB"/>
    <w:rsid w:val="004275E5"/>
    <w:rsid w:val="00427A25"/>
    <w:rsid w:val="00427A2D"/>
    <w:rsid w:val="00430659"/>
    <w:rsid w:val="00431B10"/>
    <w:rsid w:val="00431B1A"/>
    <w:rsid w:val="004324BC"/>
    <w:rsid w:val="00432BD4"/>
    <w:rsid w:val="00433078"/>
    <w:rsid w:val="00433240"/>
    <w:rsid w:val="00433535"/>
    <w:rsid w:val="0043370F"/>
    <w:rsid w:val="00433DB7"/>
    <w:rsid w:val="00434644"/>
    <w:rsid w:val="00435405"/>
    <w:rsid w:val="00435E15"/>
    <w:rsid w:val="00436F37"/>
    <w:rsid w:val="004372CE"/>
    <w:rsid w:val="004376CA"/>
    <w:rsid w:val="004378B9"/>
    <w:rsid w:val="00437C49"/>
    <w:rsid w:val="00441325"/>
    <w:rsid w:val="00441C62"/>
    <w:rsid w:val="00443186"/>
    <w:rsid w:val="00443194"/>
    <w:rsid w:val="004437D4"/>
    <w:rsid w:val="00443AEC"/>
    <w:rsid w:val="00444900"/>
    <w:rsid w:val="00444D80"/>
    <w:rsid w:val="00445469"/>
    <w:rsid w:val="00445830"/>
    <w:rsid w:val="004458A5"/>
    <w:rsid w:val="004458E9"/>
    <w:rsid w:val="00445A37"/>
    <w:rsid w:val="00445D6E"/>
    <w:rsid w:val="00446BBE"/>
    <w:rsid w:val="00446D27"/>
    <w:rsid w:val="004472FA"/>
    <w:rsid w:val="0044756B"/>
    <w:rsid w:val="004514C7"/>
    <w:rsid w:val="00451711"/>
    <w:rsid w:val="00451A73"/>
    <w:rsid w:val="00451ED9"/>
    <w:rsid w:val="00452875"/>
    <w:rsid w:val="00452BA9"/>
    <w:rsid w:val="004531D1"/>
    <w:rsid w:val="00453E66"/>
    <w:rsid w:val="00453E75"/>
    <w:rsid w:val="00453F01"/>
    <w:rsid w:val="0045431E"/>
    <w:rsid w:val="00454988"/>
    <w:rsid w:val="00454CB5"/>
    <w:rsid w:val="00454F7A"/>
    <w:rsid w:val="00455E45"/>
    <w:rsid w:val="00456552"/>
    <w:rsid w:val="00456A40"/>
    <w:rsid w:val="00456CDD"/>
    <w:rsid w:val="00456E34"/>
    <w:rsid w:val="00456F6C"/>
    <w:rsid w:val="0045707D"/>
    <w:rsid w:val="004577FF"/>
    <w:rsid w:val="00457F7B"/>
    <w:rsid w:val="00461118"/>
    <w:rsid w:val="00462D67"/>
    <w:rsid w:val="00462E1F"/>
    <w:rsid w:val="00462E40"/>
    <w:rsid w:val="00462EAD"/>
    <w:rsid w:val="0046403B"/>
    <w:rsid w:val="00464272"/>
    <w:rsid w:val="00464D75"/>
    <w:rsid w:val="004655E6"/>
    <w:rsid w:val="00465A2E"/>
    <w:rsid w:val="00465AAF"/>
    <w:rsid w:val="00465B48"/>
    <w:rsid w:val="0046673E"/>
    <w:rsid w:val="00466BDD"/>
    <w:rsid w:val="00466D7D"/>
    <w:rsid w:val="004674AA"/>
    <w:rsid w:val="004678D3"/>
    <w:rsid w:val="00467AE2"/>
    <w:rsid w:val="00467E58"/>
    <w:rsid w:val="0047082F"/>
    <w:rsid w:val="00470C47"/>
    <w:rsid w:val="00470E79"/>
    <w:rsid w:val="004718D4"/>
    <w:rsid w:val="00471ED6"/>
    <w:rsid w:val="00473419"/>
    <w:rsid w:val="0047362D"/>
    <w:rsid w:val="00473BCD"/>
    <w:rsid w:val="00473ED1"/>
    <w:rsid w:val="00473FDE"/>
    <w:rsid w:val="00474522"/>
    <w:rsid w:val="00475283"/>
    <w:rsid w:val="0047533D"/>
    <w:rsid w:val="0047559C"/>
    <w:rsid w:val="00475EF0"/>
    <w:rsid w:val="004764BE"/>
    <w:rsid w:val="00476559"/>
    <w:rsid w:val="00476AE0"/>
    <w:rsid w:val="00477940"/>
    <w:rsid w:val="004810B7"/>
    <w:rsid w:val="004846BD"/>
    <w:rsid w:val="00485162"/>
    <w:rsid w:val="0048598D"/>
    <w:rsid w:val="004859BD"/>
    <w:rsid w:val="0048624E"/>
    <w:rsid w:val="00486367"/>
    <w:rsid w:val="00486E89"/>
    <w:rsid w:val="00487130"/>
    <w:rsid w:val="004875FC"/>
    <w:rsid w:val="004920C3"/>
    <w:rsid w:val="004926CA"/>
    <w:rsid w:val="004934EE"/>
    <w:rsid w:val="00493EEC"/>
    <w:rsid w:val="00494325"/>
    <w:rsid w:val="004949C1"/>
    <w:rsid w:val="00495BB8"/>
    <w:rsid w:val="004964C9"/>
    <w:rsid w:val="00496796"/>
    <w:rsid w:val="00496A90"/>
    <w:rsid w:val="00496E8B"/>
    <w:rsid w:val="00497B3B"/>
    <w:rsid w:val="004A16A8"/>
    <w:rsid w:val="004A1828"/>
    <w:rsid w:val="004A1D02"/>
    <w:rsid w:val="004A2982"/>
    <w:rsid w:val="004A2A20"/>
    <w:rsid w:val="004A2FC0"/>
    <w:rsid w:val="004A319A"/>
    <w:rsid w:val="004A3F48"/>
    <w:rsid w:val="004A46BC"/>
    <w:rsid w:val="004A487F"/>
    <w:rsid w:val="004A4929"/>
    <w:rsid w:val="004A5D66"/>
    <w:rsid w:val="004A5DBC"/>
    <w:rsid w:val="004A5E40"/>
    <w:rsid w:val="004A6211"/>
    <w:rsid w:val="004A65A5"/>
    <w:rsid w:val="004A71E2"/>
    <w:rsid w:val="004B00A2"/>
    <w:rsid w:val="004B0377"/>
    <w:rsid w:val="004B2905"/>
    <w:rsid w:val="004B2EC6"/>
    <w:rsid w:val="004B394A"/>
    <w:rsid w:val="004B3C0A"/>
    <w:rsid w:val="004B3CAD"/>
    <w:rsid w:val="004B4000"/>
    <w:rsid w:val="004B4235"/>
    <w:rsid w:val="004B4BB2"/>
    <w:rsid w:val="004B4BD4"/>
    <w:rsid w:val="004B4EB0"/>
    <w:rsid w:val="004B51E9"/>
    <w:rsid w:val="004B5344"/>
    <w:rsid w:val="004B5B05"/>
    <w:rsid w:val="004B5CAC"/>
    <w:rsid w:val="004B5CC3"/>
    <w:rsid w:val="004B5D92"/>
    <w:rsid w:val="004B6187"/>
    <w:rsid w:val="004B74D4"/>
    <w:rsid w:val="004B78A4"/>
    <w:rsid w:val="004C035B"/>
    <w:rsid w:val="004C06D6"/>
    <w:rsid w:val="004C0F0F"/>
    <w:rsid w:val="004C1578"/>
    <w:rsid w:val="004C1A0C"/>
    <w:rsid w:val="004C1E9A"/>
    <w:rsid w:val="004C2735"/>
    <w:rsid w:val="004C28F4"/>
    <w:rsid w:val="004C2C67"/>
    <w:rsid w:val="004C382E"/>
    <w:rsid w:val="004C3E51"/>
    <w:rsid w:val="004C3EB3"/>
    <w:rsid w:val="004C43FA"/>
    <w:rsid w:val="004C455C"/>
    <w:rsid w:val="004C4BF5"/>
    <w:rsid w:val="004C54AA"/>
    <w:rsid w:val="004C589D"/>
    <w:rsid w:val="004C5F68"/>
    <w:rsid w:val="004C6646"/>
    <w:rsid w:val="004C68A5"/>
    <w:rsid w:val="004C6AC7"/>
    <w:rsid w:val="004C7538"/>
    <w:rsid w:val="004D03E8"/>
    <w:rsid w:val="004D0C01"/>
    <w:rsid w:val="004D2116"/>
    <w:rsid w:val="004D2D87"/>
    <w:rsid w:val="004D2EA7"/>
    <w:rsid w:val="004D3965"/>
    <w:rsid w:val="004D4CCE"/>
    <w:rsid w:val="004D4F31"/>
    <w:rsid w:val="004D5064"/>
    <w:rsid w:val="004D51C3"/>
    <w:rsid w:val="004D54D4"/>
    <w:rsid w:val="004D6972"/>
    <w:rsid w:val="004D790B"/>
    <w:rsid w:val="004E010C"/>
    <w:rsid w:val="004E06C0"/>
    <w:rsid w:val="004E0884"/>
    <w:rsid w:val="004E1289"/>
    <w:rsid w:val="004E1B97"/>
    <w:rsid w:val="004E1D72"/>
    <w:rsid w:val="004E1E01"/>
    <w:rsid w:val="004E30D5"/>
    <w:rsid w:val="004E3736"/>
    <w:rsid w:val="004E3798"/>
    <w:rsid w:val="004E3D7B"/>
    <w:rsid w:val="004E447D"/>
    <w:rsid w:val="004E6C23"/>
    <w:rsid w:val="004E6CF7"/>
    <w:rsid w:val="004E7126"/>
    <w:rsid w:val="004E7323"/>
    <w:rsid w:val="004E7B60"/>
    <w:rsid w:val="004F029D"/>
    <w:rsid w:val="004F0403"/>
    <w:rsid w:val="004F0C08"/>
    <w:rsid w:val="004F0CCA"/>
    <w:rsid w:val="004F1770"/>
    <w:rsid w:val="004F189A"/>
    <w:rsid w:val="004F20CB"/>
    <w:rsid w:val="004F2D3C"/>
    <w:rsid w:val="004F32A8"/>
    <w:rsid w:val="004F3A69"/>
    <w:rsid w:val="004F3C64"/>
    <w:rsid w:val="004F3D2E"/>
    <w:rsid w:val="004F4622"/>
    <w:rsid w:val="004F4F5D"/>
    <w:rsid w:val="004F58E8"/>
    <w:rsid w:val="004F5E3B"/>
    <w:rsid w:val="004F771F"/>
    <w:rsid w:val="00500196"/>
    <w:rsid w:val="00500E72"/>
    <w:rsid w:val="00501C91"/>
    <w:rsid w:val="00503487"/>
    <w:rsid w:val="005034B0"/>
    <w:rsid w:val="005036E6"/>
    <w:rsid w:val="00503A29"/>
    <w:rsid w:val="00503AE5"/>
    <w:rsid w:val="00503B6A"/>
    <w:rsid w:val="00504273"/>
    <w:rsid w:val="0050499F"/>
    <w:rsid w:val="0050547F"/>
    <w:rsid w:val="00505503"/>
    <w:rsid w:val="00505708"/>
    <w:rsid w:val="00507852"/>
    <w:rsid w:val="00507FD9"/>
    <w:rsid w:val="00511612"/>
    <w:rsid w:val="00512171"/>
    <w:rsid w:val="00512294"/>
    <w:rsid w:val="00512C74"/>
    <w:rsid w:val="00513642"/>
    <w:rsid w:val="00513787"/>
    <w:rsid w:val="00513CF8"/>
    <w:rsid w:val="005149C7"/>
    <w:rsid w:val="005150BD"/>
    <w:rsid w:val="005156B8"/>
    <w:rsid w:val="0051651E"/>
    <w:rsid w:val="005169CE"/>
    <w:rsid w:val="00517728"/>
    <w:rsid w:val="00520242"/>
    <w:rsid w:val="00520F87"/>
    <w:rsid w:val="00521B7A"/>
    <w:rsid w:val="00522711"/>
    <w:rsid w:val="00522E3A"/>
    <w:rsid w:val="00523D6B"/>
    <w:rsid w:val="005243FA"/>
    <w:rsid w:val="00524FCC"/>
    <w:rsid w:val="00525242"/>
    <w:rsid w:val="005255A9"/>
    <w:rsid w:val="00525D46"/>
    <w:rsid w:val="00525D79"/>
    <w:rsid w:val="00525FFF"/>
    <w:rsid w:val="0053065F"/>
    <w:rsid w:val="005315A3"/>
    <w:rsid w:val="00532890"/>
    <w:rsid w:val="005328F7"/>
    <w:rsid w:val="005330B9"/>
    <w:rsid w:val="00533278"/>
    <w:rsid w:val="00533396"/>
    <w:rsid w:val="005334B5"/>
    <w:rsid w:val="0053363F"/>
    <w:rsid w:val="00533C84"/>
    <w:rsid w:val="00535338"/>
    <w:rsid w:val="00535632"/>
    <w:rsid w:val="00535D33"/>
    <w:rsid w:val="00535DE0"/>
    <w:rsid w:val="0053605E"/>
    <w:rsid w:val="005369AA"/>
    <w:rsid w:val="005371B8"/>
    <w:rsid w:val="00537E98"/>
    <w:rsid w:val="00541398"/>
    <w:rsid w:val="00541CE8"/>
    <w:rsid w:val="00542C8F"/>
    <w:rsid w:val="00542FD4"/>
    <w:rsid w:val="00543420"/>
    <w:rsid w:val="00543E12"/>
    <w:rsid w:val="00544440"/>
    <w:rsid w:val="00544FE2"/>
    <w:rsid w:val="00546917"/>
    <w:rsid w:val="005469CC"/>
    <w:rsid w:val="005476B4"/>
    <w:rsid w:val="0055061D"/>
    <w:rsid w:val="00550944"/>
    <w:rsid w:val="0055116E"/>
    <w:rsid w:val="00551946"/>
    <w:rsid w:val="00551DE0"/>
    <w:rsid w:val="00552132"/>
    <w:rsid w:val="00552B95"/>
    <w:rsid w:val="00552E3B"/>
    <w:rsid w:val="005532E8"/>
    <w:rsid w:val="00553D82"/>
    <w:rsid w:val="00553D88"/>
    <w:rsid w:val="00554356"/>
    <w:rsid w:val="00555746"/>
    <w:rsid w:val="00555946"/>
    <w:rsid w:val="00555A3F"/>
    <w:rsid w:val="0055601B"/>
    <w:rsid w:val="005565F0"/>
    <w:rsid w:val="00557E4C"/>
    <w:rsid w:val="00557EE1"/>
    <w:rsid w:val="00560C1F"/>
    <w:rsid w:val="00560D55"/>
    <w:rsid w:val="005610B3"/>
    <w:rsid w:val="005612E3"/>
    <w:rsid w:val="005631D5"/>
    <w:rsid w:val="005648EE"/>
    <w:rsid w:val="00564DFE"/>
    <w:rsid w:val="0056605D"/>
    <w:rsid w:val="005663E2"/>
    <w:rsid w:val="00566C52"/>
    <w:rsid w:val="00567212"/>
    <w:rsid w:val="00567C8C"/>
    <w:rsid w:val="00567D28"/>
    <w:rsid w:val="0057038A"/>
    <w:rsid w:val="00570918"/>
    <w:rsid w:val="00570EF5"/>
    <w:rsid w:val="005713C1"/>
    <w:rsid w:val="005714EB"/>
    <w:rsid w:val="00571664"/>
    <w:rsid w:val="00571F8A"/>
    <w:rsid w:val="005739C5"/>
    <w:rsid w:val="0057468D"/>
    <w:rsid w:val="005748DD"/>
    <w:rsid w:val="00574A1A"/>
    <w:rsid w:val="005756E5"/>
    <w:rsid w:val="00575859"/>
    <w:rsid w:val="005759C2"/>
    <w:rsid w:val="00575DB4"/>
    <w:rsid w:val="0057655C"/>
    <w:rsid w:val="005768B9"/>
    <w:rsid w:val="00576FF1"/>
    <w:rsid w:val="00577073"/>
    <w:rsid w:val="0057728E"/>
    <w:rsid w:val="0057757E"/>
    <w:rsid w:val="00577C4C"/>
    <w:rsid w:val="00577E11"/>
    <w:rsid w:val="005805EE"/>
    <w:rsid w:val="00580705"/>
    <w:rsid w:val="00580A1E"/>
    <w:rsid w:val="00580A8D"/>
    <w:rsid w:val="00580E9D"/>
    <w:rsid w:val="005814B1"/>
    <w:rsid w:val="00581858"/>
    <w:rsid w:val="00582104"/>
    <w:rsid w:val="00582645"/>
    <w:rsid w:val="00582A68"/>
    <w:rsid w:val="00582BFB"/>
    <w:rsid w:val="00584978"/>
    <w:rsid w:val="0058563B"/>
    <w:rsid w:val="005856A6"/>
    <w:rsid w:val="005857AC"/>
    <w:rsid w:val="0058585E"/>
    <w:rsid w:val="00585C8C"/>
    <w:rsid w:val="00586B95"/>
    <w:rsid w:val="00587423"/>
    <w:rsid w:val="0058769C"/>
    <w:rsid w:val="00590657"/>
    <w:rsid w:val="00590A33"/>
    <w:rsid w:val="005914CB"/>
    <w:rsid w:val="005917B3"/>
    <w:rsid w:val="00591C2B"/>
    <w:rsid w:val="005921E4"/>
    <w:rsid w:val="005937AB"/>
    <w:rsid w:val="00594107"/>
    <w:rsid w:val="00594234"/>
    <w:rsid w:val="00594E36"/>
    <w:rsid w:val="005952ED"/>
    <w:rsid w:val="0059652B"/>
    <w:rsid w:val="00597893"/>
    <w:rsid w:val="005A0A74"/>
    <w:rsid w:val="005A12DD"/>
    <w:rsid w:val="005A159A"/>
    <w:rsid w:val="005A1BC1"/>
    <w:rsid w:val="005A1E6D"/>
    <w:rsid w:val="005A22F8"/>
    <w:rsid w:val="005A2BA2"/>
    <w:rsid w:val="005A37F4"/>
    <w:rsid w:val="005A4681"/>
    <w:rsid w:val="005A61C9"/>
    <w:rsid w:val="005B01F5"/>
    <w:rsid w:val="005B0303"/>
    <w:rsid w:val="005B0333"/>
    <w:rsid w:val="005B1771"/>
    <w:rsid w:val="005B18D8"/>
    <w:rsid w:val="005B3720"/>
    <w:rsid w:val="005B3799"/>
    <w:rsid w:val="005B3DAA"/>
    <w:rsid w:val="005B4164"/>
    <w:rsid w:val="005B5970"/>
    <w:rsid w:val="005B5AD0"/>
    <w:rsid w:val="005B5E5F"/>
    <w:rsid w:val="005B6C90"/>
    <w:rsid w:val="005B6FD6"/>
    <w:rsid w:val="005C002D"/>
    <w:rsid w:val="005C080B"/>
    <w:rsid w:val="005C0A4B"/>
    <w:rsid w:val="005C0A59"/>
    <w:rsid w:val="005C27A1"/>
    <w:rsid w:val="005C2A99"/>
    <w:rsid w:val="005C42AB"/>
    <w:rsid w:val="005C4892"/>
    <w:rsid w:val="005C501E"/>
    <w:rsid w:val="005C55AD"/>
    <w:rsid w:val="005C5748"/>
    <w:rsid w:val="005C5B21"/>
    <w:rsid w:val="005C66F0"/>
    <w:rsid w:val="005C69CA"/>
    <w:rsid w:val="005C73F9"/>
    <w:rsid w:val="005C742A"/>
    <w:rsid w:val="005C784F"/>
    <w:rsid w:val="005C7CA3"/>
    <w:rsid w:val="005D1D7E"/>
    <w:rsid w:val="005D2729"/>
    <w:rsid w:val="005D2C03"/>
    <w:rsid w:val="005D3160"/>
    <w:rsid w:val="005D3671"/>
    <w:rsid w:val="005D406D"/>
    <w:rsid w:val="005D44F6"/>
    <w:rsid w:val="005D541A"/>
    <w:rsid w:val="005D5503"/>
    <w:rsid w:val="005D617A"/>
    <w:rsid w:val="005D629E"/>
    <w:rsid w:val="005D74D3"/>
    <w:rsid w:val="005D7BC0"/>
    <w:rsid w:val="005E00BC"/>
    <w:rsid w:val="005E09DA"/>
    <w:rsid w:val="005E14BB"/>
    <w:rsid w:val="005E166E"/>
    <w:rsid w:val="005E1671"/>
    <w:rsid w:val="005E22BE"/>
    <w:rsid w:val="005E29A4"/>
    <w:rsid w:val="005E3093"/>
    <w:rsid w:val="005E3A63"/>
    <w:rsid w:val="005E3B15"/>
    <w:rsid w:val="005E489B"/>
    <w:rsid w:val="005E4BB2"/>
    <w:rsid w:val="005E5332"/>
    <w:rsid w:val="005E5670"/>
    <w:rsid w:val="005E5A99"/>
    <w:rsid w:val="005E5D92"/>
    <w:rsid w:val="005E6061"/>
    <w:rsid w:val="005E66F0"/>
    <w:rsid w:val="005E698D"/>
    <w:rsid w:val="005E7308"/>
    <w:rsid w:val="005F08BA"/>
    <w:rsid w:val="005F0A85"/>
    <w:rsid w:val="005F0FCA"/>
    <w:rsid w:val="005F1294"/>
    <w:rsid w:val="005F17FC"/>
    <w:rsid w:val="005F19B4"/>
    <w:rsid w:val="005F1BF9"/>
    <w:rsid w:val="005F2471"/>
    <w:rsid w:val="005F2774"/>
    <w:rsid w:val="005F2784"/>
    <w:rsid w:val="005F3799"/>
    <w:rsid w:val="005F3FE0"/>
    <w:rsid w:val="005F47E6"/>
    <w:rsid w:val="005F561D"/>
    <w:rsid w:val="005F5949"/>
    <w:rsid w:val="005F5A48"/>
    <w:rsid w:val="005F5CA1"/>
    <w:rsid w:val="005F647A"/>
    <w:rsid w:val="005F71E7"/>
    <w:rsid w:val="005F72E4"/>
    <w:rsid w:val="005F738D"/>
    <w:rsid w:val="005F771D"/>
    <w:rsid w:val="005F776B"/>
    <w:rsid w:val="005F782D"/>
    <w:rsid w:val="005F7EB3"/>
    <w:rsid w:val="005F7F15"/>
    <w:rsid w:val="006001AD"/>
    <w:rsid w:val="00600928"/>
    <w:rsid w:val="00600A1F"/>
    <w:rsid w:val="00600D6E"/>
    <w:rsid w:val="0060280D"/>
    <w:rsid w:val="00602CD7"/>
    <w:rsid w:val="00603B45"/>
    <w:rsid w:val="006040BC"/>
    <w:rsid w:val="0060439D"/>
    <w:rsid w:val="0060474D"/>
    <w:rsid w:val="00604BFB"/>
    <w:rsid w:val="00604E45"/>
    <w:rsid w:val="006051A0"/>
    <w:rsid w:val="00605451"/>
    <w:rsid w:val="0060598B"/>
    <w:rsid w:val="00605F26"/>
    <w:rsid w:val="0060609D"/>
    <w:rsid w:val="006060CA"/>
    <w:rsid w:val="006069AC"/>
    <w:rsid w:val="00611549"/>
    <w:rsid w:val="00611B0C"/>
    <w:rsid w:val="00611DD2"/>
    <w:rsid w:val="0061399D"/>
    <w:rsid w:val="00613DFE"/>
    <w:rsid w:val="00613EF6"/>
    <w:rsid w:val="00614438"/>
    <w:rsid w:val="00615503"/>
    <w:rsid w:val="0061613D"/>
    <w:rsid w:val="00617D86"/>
    <w:rsid w:val="0062009A"/>
    <w:rsid w:val="0062069E"/>
    <w:rsid w:val="006209BF"/>
    <w:rsid w:val="006221E8"/>
    <w:rsid w:val="0062278A"/>
    <w:rsid w:val="00622798"/>
    <w:rsid w:val="0062283F"/>
    <w:rsid w:val="00622C57"/>
    <w:rsid w:val="0062341F"/>
    <w:rsid w:val="00623818"/>
    <w:rsid w:val="00623F86"/>
    <w:rsid w:val="00624A07"/>
    <w:rsid w:val="00624C41"/>
    <w:rsid w:val="00625430"/>
    <w:rsid w:val="006259E6"/>
    <w:rsid w:val="00630F73"/>
    <w:rsid w:val="00630FE5"/>
    <w:rsid w:val="00631153"/>
    <w:rsid w:val="006313CE"/>
    <w:rsid w:val="0063165E"/>
    <w:rsid w:val="00631D40"/>
    <w:rsid w:val="006320C7"/>
    <w:rsid w:val="00632C1C"/>
    <w:rsid w:val="00632DAA"/>
    <w:rsid w:val="006334BC"/>
    <w:rsid w:val="006400C6"/>
    <w:rsid w:val="0064077C"/>
    <w:rsid w:val="006408BA"/>
    <w:rsid w:val="0064170B"/>
    <w:rsid w:val="00641F1C"/>
    <w:rsid w:val="006436D6"/>
    <w:rsid w:val="00643FEB"/>
    <w:rsid w:val="0064401F"/>
    <w:rsid w:val="00645373"/>
    <w:rsid w:val="006458BD"/>
    <w:rsid w:val="00645BD8"/>
    <w:rsid w:val="006462D9"/>
    <w:rsid w:val="0064654A"/>
    <w:rsid w:val="006465CD"/>
    <w:rsid w:val="006467B7"/>
    <w:rsid w:val="00647375"/>
    <w:rsid w:val="00647E5E"/>
    <w:rsid w:val="00650D8D"/>
    <w:rsid w:val="006517E8"/>
    <w:rsid w:val="00651B7F"/>
    <w:rsid w:val="0065243E"/>
    <w:rsid w:val="006526C0"/>
    <w:rsid w:val="00652A3A"/>
    <w:rsid w:val="0065561A"/>
    <w:rsid w:val="006559BE"/>
    <w:rsid w:val="0065674C"/>
    <w:rsid w:val="00656E2C"/>
    <w:rsid w:val="006571AC"/>
    <w:rsid w:val="006572E7"/>
    <w:rsid w:val="006578BB"/>
    <w:rsid w:val="00657AC0"/>
    <w:rsid w:val="00657C76"/>
    <w:rsid w:val="00660327"/>
    <w:rsid w:val="00660A98"/>
    <w:rsid w:val="00661628"/>
    <w:rsid w:val="0066183D"/>
    <w:rsid w:val="00661E26"/>
    <w:rsid w:val="006620E5"/>
    <w:rsid w:val="00663546"/>
    <w:rsid w:val="0066369A"/>
    <w:rsid w:val="00663B27"/>
    <w:rsid w:val="00663FCA"/>
    <w:rsid w:val="006642F6"/>
    <w:rsid w:val="006646C4"/>
    <w:rsid w:val="00664DC0"/>
    <w:rsid w:val="00665FF7"/>
    <w:rsid w:val="00667344"/>
    <w:rsid w:val="00667A6E"/>
    <w:rsid w:val="00670BBF"/>
    <w:rsid w:val="00671FBB"/>
    <w:rsid w:val="00673463"/>
    <w:rsid w:val="00673E66"/>
    <w:rsid w:val="00674BE3"/>
    <w:rsid w:val="00674D7C"/>
    <w:rsid w:val="00674F34"/>
    <w:rsid w:val="00675024"/>
    <w:rsid w:val="00675561"/>
    <w:rsid w:val="006757CC"/>
    <w:rsid w:val="00676478"/>
    <w:rsid w:val="00676B25"/>
    <w:rsid w:val="00676D4A"/>
    <w:rsid w:val="006772F3"/>
    <w:rsid w:val="00677658"/>
    <w:rsid w:val="00677CA1"/>
    <w:rsid w:val="0068083F"/>
    <w:rsid w:val="00680A05"/>
    <w:rsid w:val="006833FD"/>
    <w:rsid w:val="00683A2B"/>
    <w:rsid w:val="0068449C"/>
    <w:rsid w:val="00684932"/>
    <w:rsid w:val="006857DB"/>
    <w:rsid w:val="0068634A"/>
    <w:rsid w:val="0068641C"/>
    <w:rsid w:val="00686C02"/>
    <w:rsid w:val="006870A7"/>
    <w:rsid w:val="00687EFF"/>
    <w:rsid w:val="006905A5"/>
    <w:rsid w:val="00691062"/>
    <w:rsid w:val="00691D11"/>
    <w:rsid w:val="00692DDE"/>
    <w:rsid w:val="006938D4"/>
    <w:rsid w:val="0069461F"/>
    <w:rsid w:val="006947A1"/>
    <w:rsid w:val="00694882"/>
    <w:rsid w:val="006950D7"/>
    <w:rsid w:val="0069563A"/>
    <w:rsid w:val="00695851"/>
    <w:rsid w:val="00697115"/>
    <w:rsid w:val="00697631"/>
    <w:rsid w:val="006A036C"/>
    <w:rsid w:val="006A06E2"/>
    <w:rsid w:val="006A0F14"/>
    <w:rsid w:val="006A0F43"/>
    <w:rsid w:val="006A187C"/>
    <w:rsid w:val="006A2D17"/>
    <w:rsid w:val="006A33C2"/>
    <w:rsid w:val="006A3901"/>
    <w:rsid w:val="006A490E"/>
    <w:rsid w:val="006A4984"/>
    <w:rsid w:val="006A4BEC"/>
    <w:rsid w:val="006A4DBA"/>
    <w:rsid w:val="006A547F"/>
    <w:rsid w:val="006A7500"/>
    <w:rsid w:val="006A7803"/>
    <w:rsid w:val="006B017B"/>
    <w:rsid w:val="006B0539"/>
    <w:rsid w:val="006B0914"/>
    <w:rsid w:val="006B17A3"/>
    <w:rsid w:val="006B19F6"/>
    <w:rsid w:val="006B1FA8"/>
    <w:rsid w:val="006B4315"/>
    <w:rsid w:val="006B457F"/>
    <w:rsid w:val="006B471B"/>
    <w:rsid w:val="006B4AA2"/>
    <w:rsid w:val="006B4BFE"/>
    <w:rsid w:val="006B4FB1"/>
    <w:rsid w:val="006B5FBD"/>
    <w:rsid w:val="006B60FD"/>
    <w:rsid w:val="006B6F29"/>
    <w:rsid w:val="006B6F55"/>
    <w:rsid w:val="006B7567"/>
    <w:rsid w:val="006C13EB"/>
    <w:rsid w:val="006C13FC"/>
    <w:rsid w:val="006C18D7"/>
    <w:rsid w:val="006C271F"/>
    <w:rsid w:val="006C2C24"/>
    <w:rsid w:val="006C376B"/>
    <w:rsid w:val="006C3DBE"/>
    <w:rsid w:val="006C41DD"/>
    <w:rsid w:val="006C4236"/>
    <w:rsid w:val="006C53E5"/>
    <w:rsid w:val="006C6CE0"/>
    <w:rsid w:val="006C71A8"/>
    <w:rsid w:val="006C776E"/>
    <w:rsid w:val="006C77A2"/>
    <w:rsid w:val="006C78A1"/>
    <w:rsid w:val="006C7B01"/>
    <w:rsid w:val="006D0307"/>
    <w:rsid w:val="006D039D"/>
    <w:rsid w:val="006D0B6D"/>
    <w:rsid w:val="006D1733"/>
    <w:rsid w:val="006D193C"/>
    <w:rsid w:val="006D1B01"/>
    <w:rsid w:val="006D200E"/>
    <w:rsid w:val="006D212E"/>
    <w:rsid w:val="006D2A29"/>
    <w:rsid w:val="006D30C1"/>
    <w:rsid w:val="006D4958"/>
    <w:rsid w:val="006D56EA"/>
    <w:rsid w:val="006D5764"/>
    <w:rsid w:val="006D5F20"/>
    <w:rsid w:val="006D7114"/>
    <w:rsid w:val="006D79C1"/>
    <w:rsid w:val="006D7E81"/>
    <w:rsid w:val="006E078B"/>
    <w:rsid w:val="006E13AD"/>
    <w:rsid w:val="006E16FE"/>
    <w:rsid w:val="006E219B"/>
    <w:rsid w:val="006E30B7"/>
    <w:rsid w:val="006E43E2"/>
    <w:rsid w:val="006E43E3"/>
    <w:rsid w:val="006E44E2"/>
    <w:rsid w:val="006E4A3D"/>
    <w:rsid w:val="006E4E74"/>
    <w:rsid w:val="006E5615"/>
    <w:rsid w:val="006E7091"/>
    <w:rsid w:val="006E70DA"/>
    <w:rsid w:val="006E7557"/>
    <w:rsid w:val="006E766F"/>
    <w:rsid w:val="006E7842"/>
    <w:rsid w:val="006E7ED4"/>
    <w:rsid w:val="006F02B8"/>
    <w:rsid w:val="006F0412"/>
    <w:rsid w:val="006F17BE"/>
    <w:rsid w:val="006F1F10"/>
    <w:rsid w:val="006F23E4"/>
    <w:rsid w:val="006F2A81"/>
    <w:rsid w:val="006F2A9C"/>
    <w:rsid w:val="006F363E"/>
    <w:rsid w:val="006F3EAE"/>
    <w:rsid w:val="006F47F3"/>
    <w:rsid w:val="006F4AC5"/>
    <w:rsid w:val="006F4D81"/>
    <w:rsid w:val="006F5D84"/>
    <w:rsid w:val="006F5DE1"/>
    <w:rsid w:val="006F64CE"/>
    <w:rsid w:val="006F6585"/>
    <w:rsid w:val="006F7714"/>
    <w:rsid w:val="006F77F7"/>
    <w:rsid w:val="006F7B96"/>
    <w:rsid w:val="006F7E4E"/>
    <w:rsid w:val="007008A3"/>
    <w:rsid w:val="007018F8"/>
    <w:rsid w:val="00702331"/>
    <w:rsid w:val="0070234B"/>
    <w:rsid w:val="00702659"/>
    <w:rsid w:val="00702F0D"/>
    <w:rsid w:val="00702F61"/>
    <w:rsid w:val="00703B09"/>
    <w:rsid w:val="00704C90"/>
    <w:rsid w:val="0070555A"/>
    <w:rsid w:val="00705BB6"/>
    <w:rsid w:val="00705C7A"/>
    <w:rsid w:val="00705DE0"/>
    <w:rsid w:val="007062D9"/>
    <w:rsid w:val="00706D40"/>
    <w:rsid w:val="007078AB"/>
    <w:rsid w:val="007102E4"/>
    <w:rsid w:val="007106C4"/>
    <w:rsid w:val="00710B53"/>
    <w:rsid w:val="0071130B"/>
    <w:rsid w:val="0071207D"/>
    <w:rsid w:val="00712E48"/>
    <w:rsid w:val="00712E62"/>
    <w:rsid w:val="007130D1"/>
    <w:rsid w:val="00713A45"/>
    <w:rsid w:val="00713F02"/>
    <w:rsid w:val="00714756"/>
    <w:rsid w:val="00714797"/>
    <w:rsid w:val="0071489F"/>
    <w:rsid w:val="0071519D"/>
    <w:rsid w:val="007156C4"/>
    <w:rsid w:val="0071626F"/>
    <w:rsid w:val="0071774D"/>
    <w:rsid w:val="00717A63"/>
    <w:rsid w:val="00717A94"/>
    <w:rsid w:val="00720631"/>
    <w:rsid w:val="00721196"/>
    <w:rsid w:val="0072177F"/>
    <w:rsid w:val="00721EAE"/>
    <w:rsid w:val="0072220F"/>
    <w:rsid w:val="0072294B"/>
    <w:rsid w:val="00722E76"/>
    <w:rsid w:val="00723DC6"/>
    <w:rsid w:val="007240C6"/>
    <w:rsid w:val="007241DD"/>
    <w:rsid w:val="007243A2"/>
    <w:rsid w:val="00724CF7"/>
    <w:rsid w:val="00724E47"/>
    <w:rsid w:val="00724FBD"/>
    <w:rsid w:val="00725902"/>
    <w:rsid w:val="00725DA7"/>
    <w:rsid w:val="0072639C"/>
    <w:rsid w:val="007264E9"/>
    <w:rsid w:val="00726659"/>
    <w:rsid w:val="00727500"/>
    <w:rsid w:val="007301C3"/>
    <w:rsid w:val="007301D0"/>
    <w:rsid w:val="00730244"/>
    <w:rsid w:val="0073068B"/>
    <w:rsid w:val="00730C49"/>
    <w:rsid w:val="007314FC"/>
    <w:rsid w:val="00731C51"/>
    <w:rsid w:val="00731E1F"/>
    <w:rsid w:val="00733B25"/>
    <w:rsid w:val="00734E02"/>
    <w:rsid w:val="0073518D"/>
    <w:rsid w:val="007358D4"/>
    <w:rsid w:val="00735D32"/>
    <w:rsid w:val="00736105"/>
    <w:rsid w:val="00737AF9"/>
    <w:rsid w:val="00737DFB"/>
    <w:rsid w:val="0074095D"/>
    <w:rsid w:val="00740DB6"/>
    <w:rsid w:val="00741A5F"/>
    <w:rsid w:val="00741CA9"/>
    <w:rsid w:val="00742073"/>
    <w:rsid w:val="007430AE"/>
    <w:rsid w:val="00743350"/>
    <w:rsid w:val="00743742"/>
    <w:rsid w:val="00743BAB"/>
    <w:rsid w:val="00743FC7"/>
    <w:rsid w:val="007444EF"/>
    <w:rsid w:val="00744AFC"/>
    <w:rsid w:val="0074513D"/>
    <w:rsid w:val="007455E9"/>
    <w:rsid w:val="00745EF1"/>
    <w:rsid w:val="0074622D"/>
    <w:rsid w:val="00746D66"/>
    <w:rsid w:val="007500E3"/>
    <w:rsid w:val="00754036"/>
    <w:rsid w:val="0075496D"/>
    <w:rsid w:val="00754C1A"/>
    <w:rsid w:val="00755FDC"/>
    <w:rsid w:val="00756146"/>
    <w:rsid w:val="0075666C"/>
    <w:rsid w:val="00756EC0"/>
    <w:rsid w:val="00761368"/>
    <w:rsid w:val="00762591"/>
    <w:rsid w:val="007634B9"/>
    <w:rsid w:val="007634E8"/>
    <w:rsid w:val="00763795"/>
    <w:rsid w:val="00763987"/>
    <w:rsid w:val="00763D9A"/>
    <w:rsid w:val="00764310"/>
    <w:rsid w:val="00765AA3"/>
    <w:rsid w:val="00765B24"/>
    <w:rsid w:val="00766562"/>
    <w:rsid w:val="007665FB"/>
    <w:rsid w:val="00766BC0"/>
    <w:rsid w:val="007670E1"/>
    <w:rsid w:val="00767535"/>
    <w:rsid w:val="00767DA0"/>
    <w:rsid w:val="0077020D"/>
    <w:rsid w:val="00770344"/>
    <w:rsid w:val="0077047B"/>
    <w:rsid w:val="00771555"/>
    <w:rsid w:val="00771556"/>
    <w:rsid w:val="0077196D"/>
    <w:rsid w:val="00771A1B"/>
    <w:rsid w:val="00771E5F"/>
    <w:rsid w:val="0077386A"/>
    <w:rsid w:val="00773C9A"/>
    <w:rsid w:val="00773D5F"/>
    <w:rsid w:val="0077412E"/>
    <w:rsid w:val="007743B6"/>
    <w:rsid w:val="00775452"/>
    <w:rsid w:val="0077641A"/>
    <w:rsid w:val="007779E3"/>
    <w:rsid w:val="00777E18"/>
    <w:rsid w:val="00780F5E"/>
    <w:rsid w:val="00781094"/>
    <w:rsid w:val="00781A34"/>
    <w:rsid w:val="00781D35"/>
    <w:rsid w:val="00781D56"/>
    <w:rsid w:val="00783071"/>
    <w:rsid w:val="00783E56"/>
    <w:rsid w:val="007841E2"/>
    <w:rsid w:val="00784DF4"/>
    <w:rsid w:val="00785197"/>
    <w:rsid w:val="00786C41"/>
    <w:rsid w:val="007870D7"/>
    <w:rsid w:val="00787542"/>
    <w:rsid w:val="007875AA"/>
    <w:rsid w:val="00787A46"/>
    <w:rsid w:val="00787F15"/>
    <w:rsid w:val="00791C9B"/>
    <w:rsid w:val="00792498"/>
    <w:rsid w:val="007926B1"/>
    <w:rsid w:val="0079306B"/>
    <w:rsid w:val="00793815"/>
    <w:rsid w:val="00793EE2"/>
    <w:rsid w:val="00794128"/>
    <w:rsid w:val="00795252"/>
    <w:rsid w:val="00795869"/>
    <w:rsid w:val="007962DC"/>
    <w:rsid w:val="0079639B"/>
    <w:rsid w:val="007967F4"/>
    <w:rsid w:val="00797314"/>
    <w:rsid w:val="00797C9C"/>
    <w:rsid w:val="007A0652"/>
    <w:rsid w:val="007A1AF5"/>
    <w:rsid w:val="007A1C86"/>
    <w:rsid w:val="007A275D"/>
    <w:rsid w:val="007A2CA1"/>
    <w:rsid w:val="007A3EA5"/>
    <w:rsid w:val="007A490A"/>
    <w:rsid w:val="007A523A"/>
    <w:rsid w:val="007A5765"/>
    <w:rsid w:val="007A588A"/>
    <w:rsid w:val="007A588F"/>
    <w:rsid w:val="007A5D2C"/>
    <w:rsid w:val="007A5DE5"/>
    <w:rsid w:val="007A617C"/>
    <w:rsid w:val="007A61AD"/>
    <w:rsid w:val="007B0860"/>
    <w:rsid w:val="007B16E6"/>
    <w:rsid w:val="007B197B"/>
    <w:rsid w:val="007B1AAA"/>
    <w:rsid w:val="007B2224"/>
    <w:rsid w:val="007B2A11"/>
    <w:rsid w:val="007B2E1D"/>
    <w:rsid w:val="007B2ECC"/>
    <w:rsid w:val="007B3D4B"/>
    <w:rsid w:val="007B3EE8"/>
    <w:rsid w:val="007B3F20"/>
    <w:rsid w:val="007B41A8"/>
    <w:rsid w:val="007B47DC"/>
    <w:rsid w:val="007B4971"/>
    <w:rsid w:val="007B4D66"/>
    <w:rsid w:val="007B56DA"/>
    <w:rsid w:val="007B5FBF"/>
    <w:rsid w:val="007B62C6"/>
    <w:rsid w:val="007B6A1D"/>
    <w:rsid w:val="007B7A9C"/>
    <w:rsid w:val="007B7E68"/>
    <w:rsid w:val="007C000F"/>
    <w:rsid w:val="007C19BC"/>
    <w:rsid w:val="007C1FC9"/>
    <w:rsid w:val="007C21CB"/>
    <w:rsid w:val="007C2814"/>
    <w:rsid w:val="007C2DE1"/>
    <w:rsid w:val="007C2E43"/>
    <w:rsid w:val="007C3834"/>
    <w:rsid w:val="007C46F3"/>
    <w:rsid w:val="007C4864"/>
    <w:rsid w:val="007C4A53"/>
    <w:rsid w:val="007C57BE"/>
    <w:rsid w:val="007C5EFA"/>
    <w:rsid w:val="007C5F0D"/>
    <w:rsid w:val="007C6B30"/>
    <w:rsid w:val="007C733D"/>
    <w:rsid w:val="007D0014"/>
    <w:rsid w:val="007D00BC"/>
    <w:rsid w:val="007D0120"/>
    <w:rsid w:val="007D058B"/>
    <w:rsid w:val="007D0860"/>
    <w:rsid w:val="007D14EE"/>
    <w:rsid w:val="007D1E8F"/>
    <w:rsid w:val="007D2312"/>
    <w:rsid w:val="007D2EAA"/>
    <w:rsid w:val="007D3371"/>
    <w:rsid w:val="007D52E2"/>
    <w:rsid w:val="007D5E2F"/>
    <w:rsid w:val="007D60EA"/>
    <w:rsid w:val="007D62F1"/>
    <w:rsid w:val="007D6B12"/>
    <w:rsid w:val="007D7026"/>
    <w:rsid w:val="007D7BF2"/>
    <w:rsid w:val="007D7C57"/>
    <w:rsid w:val="007E2499"/>
    <w:rsid w:val="007E25C0"/>
    <w:rsid w:val="007E27FC"/>
    <w:rsid w:val="007E2A4C"/>
    <w:rsid w:val="007E2B45"/>
    <w:rsid w:val="007E3379"/>
    <w:rsid w:val="007E35F8"/>
    <w:rsid w:val="007E3A00"/>
    <w:rsid w:val="007E3FDE"/>
    <w:rsid w:val="007E4553"/>
    <w:rsid w:val="007E4993"/>
    <w:rsid w:val="007E4C3D"/>
    <w:rsid w:val="007E4D32"/>
    <w:rsid w:val="007E63CB"/>
    <w:rsid w:val="007E68DA"/>
    <w:rsid w:val="007E6D4D"/>
    <w:rsid w:val="007E735A"/>
    <w:rsid w:val="007E7D75"/>
    <w:rsid w:val="007E7FAE"/>
    <w:rsid w:val="007F0427"/>
    <w:rsid w:val="007F0A0F"/>
    <w:rsid w:val="007F1A31"/>
    <w:rsid w:val="007F2639"/>
    <w:rsid w:val="007F28B8"/>
    <w:rsid w:val="007F2B15"/>
    <w:rsid w:val="007F3B41"/>
    <w:rsid w:val="007F3D36"/>
    <w:rsid w:val="007F463F"/>
    <w:rsid w:val="007F54DF"/>
    <w:rsid w:val="007F5924"/>
    <w:rsid w:val="007F5BB6"/>
    <w:rsid w:val="007F5E15"/>
    <w:rsid w:val="007F5EB5"/>
    <w:rsid w:val="007F66BB"/>
    <w:rsid w:val="007F7D36"/>
    <w:rsid w:val="00801765"/>
    <w:rsid w:val="00801A02"/>
    <w:rsid w:val="008020E5"/>
    <w:rsid w:val="0080238B"/>
    <w:rsid w:val="00802998"/>
    <w:rsid w:val="0080571D"/>
    <w:rsid w:val="00805DA0"/>
    <w:rsid w:val="00807458"/>
    <w:rsid w:val="008074EF"/>
    <w:rsid w:val="00807A48"/>
    <w:rsid w:val="00807C0E"/>
    <w:rsid w:val="00810B16"/>
    <w:rsid w:val="008112E6"/>
    <w:rsid w:val="00812070"/>
    <w:rsid w:val="008124A6"/>
    <w:rsid w:val="00812CC9"/>
    <w:rsid w:val="00812CD2"/>
    <w:rsid w:val="0081334A"/>
    <w:rsid w:val="0081376A"/>
    <w:rsid w:val="00813D16"/>
    <w:rsid w:val="0081402E"/>
    <w:rsid w:val="008141D0"/>
    <w:rsid w:val="008144E1"/>
    <w:rsid w:val="008146D0"/>
    <w:rsid w:val="0081514C"/>
    <w:rsid w:val="0081543D"/>
    <w:rsid w:val="00815D79"/>
    <w:rsid w:val="0081711B"/>
    <w:rsid w:val="0081755A"/>
    <w:rsid w:val="00817D20"/>
    <w:rsid w:val="00817E88"/>
    <w:rsid w:val="00820461"/>
    <w:rsid w:val="00820E25"/>
    <w:rsid w:val="00821CA3"/>
    <w:rsid w:val="00821D60"/>
    <w:rsid w:val="008222C3"/>
    <w:rsid w:val="0082365E"/>
    <w:rsid w:val="00823FCE"/>
    <w:rsid w:val="00824156"/>
    <w:rsid w:val="008242AB"/>
    <w:rsid w:val="008248C1"/>
    <w:rsid w:val="00825822"/>
    <w:rsid w:val="00825A97"/>
    <w:rsid w:val="00825B88"/>
    <w:rsid w:val="00825D8A"/>
    <w:rsid w:val="0082683D"/>
    <w:rsid w:val="0082694F"/>
    <w:rsid w:val="008271C7"/>
    <w:rsid w:val="008274B3"/>
    <w:rsid w:val="00827C6E"/>
    <w:rsid w:val="008302AF"/>
    <w:rsid w:val="0083073A"/>
    <w:rsid w:val="0083113F"/>
    <w:rsid w:val="00831583"/>
    <w:rsid w:val="00831645"/>
    <w:rsid w:val="00831721"/>
    <w:rsid w:val="00832050"/>
    <w:rsid w:val="008321BF"/>
    <w:rsid w:val="00832EA2"/>
    <w:rsid w:val="008330B2"/>
    <w:rsid w:val="008330F2"/>
    <w:rsid w:val="00833797"/>
    <w:rsid w:val="00833B77"/>
    <w:rsid w:val="00834458"/>
    <w:rsid w:val="0083628F"/>
    <w:rsid w:val="00836A6B"/>
    <w:rsid w:val="00836A7A"/>
    <w:rsid w:val="00836B14"/>
    <w:rsid w:val="00836D00"/>
    <w:rsid w:val="008370C3"/>
    <w:rsid w:val="00837B9D"/>
    <w:rsid w:val="00841E81"/>
    <w:rsid w:val="008425B7"/>
    <w:rsid w:val="00842B20"/>
    <w:rsid w:val="00843255"/>
    <w:rsid w:val="0084353E"/>
    <w:rsid w:val="00843FE6"/>
    <w:rsid w:val="00844043"/>
    <w:rsid w:val="00844A79"/>
    <w:rsid w:val="00845051"/>
    <w:rsid w:val="0084527B"/>
    <w:rsid w:val="00845A62"/>
    <w:rsid w:val="00845FBD"/>
    <w:rsid w:val="008460F7"/>
    <w:rsid w:val="008478DD"/>
    <w:rsid w:val="00850753"/>
    <w:rsid w:val="008516A3"/>
    <w:rsid w:val="0085175E"/>
    <w:rsid w:val="0085193A"/>
    <w:rsid w:val="00851BBD"/>
    <w:rsid w:val="008524FF"/>
    <w:rsid w:val="008526D1"/>
    <w:rsid w:val="00852DA0"/>
    <w:rsid w:val="008532BD"/>
    <w:rsid w:val="008533DD"/>
    <w:rsid w:val="00853694"/>
    <w:rsid w:val="008537EF"/>
    <w:rsid w:val="00853B37"/>
    <w:rsid w:val="00855A17"/>
    <w:rsid w:val="00856E23"/>
    <w:rsid w:val="00856F0E"/>
    <w:rsid w:val="008572B0"/>
    <w:rsid w:val="00857438"/>
    <w:rsid w:val="008575F3"/>
    <w:rsid w:val="00857730"/>
    <w:rsid w:val="008600E3"/>
    <w:rsid w:val="008618D2"/>
    <w:rsid w:val="00862532"/>
    <w:rsid w:val="00863193"/>
    <w:rsid w:val="00863D33"/>
    <w:rsid w:val="00863D3F"/>
    <w:rsid w:val="0086400C"/>
    <w:rsid w:val="00865610"/>
    <w:rsid w:val="00865675"/>
    <w:rsid w:val="00865B8B"/>
    <w:rsid w:val="00865ECD"/>
    <w:rsid w:val="0086666E"/>
    <w:rsid w:val="008667A7"/>
    <w:rsid w:val="00867460"/>
    <w:rsid w:val="008677D7"/>
    <w:rsid w:val="00867B8F"/>
    <w:rsid w:val="00870A31"/>
    <w:rsid w:val="00871BD4"/>
    <w:rsid w:val="008727B0"/>
    <w:rsid w:val="008732F3"/>
    <w:rsid w:val="00873BD9"/>
    <w:rsid w:val="00873F15"/>
    <w:rsid w:val="00874D66"/>
    <w:rsid w:val="00876496"/>
    <w:rsid w:val="008769BE"/>
    <w:rsid w:val="00876BC0"/>
    <w:rsid w:val="00877DD8"/>
    <w:rsid w:val="0088042E"/>
    <w:rsid w:val="008804D2"/>
    <w:rsid w:val="00880902"/>
    <w:rsid w:val="00880DCD"/>
    <w:rsid w:val="00880FE8"/>
    <w:rsid w:val="00881B0B"/>
    <w:rsid w:val="00881E8F"/>
    <w:rsid w:val="00881F79"/>
    <w:rsid w:val="00882181"/>
    <w:rsid w:val="00882A0A"/>
    <w:rsid w:val="00884294"/>
    <w:rsid w:val="008843CB"/>
    <w:rsid w:val="008858E2"/>
    <w:rsid w:val="008859C0"/>
    <w:rsid w:val="00885D0F"/>
    <w:rsid w:val="00885D50"/>
    <w:rsid w:val="008860AB"/>
    <w:rsid w:val="00886A9C"/>
    <w:rsid w:val="008873DA"/>
    <w:rsid w:val="0089052B"/>
    <w:rsid w:val="0089176C"/>
    <w:rsid w:val="0089254E"/>
    <w:rsid w:val="008941DE"/>
    <w:rsid w:val="00894EA1"/>
    <w:rsid w:val="00895230"/>
    <w:rsid w:val="008952CE"/>
    <w:rsid w:val="00895336"/>
    <w:rsid w:val="008955C1"/>
    <w:rsid w:val="008969EF"/>
    <w:rsid w:val="00896F4D"/>
    <w:rsid w:val="008970D7"/>
    <w:rsid w:val="0089721D"/>
    <w:rsid w:val="00897890"/>
    <w:rsid w:val="008A0282"/>
    <w:rsid w:val="008A02B4"/>
    <w:rsid w:val="008A062C"/>
    <w:rsid w:val="008A1450"/>
    <w:rsid w:val="008A1463"/>
    <w:rsid w:val="008A1691"/>
    <w:rsid w:val="008A1814"/>
    <w:rsid w:val="008A20A2"/>
    <w:rsid w:val="008A20BE"/>
    <w:rsid w:val="008A2104"/>
    <w:rsid w:val="008A22B0"/>
    <w:rsid w:val="008A26C4"/>
    <w:rsid w:val="008A2C52"/>
    <w:rsid w:val="008A2E69"/>
    <w:rsid w:val="008A31BC"/>
    <w:rsid w:val="008A33C0"/>
    <w:rsid w:val="008A385A"/>
    <w:rsid w:val="008A3C4D"/>
    <w:rsid w:val="008A3FF9"/>
    <w:rsid w:val="008A45B8"/>
    <w:rsid w:val="008A48A0"/>
    <w:rsid w:val="008A62AD"/>
    <w:rsid w:val="008A6701"/>
    <w:rsid w:val="008A75C2"/>
    <w:rsid w:val="008B045F"/>
    <w:rsid w:val="008B1711"/>
    <w:rsid w:val="008B1B71"/>
    <w:rsid w:val="008B285E"/>
    <w:rsid w:val="008B3A2C"/>
    <w:rsid w:val="008B42BA"/>
    <w:rsid w:val="008B5861"/>
    <w:rsid w:val="008B59F2"/>
    <w:rsid w:val="008B5ABD"/>
    <w:rsid w:val="008B5B62"/>
    <w:rsid w:val="008B635F"/>
    <w:rsid w:val="008B76AA"/>
    <w:rsid w:val="008B7786"/>
    <w:rsid w:val="008B786B"/>
    <w:rsid w:val="008B7A4F"/>
    <w:rsid w:val="008B7C8B"/>
    <w:rsid w:val="008C0003"/>
    <w:rsid w:val="008C018E"/>
    <w:rsid w:val="008C117A"/>
    <w:rsid w:val="008C1B01"/>
    <w:rsid w:val="008C2062"/>
    <w:rsid w:val="008C30A2"/>
    <w:rsid w:val="008C38AA"/>
    <w:rsid w:val="008C475E"/>
    <w:rsid w:val="008C4BD0"/>
    <w:rsid w:val="008C5729"/>
    <w:rsid w:val="008C5F3D"/>
    <w:rsid w:val="008C6285"/>
    <w:rsid w:val="008C6388"/>
    <w:rsid w:val="008C67D8"/>
    <w:rsid w:val="008C6842"/>
    <w:rsid w:val="008C6D28"/>
    <w:rsid w:val="008C7E44"/>
    <w:rsid w:val="008D059C"/>
    <w:rsid w:val="008D1041"/>
    <w:rsid w:val="008D16A2"/>
    <w:rsid w:val="008D1CEC"/>
    <w:rsid w:val="008D1F84"/>
    <w:rsid w:val="008D202C"/>
    <w:rsid w:val="008D24F4"/>
    <w:rsid w:val="008D4162"/>
    <w:rsid w:val="008D4292"/>
    <w:rsid w:val="008D4435"/>
    <w:rsid w:val="008D4437"/>
    <w:rsid w:val="008D4AAA"/>
    <w:rsid w:val="008D4B4C"/>
    <w:rsid w:val="008D7981"/>
    <w:rsid w:val="008D7AFE"/>
    <w:rsid w:val="008E01D0"/>
    <w:rsid w:val="008E0304"/>
    <w:rsid w:val="008E047E"/>
    <w:rsid w:val="008E0782"/>
    <w:rsid w:val="008E0A91"/>
    <w:rsid w:val="008E0F33"/>
    <w:rsid w:val="008E1203"/>
    <w:rsid w:val="008E22E7"/>
    <w:rsid w:val="008E264B"/>
    <w:rsid w:val="008E2AFD"/>
    <w:rsid w:val="008E2C7D"/>
    <w:rsid w:val="008E2F39"/>
    <w:rsid w:val="008E390C"/>
    <w:rsid w:val="008E3951"/>
    <w:rsid w:val="008E41E3"/>
    <w:rsid w:val="008E54DB"/>
    <w:rsid w:val="008E7143"/>
    <w:rsid w:val="008E7938"/>
    <w:rsid w:val="008E7EED"/>
    <w:rsid w:val="008F1D8C"/>
    <w:rsid w:val="008F1E7A"/>
    <w:rsid w:val="008F2F45"/>
    <w:rsid w:val="008F369B"/>
    <w:rsid w:val="008F3901"/>
    <w:rsid w:val="008F3F48"/>
    <w:rsid w:val="008F40B2"/>
    <w:rsid w:val="008F42D8"/>
    <w:rsid w:val="008F4F0F"/>
    <w:rsid w:val="008F6517"/>
    <w:rsid w:val="008F6678"/>
    <w:rsid w:val="008F6895"/>
    <w:rsid w:val="008F7791"/>
    <w:rsid w:val="008F7B05"/>
    <w:rsid w:val="008F7FE1"/>
    <w:rsid w:val="00900152"/>
    <w:rsid w:val="00900254"/>
    <w:rsid w:val="00900846"/>
    <w:rsid w:val="00900FB3"/>
    <w:rsid w:val="009017E5"/>
    <w:rsid w:val="00901F0A"/>
    <w:rsid w:val="009023CF"/>
    <w:rsid w:val="009035E7"/>
    <w:rsid w:val="00903954"/>
    <w:rsid w:val="009039F1"/>
    <w:rsid w:val="00904303"/>
    <w:rsid w:val="00904D9D"/>
    <w:rsid w:val="00905A85"/>
    <w:rsid w:val="00906ADA"/>
    <w:rsid w:val="0090736E"/>
    <w:rsid w:val="009076F9"/>
    <w:rsid w:val="00907DAB"/>
    <w:rsid w:val="00910326"/>
    <w:rsid w:val="009107C0"/>
    <w:rsid w:val="009109F4"/>
    <w:rsid w:val="0091142F"/>
    <w:rsid w:val="00911D58"/>
    <w:rsid w:val="0091255C"/>
    <w:rsid w:val="00912609"/>
    <w:rsid w:val="00912890"/>
    <w:rsid w:val="00912DF4"/>
    <w:rsid w:val="00913DE6"/>
    <w:rsid w:val="00914AD5"/>
    <w:rsid w:val="009157B1"/>
    <w:rsid w:val="009157C7"/>
    <w:rsid w:val="00915837"/>
    <w:rsid w:val="00915ADE"/>
    <w:rsid w:val="00915FE3"/>
    <w:rsid w:val="0091629D"/>
    <w:rsid w:val="0091730A"/>
    <w:rsid w:val="00917604"/>
    <w:rsid w:val="0091791B"/>
    <w:rsid w:val="00917C29"/>
    <w:rsid w:val="00917CB4"/>
    <w:rsid w:val="00917CD9"/>
    <w:rsid w:val="00920DD2"/>
    <w:rsid w:val="00921045"/>
    <w:rsid w:val="00921554"/>
    <w:rsid w:val="009219E7"/>
    <w:rsid w:val="00923239"/>
    <w:rsid w:val="00923A61"/>
    <w:rsid w:val="00924716"/>
    <w:rsid w:val="00924835"/>
    <w:rsid w:val="0092485A"/>
    <w:rsid w:val="009248CE"/>
    <w:rsid w:val="009248D8"/>
    <w:rsid w:val="0092504C"/>
    <w:rsid w:val="009256DA"/>
    <w:rsid w:val="009269A7"/>
    <w:rsid w:val="00930246"/>
    <w:rsid w:val="0093085C"/>
    <w:rsid w:val="009319BB"/>
    <w:rsid w:val="00931D2C"/>
    <w:rsid w:val="00931F9D"/>
    <w:rsid w:val="00932674"/>
    <w:rsid w:val="00932FC0"/>
    <w:rsid w:val="00935751"/>
    <w:rsid w:val="00935F0B"/>
    <w:rsid w:val="00936CFC"/>
    <w:rsid w:val="00937165"/>
    <w:rsid w:val="009372B8"/>
    <w:rsid w:val="0094028D"/>
    <w:rsid w:val="0094115D"/>
    <w:rsid w:val="009411A1"/>
    <w:rsid w:val="009411CF"/>
    <w:rsid w:val="0094166A"/>
    <w:rsid w:val="00941D74"/>
    <w:rsid w:val="00941DDA"/>
    <w:rsid w:val="00942BA0"/>
    <w:rsid w:val="009436A0"/>
    <w:rsid w:val="00944113"/>
    <w:rsid w:val="00944E88"/>
    <w:rsid w:val="009450BE"/>
    <w:rsid w:val="009455F3"/>
    <w:rsid w:val="00945BA8"/>
    <w:rsid w:val="009460D3"/>
    <w:rsid w:val="009471F9"/>
    <w:rsid w:val="00947979"/>
    <w:rsid w:val="009479E2"/>
    <w:rsid w:val="00947BAB"/>
    <w:rsid w:val="00950811"/>
    <w:rsid w:val="00950B7C"/>
    <w:rsid w:val="00950C03"/>
    <w:rsid w:val="00950CA2"/>
    <w:rsid w:val="00951019"/>
    <w:rsid w:val="00951E6F"/>
    <w:rsid w:val="00952365"/>
    <w:rsid w:val="0095318B"/>
    <w:rsid w:val="00953208"/>
    <w:rsid w:val="00953B11"/>
    <w:rsid w:val="0095409E"/>
    <w:rsid w:val="00955436"/>
    <w:rsid w:val="00957B20"/>
    <w:rsid w:val="00960628"/>
    <w:rsid w:val="00960726"/>
    <w:rsid w:val="00960813"/>
    <w:rsid w:val="009608A0"/>
    <w:rsid w:val="00960FD1"/>
    <w:rsid w:val="009617EA"/>
    <w:rsid w:val="00961A7B"/>
    <w:rsid w:val="00961E36"/>
    <w:rsid w:val="009625B1"/>
    <w:rsid w:val="00962693"/>
    <w:rsid w:val="00962757"/>
    <w:rsid w:val="00962F79"/>
    <w:rsid w:val="00963542"/>
    <w:rsid w:val="009648CF"/>
    <w:rsid w:val="00964A4E"/>
    <w:rsid w:val="00964C87"/>
    <w:rsid w:val="009657D1"/>
    <w:rsid w:val="0096591C"/>
    <w:rsid w:val="00965DAF"/>
    <w:rsid w:val="009665FE"/>
    <w:rsid w:val="009666F2"/>
    <w:rsid w:val="00966854"/>
    <w:rsid w:val="00966BB3"/>
    <w:rsid w:val="009678ED"/>
    <w:rsid w:val="00967AFD"/>
    <w:rsid w:val="00967E94"/>
    <w:rsid w:val="00967F9A"/>
    <w:rsid w:val="0097044C"/>
    <w:rsid w:val="00970BD9"/>
    <w:rsid w:val="0097157B"/>
    <w:rsid w:val="00971744"/>
    <w:rsid w:val="00971ACC"/>
    <w:rsid w:val="009731C9"/>
    <w:rsid w:val="00973259"/>
    <w:rsid w:val="009733C4"/>
    <w:rsid w:val="00973665"/>
    <w:rsid w:val="00973B20"/>
    <w:rsid w:val="00974237"/>
    <w:rsid w:val="009758CA"/>
    <w:rsid w:val="00975B2B"/>
    <w:rsid w:val="00975CCB"/>
    <w:rsid w:val="00976026"/>
    <w:rsid w:val="00981976"/>
    <w:rsid w:val="00981C65"/>
    <w:rsid w:val="0098297F"/>
    <w:rsid w:val="00982D56"/>
    <w:rsid w:val="00983B73"/>
    <w:rsid w:val="00984497"/>
    <w:rsid w:val="00984A08"/>
    <w:rsid w:val="00985A92"/>
    <w:rsid w:val="00985CD6"/>
    <w:rsid w:val="00986297"/>
    <w:rsid w:val="009873E6"/>
    <w:rsid w:val="009876BA"/>
    <w:rsid w:val="009901F5"/>
    <w:rsid w:val="0099039F"/>
    <w:rsid w:val="00990730"/>
    <w:rsid w:val="00990DF3"/>
    <w:rsid w:val="009919CB"/>
    <w:rsid w:val="009920EE"/>
    <w:rsid w:val="0099354E"/>
    <w:rsid w:val="00993605"/>
    <w:rsid w:val="00993803"/>
    <w:rsid w:val="009940B7"/>
    <w:rsid w:val="009947FE"/>
    <w:rsid w:val="00994E7A"/>
    <w:rsid w:val="00994E9C"/>
    <w:rsid w:val="00994F7A"/>
    <w:rsid w:val="009965B9"/>
    <w:rsid w:val="00996A3B"/>
    <w:rsid w:val="00996C34"/>
    <w:rsid w:val="009A029A"/>
    <w:rsid w:val="009A03BE"/>
    <w:rsid w:val="009A0AD2"/>
    <w:rsid w:val="009A2639"/>
    <w:rsid w:val="009A289F"/>
    <w:rsid w:val="009A2963"/>
    <w:rsid w:val="009A2A39"/>
    <w:rsid w:val="009A48BE"/>
    <w:rsid w:val="009A4939"/>
    <w:rsid w:val="009A5214"/>
    <w:rsid w:val="009A5516"/>
    <w:rsid w:val="009A580E"/>
    <w:rsid w:val="009A60D2"/>
    <w:rsid w:val="009A6140"/>
    <w:rsid w:val="009A61B1"/>
    <w:rsid w:val="009A7600"/>
    <w:rsid w:val="009B059E"/>
    <w:rsid w:val="009B0CFA"/>
    <w:rsid w:val="009B18C1"/>
    <w:rsid w:val="009B1DFC"/>
    <w:rsid w:val="009B40FD"/>
    <w:rsid w:val="009B4BF0"/>
    <w:rsid w:val="009B4F0E"/>
    <w:rsid w:val="009B4F77"/>
    <w:rsid w:val="009B55BF"/>
    <w:rsid w:val="009B63AF"/>
    <w:rsid w:val="009B6791"/>
    <w:rsid w:val="009B77B2"/>
    <w:rsid w:val="009C0198"/>
    <w:rsid w:val="009C0473"/>
    <w:rsid w:val="009C0589"/>
    <w:rsid w:val="009C1224"/>
    <w:rsid w:val="009C1316"/>
    <w:rsid w:val="009C19A4"/>
    <w:rsid w:val="009C2278"/>
    <w:rsid w:val="009C34DE"/>
    <w:rsid w:val="009C3C03"/>
    <w:rsid w:val="009C3E8A"/>
    <w:rsid w:val="009C403D"/>
    <w:rsid w:val="009C463A"/>
    <w:rsid w:val="009C5D66"/>
    <w:rsid w:val="009C6DC9"/>
    <w:rsid w:val="009C7288"/>
    <w:rsid w:val="009C76B2"/>
    <w:rsid w:val="009D058A"/>
    <w:rsid w:val="009D0D80"/>
    <w:rsid w:val="009D0F9C"/>
    <w:rsid w:val="009D1BED"/>
    <w:rsid w:val="009D1EAB"/>
    <w:rsid w:val="009D2280"/>
    <w:rsid w:val="009D25E3"/>
    <w:rsid w:val="009D2AB6"/>
    <w:rsid w:val="009D3CC8"/>
    <w:rsid w:val="009D5A5E"/>
    <w:rsid w:val="009D6183"/>
    <w:rsid w:val="009D7D2B"/>
    <w:rsid w:val="009E04A1"/>
    <w:rsid w:val="009E11AD"/>
    <w:rsid w:val="009E16AC"/>
    <w:rsid w:val="009E1779"/>
    <w:rsid w:val="009E1929"/>
    <w:rsid w:val="009E1B9A"/>
    <w:rsid w:val="009E2C87"/>
    <w:rsid w:val="009E3668"/>
    <w:rsid w:val="009E39A6"/>
    <w:rsid w:val="009E402A"/>
    <w:rsid w:val="009E4769"/>
    <w:rsid w:val="009E544D"/>
    <w:rsid w:val="009E5B1E"/>
    <w:rsid w:val="009E6233"/>
    <w:rsid w:val="009E63C1"/>
    <w:rsid w:val="009E69E5"/>
    <w:rsid w:val="009E764C"/>
    <w:rsid w:val="009E7857"/>
    <w:rsid w:val="009E7E7D"/>
    <w:rsid w:val="009F097B"/>
    <w:rsid w:val="009F0E73"/>
    <w:rsid w:val="009F1187"/>
    <w:rsid w:val="009F161D"/>
    <w:rsid w:val="009F1D86"/>
    <w:rsid w:val="009F27D9"/>
    <w:rsid w:val="009F28B5"/>
    <w:rsid w:val="009F2B31"/>
    <w:rsid w:val="009F3247"/>
    <w:rsid w:val="009F5B75"/>
    <w:rsid w:val="009F6364"/>
    <w:rsid w:val="009F6F3E"/>
    <w:rsid w:val="009F6F6A"/>
    <w:rsid w:val="009F7797"/>
    <w:rsid w:val="00A00A08"/>
    <w:rsid w:val="00A00DFD"/>
    <w:rsid w:val="00A00E59"/>
    <w:rsid w:val="00A022B1"/>
    <w:rsid w:val="00A02EF8"/>
    <w:rsid w:val="00A02F9C"/>
    <w:rsid w:val="00A038C0"/>
    <w:rsid w:val="00A03F13"/>
    <w:rsid w:val="00A04461"/>
    <w:rsid w:val="00A04885"/>
    <w:rsid w:val="00A04ABF"/>
    <w:rsid w:val="00A04F21"/>
    <w:rsid w:val="00A056E0"/>
    <w:rsid w:val="00A0637E"/>
    <w:rsid w:val="00A06532"/>
    <w:rsid w:val="00A0678B"/>
    <w:rsid w:val="00A07093"/>
    <w:rsid w:val="00A10381"/>
    <w:rsid w:val="00A125BB"/>
    <w:rsid w:val="00A12896"/>
    <w:rsid w:val="00A13F7C"/>
    <w:rsid w:val="00A1406D"/>
    <w:rsid w:val="00A1407B"/>
    <w:rsid w:val="00A14321"/>
    <w:rsid w:val="00A14EDD"/>
    <w:rsid w:val="00A15A16"/>
    <w:rsid w:val="00A1604E"/>
    <w:rsid w:val="00A1695F"/>
    <w:rsid w:val="00A16E26"/>
    <w:rsid w:val="00A210A9"/>
    <w:rsid w:val="00A21C09"/>
    <w:rsid w:val="00A2270B"/>
    <w:rsid w:val="00A2317C"/>
    <w:rsid w:val="00A23596"/>
    <w:rsid w:val="00A23D0B"/>
    <w:rsid w:val="00A24229"/>
    <w:rsid w:val="00A247BD"/>
    <w:rsid w:val="00A253DE"/>
    <w:rsid w:val="00A2596F"/>
    <w:rsid w:val="00A263DD"/>
    <w:rsid w:val="00A26461"/>
    <w:rsid w:val="00A265E8"/>
    <w:rsid w:val="00A277AD"/>
    <w:rsid w:val="00A279B3"/>
    <w:rsid w:val="00A31221"/>
    <w:rsid w:val="00A31BD1"/>
    <w:rsid w:val="00A31C33"/>
    <w:rsid w:val="00A31ECF"/>
    <w:rsid w:val="00A3431B"/>
    <w:rsid w:val="00A35442"/>
    <w:rsid w:val="00A35EF9"/>
    <w:rsid w:val="00A379E5"/>
    <w:rsid w:val="00A40915"/>
    <w:rsid w:val="00A4092C"/>
    <w:rsid w:val="00A40E8E"/>
    <w:rsid w:val="00A40F66"/>
    <w:rsid w:val="00A4117F"/>
    <w:rsid w:val="00A414A3"/>
    <w:rsid w:val="00A418BF"/>
    <w:rsid w:val="00A41919"/>
    <w:rsid w:val="00A41EA9"/>
    <w:rsid w:val="00A425DC"/>
    <w:rsid w:val="00A43515"/>
    <w:rsid w:val="00A437FA"/>
    <w:rsid w:val="00A43980"/>
    <w:rsid w:val="00A44142"/>
    <w:rsid w:val="00A44922"/>
    <w:rsid w:val="00A449F2"/>
    <w:rsid w:val="00A4552E"/>
    <w:rsid w:val="00A45CAD"/>
    <w:rsid w:val="00A4654D"/>
    <w:rsid w:val="00A46ABB"/>
    <w:rsid w:val="00A5013E"/>
    <w:rsid w:val="00A50B43"/>
    <w:rsid w:val="00A50EE7"/>
    <w:rsid w:val="00A50F2A"/>
    <w:rsid w:val="00A51763"/>
    <w:rsid w:val="00A5199A"/>
    <w:rsid w:val="00A51D2C"/>
    <w:rsid w:val="00A51D5B"/>
    <w:rsid w:val="00A52D2B"/>
    <w:rsid w:val="00A52D33"/>
    <w:rsid w:val="00A539A6"/>
    <w:rsid w:val="00A5421B"/>
    <w:rsid w:val="00A54F0A"/>
    <w:rsid w:val="00A55376"/>
    <w:rsid w:val="00A5625E"/>
    <w:rsid w:val="00A56AFD"/>
    <w:rsid w:val="00A57383"/>
    <w:rsid w:val="00A573F7"/>
    <w:rsid w:val="00A57767"/>
    <w:rsid w:val="00A6007A"/>
    <w:rsid w:val="00A60342"/>
    <w:rsid w:val="00A60C74"/>
    <w:rsid w:val="00A61146"/>
    <w:rsid w:val="00A6121C"/>
    <w:rsid w:val="00A6182F"/>
    <w:rsid w:val="00A61D3B"/>
    <w:rsid w:val="00A63784"/>
    <w:rsid w:val="00A64B69"/>
    <w:rsid w:val="00A64D11"/>
    <w:rsid w:val="00A6509F"/>
    <w:rsid w:val="00A658E6"/>
    <w:rsid w:val="00A6646A"/>
    <w:rsid w:val="00A66FCD"/>
    <w:rsid w:val="00A67616"/>
    <w:rsid w:val="00A6787F"/>
    <w:rsid w:val="00A70814"/>
    <w:rsid w:val="00A70C0D"/>
    <w:rsid w:val="00A71447"/>
    <w:rsid w:val="00A71C9C"/>
    <w:rsid w:val="00A71FD6"/>
    <w:rsid w:val="00A72714"/>
    <w:rsid w:val="00A72C4D"/>
    <w:rsid w:val="00A735A1"/>
    <w:rsid w:val="00A735E3"/>
    <w:rsid w:val="00A73BE6"/>
    <w:rsid w:val="00A74143"/>
    <w:rsid w:val="00A74280"/>
    <w:rsid w:val="00A742E8"/>
    <w:rsid w:val="00A746E3"/>
    <w:rsid w:val="00A7522D"/>
    <w:rsid w:val="00A75A32"/>
    <w:rsid w:val="00A75AFA"/>
    <w:rsid w:val="00A75FA9"/>
    <w:rsid w:val="00A762CB"/>
    <w:rsid w:val="00A762E7"/>
    <w:rsid w:val="00A768A0"/>
    <w:rsid w:val="00A76B77"/>
    <w:rsid w:val="00A76DAA"/>
    <w:rsid w:val="00A7717A"/>
    <w:rsid w:val="00A771FB"/>
    <w:rsid w:val="00A77357"/>
    <w:rsid w:val="00A77CCB"/>
    <w:rsid w:val="00A8021C"/>
    <w:rsid w:val="00A80256"/>
    <w:rsid w:val="00A81818"/>
    <w:rsid w:val="00A81F7F"/>
    <w:rsid w:val="00A8211D"/>
    <w:rsid w:val="00A82C3C"/>
    <w:rsid w:val="00A8302C"/>
    <w:rsid w:val="00A83BF1"/>
    <w:rsid w:val="00A84D71"/>
    <w:rsid w:val="00A84DAD"/>
    <w:rsid w:val="00A854E5"/>
    <w:rsid w:val="00A85DAB"/>
    <w:rsid w:val="00A85E88"/>
    <w:rsid w:val="00A8608A"/>
    <w:rsid w:val="00A86B72"/>
    <w:rsid w:val="00A86E60"/>
    <w:rsid w:val="00A8795E"/>
    <w:rsid w:val="00A87AB9"/>
    <w:rsid w:val="00A906D9"/>
    <w:rsid w:val="00A90DE9"/>
    <w:rsid w:val="00A9204F"/>
    <w:rsid w:val="00A923D6"/>
    <w:rsid w:val="00A924B9"/>
    <w:rsid w:val="00A927DD"/>
    <w:rsid w:val="00A92B3B"/>
    <w:rsid w:val="00A93370"/>
    <w:rsid w:val="00A93868"/>
    <w:rsid w:val="00A938A7"/>
    <w:rsid w:val="00A94EC5"/>
    <w:rsid w:val="00A958EE"/>
    <w:rsid w:val="00A95A7D"/>
    <w:rsid w:val="00A95CB9"/>
    <w:rsid w:val="00A95DFF"/>
    <w:rsid w:val="00A96187"/>
    <w:rsid w:val="00A96485"/>
    <w:rsid w:val="00A97020"/>
    <w:rsid w:val="00A976A4"/>
    <w:rsid w:val="00A979F9"/>
    <w:rsid w:val="00AA0431"/>
    <w:rsid w:val="00AA0494"/>
    <w:rsid w:val="00AA1465"/>
    <w:rsid w:val="00AA1593"/>
    <w:rsid w:val="00AA15CD"/>
    <w:rsid w:val="00AA21F5"/>
    <w:rsid w:val="00AA3621"/>
    <w:rsid w:val="00AA4181"/>
    <w:rsid w:val="00AA42C1"/>
    <w:rsid w:val="00AA4319"/>
    <w:rsid w:val="00AA43DE"/>
    <w:rsid w:val="00AA4C8B"/>
    <w:rsid w:val="00AA4F07"/>
    <w:rsid w:val="00AA6A5C"/>
    <w:rsid w:val="00AB010F"/>
    <w:rsid w:val="00AB12D5"/>
    <w:rsid w:val="00AB2A12"/>
    <w:rsid w:val="00AB2C60"/>
    <w:rsid w:val="00AB316D"/>
    <w:rsid w:val="00AB321C"/>
    <w:rsid w:val="00AB3363"/>
    <w:rsid w:val="00AB427B"/>
    <w:rsid w:val="00AB42AA"/>
    <w:rsid w:val="00AB4750"/>
    <w:rsid w:val="00AB6474"/>
    <w:rsid w:val="00AB75D5"/>
    <w:rsid w:val="00AC0334"/>
    <w:rsid w:val="00AC0708"/>
    <w:rsid w:val="00AC13EF"/>
    <w:rsid w:val="00AC1AE2"/>
    <w:rsid w:val="00AC2461"/>
    <w:rsid w:val="00AC3890"/>
    <w:rsid w:val="00AC490D"/>
    <w:rsid w:val="00AC4CCB"/>
    <w:rsid w:val="00AC5B6A"/>
    <w:rsid w:val="00AC6374"/>
    <w:rsid w:val="00AC79C9"/>
    <w:rsid w:val="00AD092F"/>
    <w:rsid w:val="00AD0968"/>
    <w:rsid w:val="00AD0EA8"/>
    <w:rsid w:val="00AD13D4"/>
    <w:rsid w:val="00AD1E94"/>
    <w:rsid w:val="00AD2510"/>
    <w:rsid w:val="00AD2945"/>
    <w:rsid w:val="00AD3889"/>
    <w:rsid w:val="00AD38C8"/>
    <w:rsid w:val="00AD4F0C"/>
    <w:rsid w:val="00AD588A"/>
    <w:rsid w:val="00AD5A71"/>
    <w:rsid w:val="00AD6046"/>
    <w:rsid w:val="00AD6AA5"/>
    <w:rsid w:val="00AD6F0A"/>
    <w:rsid w:val="00AD7D01"/>
    <w:rsid w:val="00AE049E"/>
    <w:rsid w:val="00AE0636"/>
    <w:rsid w:val="00AE0D21"/>
    <w:rsid w:val="00AE131E"/>
    <w:rsid w:val="00AE143D"/>
    <w:rsid w:val="00AE1831"/>
    <w:rsid w:val="00AE2CBC"/>
    <w:rsid w:val="00AE4244"/>
    <w:rsid w:val="00AE4703"/>
    <w:rsid w:val="00AE5526"/>
    <w:rsid w:val="00AE56A7"/>
    <w:rsid w:val="00AE5FCA"/>
    <w:rsid w:val="00AE6D40"/>
    <w:rsid w:val="00AE7A55"/>
    <w:rsid w:val="00AF0329"/>
    <w:rsid w:val="00AF1370"/>
    <w:rsid w:val="00AF1A8C"/>
    <w:rsid w:val="00AF1EF3"/>
    <w:rsid w:val="00AF24FE"/>
    <w:rsid w:val="00AF27D0"/>
    <w:rsid w:val="00AF2D67"/>
    <w:rsid w:val="00AF3017"/>
    <w:rsid w:val="00AF35A8"/>
    <w:rsid w:val="00AF4AFC"/>
    <w:rsid w:val="00AF5CCC"/>
    <w:rsid w:val="00AF5CEF"/>
    <w:rsid w:val="00AF6134"/>
    <w:rsid w:val="00AF6473"/>
    <w:rsid w:val="00AF683D"/>
    <w:rsid w:val="00AF7031"/>
    <w:rsid w:val="00AF70AB"/>
    <w:rsid w:val="00AF76C6"/>
    <w:rsid w:val="00AF7BA9"/>
    <w:rsid w:val="00B0022E"/>
    <w:rsid w:val="00B00392"/>
    <w:rsid w:val="00B00A0E"/>
    <w:rsid w:val="00B011DC"/>
    <w:rsid w:val="00B01ED0"/>
    <w:rsid w:val="00B01FD2"/>
    <w:rsid w:val="00B021D2"/>
    <w:rsid w:val="00B02463"/>
    <w:rsid w:val="00B02A12"/>
    <w:rsid w:val="00B02E65"/>
    <w:rsid w:val="00B0315E"/>
    <w:rsid w:val="00B03621"/>
    <w:rsid w:val="00B04C49"/>
    <w:rsid w:val="00B05609"/>
    <w:rsid w:val="00B05765"/>
    <w:rsid w:val="00B05CB9"/>
    <w:rsid w:val="00B06A9C"/>
    <w:rsid w:val="00B0707B"/>
    <w:rsid w:val="00B0772F"/>
    <w:rsid w:val="00B07B97"/>
    <w:rsid w:val="00B07E16"/>
    <w:rsid w:val="00B07E6C"/>
    <w:rsid w:val="00B10F3A"/>
    <w:rsid w:val="00B116FE"/>
    <w:rsid w:val="00B11B31"/>
    <w:rsid w:val="00B11DD9"/>
    <w:rsid w:val="00B11E51"/>
    <w:rsid w:val="00B11FC0"/>
    <w:rsid w:val="00B122AD"/>
    <w:rsid w:val="00B122C9"/>
    <w:rsid w:val="00B1349D"/>
    <w:rsid w:val="00B135B4"/>
    <w:rsid w:val="00B143FA"/>
    <w:rsid w:val="00B149F6"/>
    <w:rsid w:val="00B150E6"/>
    <w:rsid w:val="00B1550D"/>
    <w:rsid w:val="00B16D9A"/>
    <w:rsid w:val="00B17A5D"/>
    <w:rsid w:val="00B17BF3"/>
    <w:rsid w:val="00B17EAC"/>
    <w:rsid w:val="00B20578"/>
    <w:rsid w:val="00B2082C"/>
    <w:rsid w:val="00B20B9E"/>
    <w:rsid w:val="00B212C0"/>
    <w:rsid w:val="00B21B42"/>
    <w:rsid w:val="00B21DE5"/>
    <w:rsid w:val="00B22A6F"/>
    <w:rsid w:val="00B238B5"/>
    <w:rsid w:val="00B24017"/>
    <w:rsid w:val="00B241B1"/>
    <w:rsid w:val="00B24710"/>
    <w:rsid w:val="00B24878"/>
    <w:rsid w:val="00B24A69"/>
    <w:rsid w:val="00B25606"/>
    <w:rsid w:val="00B257E8"/>
    <w:rsid w:val="00B258F4"/>
    <w:rsid w:val="00B259DB"/>
    <w:rsid w:val="00B26957"/>
    <w:rsid w:val="00B269C6"/>
    <w:rsid w:val="00B269FD"/>
    <w:rsid w:val="00B26A42"/>
    <w:rsid w:val="00B300CE"/>
    <w:rsid w:val="00B302BA"/>
    <w:rsid w:val="00B304B4"/>
    <w:rsid w:val="00B315DE"/>
    <w:rsid w:val="00B31DA9"/>
    <w:rsid w:val="00B32570"/>
    <w:rsid w:val="00B334C6"/>
    <w:rsid w:val="00B33F26"/>
    <w:rsid w:val="00B3462A"/>
    <w:rsid w:val="00B358BE"/>
    <w:rsid w:val="00B36596"/>
    <w:rsid w:val="00B36B95"/>
    <w:rsid w:val="00B36D8D"/>
    <w:rsid w:val="00B3729A"/>
    <w:rsid w:val="00B379F8"/>
    <w:rsid w:val="00B400B0"/>
    <w:rsid w:val="00B40666"/>
    <w:rsid w:val="00B40981"/>
    <w:rsid w:val="00B4103C"/>
    <w:rsid w:val="00B416FD"/>
    <w:rsid w:val="00B41952"/>
    <w:rsid w:val="00B42124"/>
    <w:rsid w:val="00B431A6"/>
    <w:rsid w:val="00B43331"/>
    <w:rsid w:val="00B436E9"/>
    <w:rsid w:val="00B439EE"/>
    <w:rsid w:val="00B440C7"/>
    <w:rsid w:val="00B4445A"/>
    <w:rsid w:val="00B451EB"/>
    <w:rsid w:val="00B45EB0"/>
    <w:rsid w:val="00B4655D"/>
    <w:rsid w:val="00B46AAA"/>
    <w:rsid w:val="00B46BD6"/>
    <w:rsid w:val="00B46D7A"/>
    <w:rsid w:val="00B47197"/>
    <w:rsid w:val="00B472FD"/>
    <w:rsid w:val="00B473E6"/>
    <w:rsid w:val="00B47685"/>
    <w:rsid w:val="00B47D6B"/>
    <w:rsid w:val="00B504FF"/>
    <w:rsid w:val="00B514EF"/>
    <w:rsid w:val="00B51B9C"/>
    <w:rsid w:val="00B51F8D"/>
    <w:rsid w:val="00B52187"/>
    <w:rsid w:val="00B52534"/>
    <w:rsid w:val="00B52632"/>
    <w:rsid w:val="00B52B08"/>
    <w:rsid w:val="00B53E32"/>
    <w:rsid w:val="00B550A2"/>
    <w:rsid w:val="00B555BD"/>
    <w:rsid w:val="00B5579A"/>
    <w:rsid w:val="00B56015"/>
    <w:rsid w:val="00B56C88"/>
    <w:rsid w:val="00B604B7"/>
    <w:rsid w:val="00B60757"/>
    <w:rsid w:val="00B60B8D"/>
    <w:rsid w:val="00B60FF1"/>
    <w:rsid w:val="00B61102"/>
    <w:rsid w:val="00B61897"/>
    <w:rsid w:val="00B61CE1"/>
    <w:rsid w:val="00B620AB"/>
    <w:rsid w:val="00B63C07"/>
    <w:rsid w:val="00B63FB2"/>
    <w:rsid w:val="00B64071"/>
    <w:rsid w:val="00B64E07"/>
    <w:rsid w:val="00B653DD"/>
    <w:rsid w:val="00B6699F"/>
    <w:rsid w:val="00B67A3C"/>
    <w:rsid w:val="00B701D7"/>
    <w:rsid w:val="00B70871"/>
    <w:rsid w:val="00B71017"/>
    <w:rsid w:val="00B712D2"/>
    <w:rsid w:val="00B721CA"/>
    <w:rsid w:val="00B721F7"/>
    <w:rsid w:val="00B7221F"/>
    <w:rsid w:val="00B725DE"/>
    <w:rsid w:val="00B72A35"/>
    <w:rsid w:val="00B73198"/>
    <w:rsid w:val="00B7377B"/>
    <w:rsid w:val="00B73D88"/>
    <w:rsid w:val="00B73FF5"/>
    <w:rsid w:val="00B74A24"/>
    <w:rsid w:val="00B750AE"/>
    <w:rsid w:val="00B751F8"/>
    <w:rsid w:val="00B75605"/>
    <w:rsid w:val="00B768DF"/>
    <w:rsid w:val="00B805FB"/>
    <w:rsid w:val="00B80C34"/>
    <w:rsid w:val="00B8194F"/>
    <w:rsid w:val="00B819A2"/>
    <w:rsid w:val="00B81F14"/>
    <w:rsid w:val="00B82789"/>
    <w:rsid w:val="00B82F99"/>
    <w:rsid w:val="00B835CD"/>
    <w:rsid w:val="00B83E25"/>
    <w:rsid w:val="00B8464F"/>
    <w:rsid w:val="00B84A4F"/>
    <w:rsid w:val="00B84B2E"/>
    <w:rsid w:val="00B851C8"/>
    <w:rsid w:val="00B85348"/>
    <w:rsid w:val="00B8584D"/>
    <w:rsid w:val="00B85BDF"/>
    <w:rsid w:val="00B8605C"/>
    <w:rsid w:val="00B86104"/>
    <w:rsid w:val="00B86252"/>
    <w:rsid w:val="00B86E44"/>
    <w:rsid w:val="00B878F3"/>
    <w:rsid w:val="00B90EA5"/>
    <w:rsid w:val="00B911B7"/>
    <w:rsid w:val="00B91209"/>
    <w:rsid w:val="00B915CE"/>
    <w:rsid w:val="00B92910"/>
    <w:rsid w:val="00B92BDD"/>
    <w:rsid w:val="00B93929"/>
    <w:rsid w:val="00B93ABD"/>
    <w:rsid w:val="00B940CA"/>
    <w:rsid w:val="00B95E0B"/>
    <w:rsid w:val="00B96B59"/>
    <w:rsid w:val="00B96D32"/>
    <w:rsid w:val="00B97054"/>
    <w:rsid w:val="00B97349"/>
    <w:rsid w:val="00B97F8B"/>
    <w:rsid w:val="00B97FBE"/>
    <w:rsid w:val="00BA056E"/>
    <w:rsid w:val="00BA0643"/>
    <w:rsid w:val="00BA0FAA"/>
    <w:rsid w:val="00BA1D72"/>
    <w:rsid w:val="00BA2435"/>
    <w:rsid w:val="00BA2B5C"/>
    <w:rsid w:val="00BA329B"/>
    <w:rsid w:val="00BA3768"/>
    <w:rsid w:val="00BA3AAA"/>
    <w:rsid w:val="00BA3F14"/>
    <w:rsid w:val="00BA606A"/>
    <w:rsid w:val="00BA63FE"/>
    <w:rsid w:val="00BA65BE"/>
    <w:rsid w:val="00BB0368"/>
    <w:rsid w:val="00BB04B4"/>
    <w:rsid w:val="00BB16AD"/>
    <w:rsid w:val="00BB190A"/>
    <w:rsid w:val="00BB1F20"/>
    <w:rsid w:val="00BB2C38"/>
    <w:rsid w:val="00BB395B"/>
    <w:rsid w:val="00BB50E8"/>
    <w:rsid w:val="00BB5DD6"/>
    <w:rsid w:val="00BB72E2"/>
    <w:rsid w:val="00BB7946"/>
    <w:rsid w:val="00BB79DE"/>
    <w:rsid w:val="00BB7C0D"/>
    <w:rsid w:val="00BC04E0"/>
    <w:rsid w:val="00BC06BA"/>
    <w:rsid w:val="00BC070D"/>
    <w:rsid w:val="00BC0FF0"/>
    <w:rsid w:val="00BC10F6"/>
    <w:rsid w:val="00BC13EB"/>
    <w:rsid w:val="00BC1591"/>
    <w:rsid w:val="00BC1604"/>
    <w:rsid w:val="00BC19C1"/>
    <w:rsid w:val="00BC1E4D"/>
    <w:rsid w:val="00BC2859"/>
    <w:rsid w:val="00BC2CF3"/>
    <w:rsid w:val="00BC2D73"/>
    <w:rsid w:val="00BC358A"/>
    <w:rsid w:val="00BC5C8C"/>
    <w:rsid w:val="00BC6BA1"/>
    <w:rsid w:val="00BC7940"/>
    <w:rsid w:val="00BC7D5C"/>
    <w:rsid w:val="00BD0399"/>
    <w:rsid w:val="00BD03A8"/>
    <w:rsid w:val="00BD075A"/>
    <w:rsid w:val="00BD0EB6"/>
    <w:rsid w:val="00BD17BA"/>
    <w:rsid w:val="00BD2AEF"/>
    <w:rsid w:val="00BD49A5"/>
    <w:rsid w:val="00BD4B96"/>
    <w:rsid w:val="00BD51E7"/>
    <w:rsid w:val="00BD5560"/>
    <w:rsid w:val="00BD556C"/>
    <w:rsid w:val="00BD5DD9"/>
    <w:rsid w:val="00BD71A7"/>
    <w:rsid w:val="00BD7263"/>
    <w:rsid w:val="00BD7FC8"/>
    <w:rsid w:val="00BE06B8"/>
    <w:rsid w:val="00BE0700"/>
    <w:rsid w:val="00BE0709"/>
    <w:rsid w:val="00BE103A"/>
    <w:rsid w:val="00BE1BAD"/>
    <w:rsid w:val="00BE1D4B"/>
    <w:rsid w:val="00BE2153"/>
    <w:rsid w:val="00BE238D"/>
    <w:rsid w:val="00BE3EB1"/>
    <w:rsid w:val="00BE41EA"/>
    <w:rsid w:val="00BE5288"/>
    <w:rsid w:val="00BE53FA"/>
    <w:rsid w:val="00BE594B"/>
    <w:rsid w:val="00BE59C7"/>
    <w:rsid w:val="00BE6158"/>
    <w:rsid w:val="00BE6D5D"/>
    <w:rsid w:val="00BE74C9"/>
    <w:rsid w:val="00BE76F7"/>
    <w:rsid w:val="00BE7A61"/>
    <w:rsid w:val="00BF017A"/>
    <w:rsid w:val="00BF0A70"/>
    <w:rsid w:val="00BF0B47"/>
    <w:rsid w:val="00BF0EB7"/>
    <w:rsid w:val="00BF2B15"/>
    <w:rsid w:val="00BF2DA9"/>
    <w:rsid w:val="00BF38A6"/>
    <w:rsid w:val="00BF3D6B"/>
    <w:rsid w:val="00BF48AA"/>
    <w:rsid w:val="00BF4C85"/>
    <w:rsid w:val="00BF545C"/>
    <w:rsid w:val="00BF618F"/>
    <w:rsid w:val="00BF7AAE"/>
    <w:rsid w:val="00BF7ABC"/>
    <w:rsid w:val="00BF7C61"/>
    <w:rsid w:val="00C002C2"/>
    <w:rsid w:val="00C02843"/>
    <w:rsid w:val="00C0299E"/>
    <w:rsid w:val="00C02BC4"/>
    <w:rsid w:val="00C02F1B"/>
    <w:rsid w:val="00C0332D"/>
    <w:rsid w:val="00C03D52"/>
    <w:rsid w:val="00C044EA"/>
    <w:rsid w:val="00C04FAB"/>
    <w:rsid w:val="00C0540A"/>
    <w:rsid w:val="00C0610D"/>
    <w:rsid w:val="00C067E3"/>
    <w:rsid w:val="00C07776"/>
    <w:rsid w:val="00C12402"/>
    <w:rsid w:val="00C12F28"/>
    <w:rsid w:val="00C13238"/>
    <w:rsid w:val="00C13631"/>
    <w:rsid w:val="00C1497D"/>
    <w:rsid w:val="00C14ACF"/>
    <w:rsid w:val="00C150AE"/>
    <w:rsid w:val="00C156D0"/>
    <w:rsid w:val="00C17AB1"/>
    <w:rsid w:val="00C20AFC"/>
    <w:rsid w:val="00C21FD3"/>
    <w:rsid w:val="00C221F6"/>
    <w:rsid w:val="00C224D4"/>
    <w:rsid w:val="00C231D1"/>
    <w:rsid w:val="00C23224"/>
    <w:rsid w:val="00C24185"/>
    <w:rsid w:val="00C24504"/>
    <w:rsid w:val="00C25048"/>
    <w:rsid w:val="00C25113"/>
    <w:rsid w:val="00C26B20"/>
    <w:rsid w:val="00C26F87"/>
    <w:rsid w:val="00C27050"/>
    <w:rsid w:val="00C271AB"/>
    <w:rsid w:val="00C273F9"/>
    <w:rsid w:val="00C274D5"/>
    <w:rsid w:val="00C27737"/>
    <w:rsid w:val="00C3079B"/>
    <w:rsid w:val="00C30F19"/>
    <w:rsid w:val="00C311B9"/>
    <w:rsid w:val="00C31F83"/>
    <w:rsid w:val="00C32105"/>
    <w:rsid w:val="00C32171"/>
    <w:rsid w:val="00C32407"/>
    <w:rsid w:val="00C326BB"/>
    <w:rsid w:val="00C32C85"/>
    <w:rsid w:val="00C32F82"/>
    <w:rsid w:val="00C33FD6"/>
    <w:rsid w:val="00C3412A"/>
    <w:rsid w:val="00C342A1"/>
    <w:rsid w:val="00C3551A"/>
    <w:rsid w:val="00C3572C"/>
    <w:rsid w:val="00C35D1D"/>
    <w:rsid w:val="00C37B2B"/>
    <w:rsid w:val="00C40A49"/>
    <w:rsid w:val="00C40D83"/>
    <w:rsid w:val="00C40DD7"/>
    <w:rsid w:val="00C4194D"/>
    <w:rsid w:val="00C41A80"/>
    <w:rsid w:val="00C41B3F"/>
    <w:rsid w:val="00C41B84"/>
    <w:rsid w:val="00C420F5"/>
    <w:rsid w:val="00C422BA"/>
    <w:rsid w:val="00C42479"/>
    <w:rsid w:val="00C42924"/>
    <w:rsid w:val="00C42AF5"/>
    <w:rsid w:val="00C42FAF"/>
    <w:rsid w:val="00C4435E"/>
    <w:rsid w:val="00C4582D"/>
    <w:rsid w:val="00C466EB"/>
    <w:rsid w:val="00C46AA9"/>
    <w:rsid w:val="00C46B9D"/>
    <w:rsid w:val="00C50B07"/>
    <w:rsid w:val="00C50E34"/>
    <w:rsid w:val="00C51032"/>
    <w:rsid w:val="00C52DEA"/>
    <w:rsid w:val="00C53AEE"/>
    <w:rsid w:val="00C53BC0"/>
    <w:rsid w:val="00C54062"/>
    <w:rsid w:val="00C554A4"/>
    <w:rsid w:val="00C559DF"/>
    <w:rsid w:val="00C55F65"/>
    <w:rsid w:val="00C56174"/>
    <w:rsid w:val="00C562EA"/>
    <w:rsid w:val="00C56436"/>
    <w:rsid w:val="00C568B4"/>
    <w:rsid w:val="00C569A0"/>
    <w:rsid w:val="00C56A58"/>
    <w:rsid w:val="00C56B7B"/>
    <w:rsid w:val="00C57385"/>
    <w:rsid w:val="00C5794C"/>
    <w:rsid w:val="00C6005C"/>
    <w:rsid w:val="00C601D1"/>
    <w:rsid w:val="00C60265"/>
    <w:rsid w:val="00C6196A"/>
    <w:rsid w:val="00C61CDC"/>
    <w:rsid w:val="00C632BB"/>
    <w:rsid w:val="00C634D9"/>
    <w:rsid w:val="00C63AE0"/>
    <w:rsid w:val="00C64509"/>
    <w:rsid w:val="00C64894"/>
    <w:rsid w:val="00C648A5"/>
    <w:rsid w:val="00C649AB"/>
    <w:rsid w:val="00C64F33"/>
    <w:rsid w:val="00C660EE"/>
    <w:rsid w:val="00C673C3"/>
    <w:rsid w:val="00C67A41"/>
    <w:rsid w:val="00C67C08"/>
    <w:rsid w:val="00C7007E"/>
    <w:rsid w:val="00C703B9"/>
    <w:rsid w:val="00C70A6C"/>
    <w:rsid w:val="00C720C1"/>
    <w:rsid w:val="00C72B12"/>
    <w:rsid w:val="00C7344E"/>
    <w:rsid w:val="00C7577F"/>
    <w:rsid w:val="00C759D5"/>
    <w:rsid w:val="00C766E3"/>
    <w:rsid w:val="00C76CC8"/>
    <w:rsid w:val="00C770E1"/>
    <w:rsid w:val="00C778D7"/>
    <w:rsid w:val="00C77C78"/>
    <w:rsid w:val="00C81112"/>
    <w:rsid w:val="00C82606"/>
    <w:rsid w:val="00C827DF"/>
    <w:rsid w:val="00C82888"/>
    <w:rsid w:val="00C82D4A"/>
    <w:rsid w:val="00C83469"/>
    <w:rsid w:val="00C83E20"/>
    <w:rsid w:val="00C83F27"/>
    <w:rsid w:val="00C842D6"/>
    <w:rsid w:val="00C84853"/>
    <w:rsid w:val="00C84FD1"/>
    <w:rsid w:val="00C8562D"/>
    <w:rsid w:val="00C868D0"/>
    <w:rsid w:val="00C86A11"/>
    <w:rsid w:val="00C86C38"/>
    <w:rsid w:val="00C87229"/>
    <w:rsid w:val="00C87548"/>
    <w:rsid w:val="00C87DC7"/>
    <w:rsid w:val="00C87F1F"/>
    <w:rsid w:val="00C905DD"/>
    <w:rsid w:val="00C915F0"/>
    <w:rsid w:val="00C91DA1"/>
    <w:rsid w:val="00C926F6"/>
    <w:rsid w:val="00C92797"/>
    <w:rsid w:val="00C92B08"/>
    <w:rsid w:val="00C92EAB"/>
    <w:rsid w:val="00C92FCF"/>
    <w:rsid w:val="00C94226"/>
    <w:rsid w:val="00C94611"/>
    <w:rsid w:val="00C95816"/>
    <w:rsid w:val="00C97139"/>
    <w:rsid w:val="00C97189"/>
    <w:rsid w:val="00CA0904"/>
    <w:rsid w:val="00CA0BBD"/>
    <w:rsid w:val="00CA1BF9"/>
    <w:rsid w:val="00CA2646"/>
    <w:rsid w:val="00CA2A4C"/>
    <w:rsid w:val="00CA3BF4"/>
    <w:rsid w:val="00CA3DE3"/>
    <w:rsid w:val="00CA53D5"/>
    <w:rsid w:val="00CA5516"/>
    <w:rsid w:val="00CA5582"/>
    <w:rsid w:val="00CA5FCA"/>
    <w:rsid w:val="00CA6021"/>
    <w:rsid w:val="00CA64DB"/>
    <w:rsid w:val="00CA7695"/>
    <w:rsid w:val="00CA7818"/>
    <w:rsid w:val="00CA7C46"/>
    <w:rsid w:val="00CB06D0"/>
    <w:rsid w:val="00CB0809"/>
    <w:rsid w:val="00CB0AE3"/>
    <w:rsid w:val="00CB0C4B"/>
    <w:rsid w:val="00CB1B86"/>
    <w:rsid w:val="00CB2980"/>
    <w:rsid w:val="00CB3664"/>
    <w:rsid w:val="00CB38FC"/>
    <w:rsid w:val="00CB4071"/>
    <w:rsid w:val="00CB4256"/>
    <w:rsid w:val="00CB43FC"/>
    <w:rsid w:val="00CB4A2F"/>
    <w:rsid w:val="00CB517D"/>
    <w:rsid w:val="00CB5B54"/>
    <w:rsid w:val="00CB691B"/>
    <w:rsid w:val="00CB6C94"/>
    <w:rsid w:val="00CB78B6"/>
    <w:rsid w:val="00CB7913"/>
    <w:rsid w:val="00CC0073"/>
    <w:rsid w:val="00CC0C3B"/>
    <w:rsid w:val="00CC0DE7"/>
    <w:rsid w:val="00CC11B7"/>
    <w:rsid w:val="00CC1D74"/>
    <w:rsid w:val="00CC20C4"/>
    <w:rsid w:val="00CC2336"/>
    <w:rsid w:val="00CC2F12"/>
    <w:rsid w:val="00CC3036"/>
    <w:rsid w:val="00CC318B"/>
    <w:rsid w:val="00CC39A0"/>
    <w:rsid w:val="00CC39F9"/>
    <w:rsid w:val="00CC4349"/>
    <w:rsid w:val="00CC4685"/>
    <w:rsid w:val="00CC472E"/>
    <w:rsid w:val="00CC488F"/>
    <w:rsid w:val="00CC5F4B"/>
    <w:rsid w:val="00CC62BF"/>
    <w:rsid w:val="00CC6549"/>
    <w:rsid w:val="00CC6AF0"/>
    <w:rsid w:val="00CC6D4E"/>
    <w:rsid w:val="00CC6FEE"/>
    <w:rsid w:val="00CC7230"/>
    <w:rsid w:val="00CC76DF"/>
    <w:rsid w:val="00CD02F5"/>
    <w:rsid w:val="00CD17C8"/>
    <w:rsid w:val="00CD1AB5"/>
    <w:rsid w:val="00CD1AC0"/>
    <w:rsid w:val="00CD1FB1"/>
    <w:rsid w:val="00CD253C"/>
    <w:rsid w:val="00CD2693"/>
    <w:rsid w:val="00CD4622"/>
    <w:rsid w:val="00CD4B08"/>
    <w:rsid w:val="00CD5270"/>
    <w:rsid w:val="00CD549D"/>
    <w:rsid w:val="00CD55CB"/>
    <w:rsid w:val="00CD61A7"/>
    <w:rsid w:val="00CD636F"/>
    <w:rsid w:val="00CD6E7B"/>
    <w:rsid w:val="00CD742C"/>
    <w:rsid w:val="00CD7644"/>
    <w:rsid w:val="00CD7B62"/>
    <w:rsid w:val="00CD7C8B"/>
    <w:rsid w:val="00CD7CE3"/>
    <w:rsid w:val="00CE2D05"/>
    <w:rsid w:val="00CE3245"/>
    <w:rsid w:val="00CE32D4"/>
    <w:rsid w:val="00CE3353"/>
    <w:rsid w:val="00CE36CA"/>
    <w:rsid w:val="00CE3FC2"/>
    <w:rsid w:val="00CE43F2"/>
    <w:rsid w:val="00CE4C78"/>
    <w:rsid w:val="00CE4EEF"/>
    <w:rsid w:val="00CE5562"/>
    <w:rsid w:val="00CE55EF"/>
    <w:rsid w:val="00CE5D55"/>
    <w:rsid w:val="00CE601E"/>
    <w:rsid w:val="00CE6106"/>
    <w:rsid w:val="00CE612A"/>
    <w:rsid w:val="00CE61AB"/>
    <w:rsid w:val="00CE6302"/>
    <w:rsid w:val="00CE72EC"/>
    <w:rsid w:val="00CE73DD"/>
    <w:rsid w:val="00CE7888"/>
    <w:rsid w:val="00CE7A02"/>
    <w:rsid w:val="00CF0FE5"/>
    <w:rsid w:val="00CF13ED"/>
    <w:rsid w:val="00CF15B2"/>
    <w:rsid w:val="00CF172B"/>
    <w:rsid w:val="00CF1A02"/>
    <w:rsid w:val="00CF2C60"/>
    <w:rsid w:val="00CF2D9A"/>
    <w:rsid w:val="00CF31BB"/>
    <w:rsid w:val="00CF3E75"/>
    <w:rsid w:val="00CF3EEE"/>
    <w:rsid w:val="00CF6109"/>
    <w:rsid w:val="00CF6C42"/>
    <w:rsid w:val="00CF6CCE"/>
    <w:rsid w:val="00CF70DE"/>
    <w:rsid w:val="00D01B21"/>
    <w:rsid w:val="00D01E59"/>
    <w:rsid w:val="00D02072"/>
    <w:rsid w:val="00D0222A"/>
    <w:rsid w:val="00D02540"/>
    <w:rsid w:val="00D03872"/>
    <w:rsid w:val="00D05B5C"/>
    <w:rsid w:val="00D066C3"/>
    <w:rsid w:val="00D06F6E"/>
    <w:rsid w:val="00D101D7"/>
    <w:rsid w:val="00D102CE"/>
    <w:rsid w:val="00D10CC4"/>
    <w:rsid w:val="00D10F89"/>
    <w:rsid w:val="00D111AE"/>
    <w:rsid w:val="00D111F8"/>
    <w:rsid w:val="00D1156F"/>
    <w:rsid w:val="00D11926"/>
    <w:rsid w:val="00D119C7"/>
    <w:rsid w:val="00D11B65"/>
    <w:rsid w:val="00D11BCD"/>
    <w:rsid w:val="00D11E15"/>
    <w:rsid w:val="00D11E59"/>
    <w:rsid w:val="00D12150"/>
    <w:rsid w:val="00D12706"/>
    <w:rsid w:val="00D13950"/>
    <w:rsid w:val="00D1487B"/>
    <w:rsid w:val="00D148AE"/>
    <w:rsid w:val="00D14D65"/>
    <w:rsid w:val="00D1547A"/>
    <w:rsid w:val="00D15646"/>
    <w:rsid w:val="00D156DB"/>
    <w:rsid w:val="00D15ABD"/>
    <w:rsid w:val="00D15FD2"/>
    <w:rsid w:val="00D16FAA"/>
    <w:rsid w:val="00D1701C"/>
    <w:rsid w:val="00D17AB5"/>
    <w:rsid w:val="00D17BD1"/>
    <w:rsid w:val="00D17D23"/>
    <w:rsid w:val="00D17DF1"/>
    <w:rsid w:val="00D17ED6"/>
    <w:rsid w:val="00D17FD3"/>
    <w:rsid w:val="00D20698"/>
    <w:rsid w:val="00D219C8"/>
    <w:rsid w:val="00D22308"/>
    <w:rsid w:val="00D22588"/>
    <w:rsid w:val="00D229E3"/>
    <w:rsid w:val="00D23243"/>
    <w:rsid w:val="00D23AFB"/>
    <w:rsid w:val="00D23C45"/>
    <w:rsid w:val="00D2401A"/>
    <w:rsid w:val="00D24BD9"/>
    <w:rsid w:val="00D25D84"/>
    <w:rsid w:val="00D26549"/>
    <w:rsid w:val="00D26A04"/>
    <w:rsid w:val="00D27437"/>
    <w:rsid w:val="00D300ED"/>
    <w:rsid w:val="00D304AA"/>
    <w:rsid w:val="00D30EC6"/>
    <w:rsid w:val="00D314B8"/>
    <w:rsid w:val="00D31EB8"/>
    <w:rsid w:val="00D322BF"/>
    <w:rsid w:val="00D3285E"/>
    <w:rsid w:val="00D32CA9"/>
    <w:rsid w:val="00D33354"/>
    <w:rsid w:val="00D333B5"/>
    <w:rsid w:val="00D33A2D"/>
    <w:rsid w:val="00D33FB7"/>
    <w:rsid w:val="00D340B2"/>
    <w:rsid w:val="00D341A1"/>
    <w:rsid w:val="00D342DA"/>
    <w:rsid w:val="00D34399"/>
    <w:rsid w:val="00D3450D"/>
    <w:rsid w:val="00D345F1"/>
    <w:rsid w:val="00D34F6E"/>
    <w:rsid w:val="00D35600"/>
    <w:rsid w:val="00D35F97"/>
    <w:rsid w:val="00D36274"/>
    <w:rsid w:val="00D36D97"/>
    <w:rsid w:val="00D36F0F"/>
    <w:rsid w:val="00D36F1B"/>
    <w:rsid w:val="00D370F9"/>
    <w:rsid w:val="00D401A5"/>
    <w:rsid w:val="00D409EA"/>
    <w:rsid w:val="00D40CDA"/>
    <w:rsid w:val="00D41BA0"/>
    <w:rsid w:val="00D435E7"/>
    <w:rsid w:val="00D4382A"/>
    <w:rsid w:val="00D4413E"/>
    <w:rsid w:val="00D4436D"/>
    <w:rsid w:val="00D4489F"/>
    <w:rsid w:val="00D45167"/>
    <w:rsid w:val="00D4573D"/>
    <w:rsid w:val="00D45A05"/>
    <w:rsid w:val="00D45FFF"/>
    <w:rsid w:val="00D460B3"/>
    <w:rsid w:val="00D47731"/>
    <w:rsid w:val="00D51468"/>
    <w:rsid w:val="00D526AB"/>
    <w:rsid w:val="00D536ED"/>
    <w:rsid w:val="00D537BD"/>
    <w:rsid w:val="00D53EF2"/>
    <w:rsid w:val="00D53FB3"/>
    <w:rsid w:val="00D543A9"/>
    <w:rsid w:val="00D544BB"/>
    <w:rsid w:val="00D54BF6"/>
    <w:rsid w:val="00D5508F"/>
    <w:rsid w:val="00D5680C"/>
    <w:rsid w:val="00D56B7A"/>
    <w:rsid w:val="00D57AFC"/>
    <w:rsid w:val="00D57E68"/>
    <w:rsid w:val="00D60675"/>
    <w:rsid w:val="00D60A5F"/>
    <w:rsid w:val="00D60BD2"/>
    <w:rsid w:val="00D61376"/>
    <w:rsid w:val="00D6211B"/>
    <w:rsid w:val="00D63563"/>
    <w:rsid w:val="00D63B45"/>
    <w:rsid w:val="00D64A85"/>
    <w:rsid w:val="00D655D2"/>
    <w:rsid w:val="00D6644E"/>
    <w:rsid w:val="00D664BD"/>
    <w:rsid w:val="00D66AA7"/>
    <w:rsid w:val="00D66F80"/>
    <w:rsid w:val="00D67122"/>
    <w:rsid w:val="00D67B55"/>
    <w:rsid w:val="00D7002F"/>
    <w:rsid w:val="00D7052C"/>
    <w:rsid w:val="00D70BC5"/>
    <w:rsid w:val="00D70FB9"/>
    <w:rsid w:val="00D715FB"/>
    <w:rsid w:val="00D72156"/>
    <w:rsid w:val="00D721D5"/>
    <w:rsid w:val="00D7283D"/>
    <w:rsid w:val="00D73236"/>
    <w:rsid w:val="00D738D9"/>
    <w:rsid w:val="00D73BA9"/>
    <w:rsid w:val="00D73E42"/>
    <w:rsid w:val="00D7479E"/>
    <w:rsid w:val="00D74F0A"/>
    <w:rsid w:val="00D75958"/>
    <w:rsid w:val="00D7674D"/>
    <w:rsid w:val="00D77296"/>
    <w:rsid w:val="00D77D8A"/>
    <w:rsid w:val="00D80DC8"/>
    <w:rsid w:val="00D82ED9"/>
    <w:rsid w:val="00D83836"/>
    <w:rsid w:val="00D85966"/>
    <w:rsid w:val="00D85A91"/>
    <w:rsid w:val="00D861C4"/>
    <w:rsid w:val="00D86347"/>
    <w:rsid w:val="00D872C5"/>
    <w:rsid w:val="00D879D0"/>
    <w:rsid w:val="00D90008"/>
    <w:rsid w:val="00D90299"/>
    <w:rsid w:val="00D90319"/>
    <w:rsid w:val="00D9050D"/>
    <w:rsid w:val="00D907A1"/>
    <w:rsid w:val="00D90C53"/>
    <w:rsid w:val="00D90C90"/>
    <w:rsid w:val="00D90EB7"/>
    <w:rsid w:val="00D91330"/>
    <w:rsid w:val="00D918F0"/>
    <w:rsid w:val="00D91BB1"/>
    <w:rsid w:val="00D9332C"/>
    <w:rsid w:val="00D94A1F"/>
    <w:rsid w:val="00D953CE"/>
    <w:rsid w:val="00D95512"/>
    <w:rsid w:val="00D957DE"/>
    <w:rsid w:val="00D95C04"/>
    <w:rsid w:val="00D95F0C"/>
    <w:rsid w:val="00D95F56"/>
    <w:rsid w:val="00D96BA6"/>
    <w:rsid w:val="00DA00FD"/>
    <w:rsid w:val="00DA04D4"/>
    <w:rsid w:val="00DA18B1"/>
    <w:rsid w:val="00DA1C9E"/>
    <w:rsid w:val="00DA1D2F"/>
    <w:rsid w:val="00DA1D8B"/>
    <w:rsid w:val="00DA1DEC"/>
    <w:rsid w:val="00DA2356"/>
    <w:rsid w:val="00DA252D"/>
    <w:rsid w:val="00DA2607"/>
    <w:rsid w:val="00DA329B"/>
    <w:rsid w:val="00DA38C7"/>
    <w:rsid w:val="00DA3FB2"/>
    <w:rsid w:val="00DA454C"/>
    <w:rsid w:val="00DA4F4C"/>
    <w:rsid w:val="00DA547E"/>
    <w:rsid w:val="00DA5511"/>
    <w:rsid w:val="00DA5664"/>
    <w:rsid w:val="00DA578D"/>
    <w:rsid w:val="00DA584D"/>
    <w:rsid w:val="00DA5E4B"/>
    <w:rsid w:val="00DA5F27"/>
    <w:rsid w:val="00DA5F45"/>
    <w:rsid w:val="00DA6B58"/>
    <w:rsid w:val="00DA6F59"/>
    <w:rsid w:val="00DA77E0"/>
    <w:rsid w:val="00DA7E35"/>
    <w:rsid w:val="00DB015D"/>
    <w:rsid w:val="00DB07A2"/>
    <w:rsid w:val="00DB1392"/>
    <w:rsid w:val="00DB18D6"/>
    <w:rsid w:val="00DB19B2"/>
    <w:rsid w:val="00DB1F17"/>
    <w:rsid w:val="00DB26D9"/>
    <w:rsid w:val="00DB2CF2"/>
    <w:rsid w:val="00DB36A3"/>
    <w:rsid w:val="00DB41A0"/>
    <w:rsid w:val="00DB4A0A"/>
    <w:rsid w:val="00DB4E99"/>
    <w:rsid w:val="00DB5008"/>
    <w:rsid w:val="00DB6036"/>
    <w:rsid w:val="00DB6075"/>
    <w:rsid w:val="00DB6EF7"/>
    <w:rsid w:val="00DB78A4"/>
    <w:rsid w:val="00DB7BD3"/>
    <w:rsid w:val="00DC035F"/>
    <w:rsid w:val="00DC06EC"/>
    <w:rsid w:val="00DC19E0"/>
    <w:rsid w:val="00DC2500"/>
    <w:rsid w:val="00DC2CB0"/>
    <w:rsid w:val="00DC2D9E"/>
    <w:rsid w:val="00DC46D5"/>
    <w:rsid w:val="00DC66B4"/>
    <w:rsid w:val="00DC69E0"/>
    <w:rsid w:val="00DC6FFB"/>
    <w:rsid w:val="00DC76BF"/>
    <w:rsid w:val="00DC7895"/>
    <w:rsid w:val="00DC7BAD"/>
    <w:rsid w:val="00DD00CD"/>
    <w:rsid w:val="00DD01F6"/>
    <w:rsid w:val="00DD0294"/>
    <w:rsid w:val="00DD0732"/>
    <w:rsid w:val="00DD07FC"/>
    <w:rsid w:val="00DD0D90"/>
    <w:rsid w:val="00DD1903"/>
    <w:rsid w:val="00DD1A36"/>
    <w:rsid w:val="00DD1A86"/>
    <w:rsid w:val="00DD1CEB"/>
    <w:rsid w:val="00DD2133"/>
    <w:rsid w:val="00DD2D1B"/>
    <w:rsid w:val="00DD32C9"/>
    <w:rsid w:val="00DD3CEE"/>
    <w:rsid w:val="00DD3F93"/>
    <w:rsid w:val="00DD4063"/>
    <w:rsid w:val="00DD44DE"/>
    <w:rsid w:val="00DD47A4"/>
    <w:rsid w:val="00DD5EBE"/>
    <w:rsid w:val="00DD78AD"/>
    <w:rsid w:val="00DD7D0D"/>
    <w:rsid w:val="00DE0EA9"/>
    <w:rsid w:val="00DE1810"/>
    <w:rsid w:val="00DE1D2F"/>
    <w:rsid w:val="00DE3109"/>
    <w:rsid w:val="00DE31D8"/>
    <w:rsid w:val="00DE32A4"/>
    <w:rsid w:val="00DE335A"/>
    <w:rsid w:val="00DE34C6"/>
    <w:rsid w:val="00DE355F"/>
    <w:rsid w:val="00DE48F3"/>
    <w:rsid w:val="00DE54EA"/>
    <w:rsid w:val="00DE5DEA"/>
    <w:rsid w:val="00DE6960"/>
    <w:rsid w:val="00DE7163"/>
    <w:rsid w:val="00DE75DA"/>
    <w:rsid w:val="00DE7E2C"/>
    <w:rsid w:val="00DF0E0A"/>
    <w:rsid w:val="00DF1170"/>
    <w:rsid w:val="00DF1530"/>
    <w:rsid w:val="00DF19A6"/>
    <w:rsid w:val="00DF2A8B"/>
    <w:rsid w:val="00DF334E"/>
    <w:rsid w:val="00DF34CB"/>
    <w:rsid w:val="00DF3AE3"/>
    <w:rsid w:val="00DF3C7C"/>
    <w:rsid w:val="00DF3DEE"/>
    <w:rsid w:val="00DF43B5"/>
    <w:rsid w:val="00DF43BE"/>
    <w:rsid w:val="00DF44DA"/>
    <w:rsid w:val="00DF52F3"/>
    <w:rsid w:val="00DF5C5E"/>
    <w:rsid w:val="00DF650A"/>
    <w:rsid w:val="00DF7C75"/>
    <w:rsid w:val="00E001FD"/>
    <w:rsid w:val="00E00669"/>
    <w:rsid w:val="00E00808"/>
    <w:rsid w:val="00E00BD2"/>
    <w:rsid w:val="00E010E2"/>
    <w:rsid w:val="00E01A2F"/>
    <w:rsid w:val="00E01B44"/>
    <w:rsid w:val="00E01D66"/>
    <w:rsid w:val="00E01DE1"/>
    <w:rsid w:val="00E02AD6"/>
    <w:rsid w:val="00E031A8"/>
    <w:rsid w:val="00E03AD9"/>
    <w:rsid w:val="00E0426B"/>
    <w:rsid w:val="00E0558E"/>
    <w:rsid w:val="00E05B00"/>
    <w:rsid w:val="00E0636F"/>
    <w:rsid w:val="00E0729A"/>
    <w:rsid w:val="00E0744A"/>
    <w:rsid w:val="00E074CA"/>
    <w:rsid w:val="00E07908"/>
    <w:rsid w:val="00E07D18"/>
    <w:rsid w:val="00E10E3C"/>
    <w:rsid w:val="00E11EDD"/>
    <w:rsid w:val="00E11F4F"/>
    <w:rsid w:val="00E12695"/>
    <w:rsid w:val="00E12A06"/>
    <w:rsid w:val="00E12C72"/>
    <w:rsid w:val="00E12E68"/>
    <w:rsid w:val="00E13DD6"/>
    <w:rsid w:val="00E13DF2"/>
    <w:rsid w:val="00E1415D"/>
    <w:rsid w:val="00E14189"/>
    <w:rsid w:val="00E14190"/>
    <w:rsid w:val="00E149F6"/>
    <w:rsid w:val="00E153D1"/>
    <w:rsid w:val="00E1587F"/>
    <w:rsid w:val="00E162F3"/>
    <w:rsid w:val="00E16305"/>
    <w:rsid w:val="00E16E67"/>
    <w:rsid w:val="00E174DC"/>
    <w:rsid w:val="00E17B0C"/>
    <w:rsid w:val="00E17CBB"/>
    <w:rsid w:val="00E20747"/>
    <w:rsid w:val="00E21F28"/>
    <w:rsid w:val="00E2274B"/>
    <w:rsid w:val="00E227FD"/>
    <w:rsid w:val="00E22BF2"/>
    <w:rsid w:val="00E22D2B"/>
    <w:rsid w:val="00E24A18"/>
    <w:rsid w:val="00E25180"/>
    <w:rsid w:val="00E25209"/>
    <w:rsid w:val="00E266CE"/>
    <w:rsid w:val="00E27B92"/>
    <w:rsid w:val="00E27CBD"/>
    <w:rsid w:val="00E27D57"/>
    <w:rsid w:val="00E311CF"/>
    <w:rsid w:val="00E315B7"/>
    <w:rsid w:val="00E31F22"/>
    <w:rsid w:val="00E32291"/>
    <w:rsid w:val="00E324EF"/>
    <w:rsid w:val="00E3267A"/>
    <w:rsid w:val="00E32984"/>
    <w:rsid w:val="00E33509"/>
    <w:rsid w:val="00E3380A"/>
    <w:rsid w:val="00E354F8"/>
    <w:rsid w:val="00E35782"/>
    <w:rsid w:val="00E36A3C"/>
    <w:rsid w:val="00E36EE7"/>
    <w:rsid w:val="00E37532"/>
    <w:rsid w:val="00E42418"/>
    <w:rsid w:val="00E42468"/>
    <w:rsid w:val="00E42487"/>
    <w:rsid w:val="00E43197"/>
    <w:rsid w:val="00E4337D"/>
    <w:rsid w:val="00E43F23"/>
    <w:rsid w:val="00E44281"/>
    <w:rsid w:val="00E44842"/>
    <w:rsid w:val="00E44876"/>
    <w:rsid w:val="00E454D8"/>
    <w:rsid w:val="00E46673"/>
    <w:rsid w:val="00E47130"/>
    <w:rsid w:val="00E475BC"/>
    <w:rsid w:val="00E47658"/>
    <w:rsid w:val="00E50333"/>
    <w:rsid w:val="00E5047B"/>
    <w:rsid w:val="00E51CE5"/>
    <w:rsid w:val="00E51D86"/>
    <w:rsid w:val="00E5222E"/>
    <w:rsid w:val="00E5315C"/>
    <w:rsid w:val="00E532C0"/>
    <w:rsid w:val="00E53435"/>
    <w:rsid w:val="00E54190"/>
    <w:rsid w:val="00E54553"/>
    <w:rsid w:val="00E54860"/>
    <w:rsid w:val="00E5565E"/>
    <w:rsid w:val="00E556B8"/>
    <w:rsid w:val="00E55A5F"/>
    <w:rsid w:val="00E55AED"/>
    <w:rsid w:val="00E55B02"/>
    <w:rsid w:val="00E55DBC"/>
    <w:rsid w:val="00E569E6"/>
    <w:rsid w:val="00E56E28"/>
    <w:rsid w:val="00E57354"/>
    <w:rsid w:val="00E576BE"/>
    <w:rsid w:val="00E6031F"/>
    <w:rsid w:val="00E604A9"/>
    <w:rsid w:val="00E60A3D"/>
    <w:rsid w:val="00E60B28"/>
    <w:rsid w:val="00E61DB8"/>
    <w:rsid w:val="00E62337"/>
    <w:rsid w:val="00E637F5"/>
    <w:rsid w:val="00E64237"/>
    <w:rsid w:val="00E64748"/>
    <w:rsid w:val="00E64C29"/>
    <w:rsid w:val="00E65D63"/>
    <w:rsid w:val="00E661D1"/>
    <w:rsid w:val="00E667E6"/>
    <w:rsid w:val="00E676A0"/>
    <w:rsid w:val="00E676F6"/>
    <w:rsid w:val="00E7046B"/>
    <w:rsid w:val="00E70953"/>
    <w:rsid w:val="00E70F5D"/>
    <w:rsid w:val="00E71BD2"/>
    <w:rsid w:val="00E72C59"/>
    <w:rsid w:val="00E7334D"/>
    <w:rsid w:val="00E73564"/>
    <w:rsid w:val="00E7361D"/>
    <w:rsid w:val="00E73B43"/>
    <w:rsid w:val="00E74316"/>
    <w:rsid w:val="00E7497D"/>
    <w:rsid w:val="00E75073"/>
    <w:rsid w:val="00E751C7"/>
    <w:rsid w:val="00E75471"/>
    <w:rsid w:val="00E7648B"/>
    <w:rsid w:val="00E76A9D"/>
    <w:rsid w:val="00E76E67"/>
    <w:rsid w:val="00E77807"/>
    <w:rsid w:val="00E77829"/>
    <w:rsid w:val="00E8015C"/>
    <w:rsid w:val="00E80549"/>
    <w:rsid w:val="00E805CD"/>
    <w:rsid w:val="00E80CEB"/>
    <w:rsid w:val="00E811EB"/>
    <w:rsid w:val="00E81A4C"/>
    <w:rsid w:val="00E81C54"/>
    <w:rsid w:val="00E81C94"/>
    <w:rsid w:val="00E82390"/>
    <w:rsid w:val="00E82B03"/>
    <w:rsid w:val="00E82C32"/>
    <w:rsid w:val="00E831E5"/>
    <w:rsid w:val="00E841CD"/>
    <w:rsid w:val="00E8454D"/>
    <w:rsid w:val="00E85D80"/>
    <w:rsid w:val="00E85E48"/>
    <w:rsid w:val="00E86320"/>
    <w:rsid w:val="00E86443"/>
    <w:rsid w:val="00E86776"/>
    <w:rsid w:val="00E86BE5"/>
    <w:rsid w:val="00E9061A"/>
    <w:rsid w:val="00E90E44"/>
    <w:rsid w:val="00E91A0F"/>
    <w:rsid w:val="00E925D4"/>
    <w:rsid w:val="00E92DB3"/>
    <w:rsid w:val="00E930E3"/>
    <w:rsid w:val="00E95701"/>
    <w:rsid w:val="00E95FD5"/>
    <w:rsid w:val="00E9696C"/>
    <w:rsid w:val="00E96A91"/>
    <w:rsid w:val="00E96FE2"/>
    <w:rsid w:val="00E971D6"/>
    <w:rsid w:val="00E979EA"/>
    <w:rsid w:val="00EA18E7"/>
    <w:rsid w:val="00EA2BFA"/>
    <w:rsid w:val="00EA2F85"/>
    <w:rsid w:val="00EA30A1"/>
    <w:rsid w:val="00EA3408"/>
    <w:rsid w:val="00EA34D8"/>
    <w:rsid w:val="00EA369F"/>
    <w:rsid w:val="00EA3A31"/>
    <w:rsid w:val="00EA3EF8"/>
    <w:rsid w:val="00EA4523"/>
    <w:rsid w:val="00EA5461"/>
    <w:rsid w:val="00EA5A92"/>
    <w:rsid w:val="00EA6346"/>
    <w:rsid w:val="00EA7011"/>
    <w:rsid w:val="00EA7A31"/>
    <w:rsid w:val="00EB0E2D"/>
    <w:rsid w:val="00EB0F15"/>
    <w:rsid w:val="00EB1A7B"/>
    <w:rsid w:val="00EB1CC2"/>
    <w:rsid w:val="00EB1EF2"/>
    <w:rsid w:val="00EB3983"/>
    <w:rsid w:val="00EB491D"/>
    <w:rsid w:val="00EB4ACA"/>
    <w:rsid w:val="00EB7051"/>
    <w:rsid w:val="00EB750A"/>
    <w:rsid w:val="00EB7AAC"/>
    <w:rsid w:val="00EC06EB"/>
    <w:rsid w:val="00EC078E"/>
    <w:rsid w:val="00EC12F7"/>
    <w:rsid w:val="00EC1308"/>
    <w:rsid w:val="00EC163B"/>
    <w:rsid w:val="00EC1FAC"/>
    <w:rsid w:val="00EC27BF"/>
    <w:rsid w:val="00EC407A"/>
    <w:rsid w:val="00EC47BE"/>
    <w:rsid w:val="00EC51C0"/>
    <w:rsid w:val="00EC71A9"/>
    <w:rsid w:val="00EC7541"/>
    <w:rsid w:val="00ED0061"/>
    <w:rsid w:val="00ED0150"/>
    <w:rsid w:val="00ED0585"/>
    <w:rsid w:val="00ED07DC"/>
    <w:rsid w:val="00ED17D7"/>
    <w:rsid w:val="00ED18A9"/>
    <w:rsid w:val="00ED1929"/>
    <w:rsid w:val="00ED2583"/>
    <w:rsid w:val="00ED2BD2"/>
    <w:rsid w:val="00ED3861"/>
    <w:rsid w:val="00ED38A5"/>
    <w:rsid w:val="00ED436C"/>
    <w:rsid w:val="00ED45BE"/>
    <w:rsid w:val="00ED5005"/>
    <w:rsid w:val="00ED5356"/>
    <w:rsid w:val="00ED637C"/>
    <w:rsid w:val="00ED6EBE"/>
    <w:rsid w:val="00ED70E2"/>
    <w:rsid w:val="00ED7212"/>
    <w:rsid w:val="00ED732D"/>
    <w:rsid w:val="00ED7519"/>
    <w:rsid w:val="00ED7E3D"/>
    <w:rsid w:val="00EE0194"/>
    <w:rsid w:val="00EE0247"/>
    <w:rsid w:val="00EE1AB4"/>
    <w:rsid w:val="00EE234C"/>
    <w:rsid w:val="00EE2440"/>
    <w:rsid w:val="00EE24BD"/>
    <w:rsid w:val="00EE40A0"/>
    <w:rsid w:val="00EE450D"/>
    <w:rsid w:val="00EE4788"/>
    <w:rsid w:val="00EE49D2"/>
    <w:rsid w:val="00EE4A77"/>
    <w:rsid w:val="00EE4CFC"/>
    <w:rsid w:val="00EE5871"/>
    <w:rsid w:val="00EE5D9B"/>
    <w:rsid w:val="00EE5F55"/>
    <w:rsid w:val="00EE5F93"/>
    <w:rsid w:val="00EE6577"/>
    <w:rsid w:val="00EE6E83"/>
    <w:rsid w:val="00EE742D"/>
    <w:rsid w:val="00EE7577"/>
    <w:rsid w:val="00EE7955"/>
    <w:rsid w:val="00EE7E09"/>
    <w:rsid w:val="00EF0FD5"/>
    <w:rsid w:val="00EF28CB"/>
    <w:rsid w:val="00EF2966"/>
    <w:rsid w:val="00EF3DC3"/>
    <w:rsid w:val="00EF4212"/>
    <w:rsid w:val="00EF45D4"/>
    <w:rsid w:val="00EF4759"/>
    <w:rsid w:val="00EF4FF0"/>
    <w:rsid w:val="00EF5269"/>
    <w:rsid w:val="00EF568A"/>
    <w:rsid w:val="00EF5BC1"/>
    <w:rsid w:val="00EF6A97"/>
    <w:rsid w:val="00EF7454"/>
    <w:rsid w:val="00EF7526"/>
    <w:rsid w:val="00F00825"/>
    <w:rsid w:val="00F00856"/>
    <w:rsid w:val="00F00A38"/>
    <w:rsid w:val="00F00A5F"/>
    <w:rsid w:val="00F0103A"/>
    <w:rsid w:val="00F0152D"/>
    <w:rsid w:val="00F0194A"/>
    <w:rsid w:val="00F01D4D"/>
    <w:rsid w:val="00F02453"/>
    <w:rsid w:val="00F025E2"/>
    <w:rsid w:val="00F037AA"/>
    <w:rsid w:val="00F03A10"/>
    <w:rsid w:val="00F04303"/>
    <w:rsid w:val="00F043E1"/>
    <w:rsid w:val="00F045E4"/>
    <w:rsid w:val="00F04DE6"/>
    <w:rsid w:val="00F050F6"/>
    <w:rsid w:val="00F052F9"/>
    <w:rsid w:val="00F05755"/>
    <w:rsid w:val="00F05D7E"/>
    <w:rsid w:val="00F06324"/>
    <w:rsid w:val="00F10BBE"/>
    <w:rsid w:val="00F10D36"/>
    <w:rsid w:val="00F11186"/>
    <w:rsid w:val="00F11923"/>
    <w:rsid w:val="00F11B77"/>
    <w:rsid w:val="00F11C95"/>
    <w:rsid w:val="00F11F06"/>
    <w:rsid w:val="00F1279C"/>
    <w:rsid w:val="00F129E3"/>
    <w:rsid w:val="00F1316E"/>
    <w:rsid w:val="00F13991"/>
    <w:rsid w:val="00F1407A"/>
    <w:rsid w:val="00F147E5"/>
    <w:rsid w:val="00F14ABD"/>
    <w:rsid w:val="00F152CE"/>
    <w:rsid w:val="00F154A1"/>
    <w:rsid w:val="00F16A17"/>
    <w:rsid w:val="00F16EDC"/>
    <w:rsid w:val="00F16FBD"/>
    <w:rsid w:val="00F17AA8"/>
    <w:rsid w:val="00F17D8A"/>
    <w:rsid w:val="00F17D9F"/>
    <w:rsid w:val="00F2078E"/>
    <w:rsid w:val="00F2105E"/>
    <w:rsid w:val="00F21828"/>
    <w:rsid w:val="00F21BCE"/>
    <w:rsid w:val="00F22EDF"/>
    <w:rsid w:val="00F23804"/>
    <w:rsid w:val="00F2380B"/>
    <w:rsid w:val="00F23982"/>
    <w:rsid w:val="00F2435F"/>
    <w:rsid w:val="00F24586"/>
    <w:rsid w:val="00F24664"/>
    <w:rsid w:val="00F25376"/>
    <w:rsid w:val="00F259E6"/>
    <w:rsid w:val="00F26F3A"/>
    <w:rsid w:val="00F274BA"/>
    <w:rsid w:val="00F276C8"/>
    <w:rsid w:val="00F27D42"/>
    <w:rsid w:val="00F27E7D"/>
    <w:rsid w:val="00F27F72"/>
    <w:rsid w:val="00F309A3"/>
    <w:rsid w:val="00F30A23"/>
    <w:rsid w:val="00F30E8E"/>
    <w:rsid w:val="00F319DE"/>
    <w:rsid w:val="00F324ED"/>
    <w:rsid w:val="00F326AC"/>
    <w:rsid w:val="00F3273C"/>
    <w:rsid w:val="00F33635"/>
    <w:rsid w:val="00F34711"/>
    <w:rsid w:val="00F35246"/>
    <w:rsid w:val="00F360C1"/>
    <w:rsid w:val="00F3649E"/>
    <w:rsid w:val="00F36C7A"/>
    <w:rsid w:val="00F36D2F"/>
    <w:rsid w:val="00F370E0"/>
    <w:rsid w:val="00F37CA7"/>
    <w:rsid w:val="00F40535"/>
    <w:rsid w:val="00F40B7A"/>
    <w:rsid w:val="00F41986"/>
    <w:rsid w:val="00F42B2C"/>
    <w:rsid w:val="00F4321C"/>
    <w:rsid w:val="00F44247"/>
    <w:rsid w:val="00F45718"/>
    <w:rsid w:val="00F459D2"/>
    <w:rsid w:val="00F45DE0"/>
    <w:rsid w:val="00F4651E"/>
    <w:rsid w:val="00F468CC"/>
    <w:rsid w:val="00F4698D"/>
    <w:rsid w:val="00F47E0B"/>
    <w:rsid w:val="00F47E4A"/>
    <w:rsid w:val="00F50E63"/>
    <w:rsid w:val="00F51916"/>
    <w:rsid w:val="00F52301"/>
    <w:rsid w:val="00F5369F"/>
    <w:rsid w:val="00F5406B"/>
    <w:rsid w:val="00F54172"/>
    <w:rsid w:val="00F54755"/>
    <w:rsid w:val="00F553D1"/>
    <w:rsid w:val="00F557BB"/>
    <w:rsid w:val="00F55800"/>
    <w:rsid w:val="00F5592F"/>
    <w:rsid w:val="00F55FFB"/>
    <w:rsid w:val="00F5601D"/>
    <w:rsid w:val="00F560BC"/>
    <w:rsid w:val="00F5630C"/>
    <w:rsid w:val="00F563C4"/>
    <w:rsid w:val="00F566C9"/>
    <w:rsid w:val="00F57408"/>
    <w:rsid w:val="00F57990"/>
    <w:rsid w:val="00F60769"/>
    <w:rsid w:val="00F60AFF"/>
    <w:rsid w:val="00F615A2"/>
    <w:rsid w:val="00F61848"/>
    <w:rsid w:val="00F620AE"/>
    <w:rsid w:val="00F622FF"/>
    <w:rsid w:val="00F629D0"/>
    <w:rsid w:val="00F63391"/>
    <w:rsid w:val="00F63DA5"/>
    <w:rsid w:val="00F64296"/>
    <w:rsid w:val="00F644A7"/>
    <w:rsid w:val="00F657F2"/>
    <w:rsid w:val="00F6621A"/>
    <w:rsid w:val="00F66DEA"/>
    <w:rsid w:val="00F670E3"/>
    <w:rsid w:val="00F7020F"/>
    <w:rsid w:val="00F70C99"/>
    <w:rsid w:val="00F70DA9"/>
    <w:rsid w:val="00F717D6"/>
    <w:rsid w:val="00F71BC1"/>
    <w:rsid w:val="00F71F85"/>
    <w:rsid w:val="00F726DB"/>
    <w:rsid w:val="00F72A3F"/>
    <w:rsid w:val="00F72A9F"/>
    <w:rsid w:val="00F73358"/>
    <w:rsid w:val="00F73965"/>
    <w:rsid w:val="00F74795"/>
    <w:rsid w:val="00F74EC6"/>
    <w:rsid w:val="00F74FBB"/>
    <w:rsid w:val="00F75FE1"/>
    <w:rsid w:val="00F76051"/>
    <w:rsid w:val="00F7726A"/>
    <w:rsid w:val="00F77293"/>
    <w:rsid w:val="00F7754D"/>
    <w:rsid w:val="00F77879"/>
    <w:rsid w:val="00F77A02"/>
    <w:rsid w:val="00F77A26"/>
    <w:rsid w:val="00F77B98"/>
    <w:rsid w:val="00F80887"/>
    <w:rsid w:val="00F8102E"/>
    <w:rsid w:val="00F8106F"/>
    <w:rsid w:val="00F8125B"/>
    <w:rsid w:val="00F814D0"/>
    <w:rsid w:val="00F81F11"/>
    <w:rsid w:val="00F8268D"/>
    <w:rsid w:val="00F839C1"/>
    <w:rsid w:val="00F83E45"/>
    <w:rsid w:val="00F84447"/>
    <w:rsid w:val="00F84471"/>
    <w:rsid w:val="00F845A0"/>
    <w:rsid w:val="00F84D82"/>
    <w:rsid w:val="00F84F15"/>
    <w:rsid w:val="00F84F85"/>
    <w:rsid w:val="00F85757"/>
    <w:rsid w:val="00F85A7D"/>
    <w:rsid w:val="00F868B7"/>
    <w:rsid w:val="00F87371"/>
    <w:rsid w:val="00F8755F"/>
    <w:rsid w:val="00F87CF9"/>
    <w:rsid w:val="00F90983"/>
    <w:rsid w:val="00F90F33"/>
    <w:rsid w:val="00F917AE"/>
    <w:rsid w:val="00F91976"/>
    <w:rsid w:val="00F92056"/>
    <w:rsid w:val="00F92806"/>
    <w:rsid w:val="00F92EDA"/>
    <w:rsid w:val="00F9419C"/>
    <w:rsid w:val="00F9502C"/>
    <w:rsid w:val="00F9561E"/>
    <w:rsid w:val="00F96258"/>
    <w:rsid w:val="00F963F9"/>
    <w:rsid w:val="00F96AFF"/>
    <w:rsid w:val="00F96F82"/>
    <w:rsid w:val="00F974D7"/>
    <w:rsid w:val="00F97691"/>
    <w:rsid w:val="00FA0B08"/>
    <w:rsid w:val="00FA0DB2"/>
    <w:rsid w:val="00FA1186"/>
    <w:rsid w:val="00FA1B4A"/>
    <w:rsid w:val="00FA2387"/>
    <w:rsid w:val="00FA2EBB"/>
    <w:rsid w:val="00FA30C3"/>
    <w:rsid w:val="00FA32FF"/>
    <w:rsid w:val="00FA4A8C"/>
    <w:rsid w:val="00FA5381"/>
    <w:rsid w:val="00FA6404"/>
    <w:rsid w:val="00FB0122"/>
    <w:rsid w:val="00FB0379"/>
    <w:rsid w:val="00FB1679"/>
    <w:rsid w:val="00FB2E85"/>
    <w:rsid w:val="00FB30A8"/>
    <w:rsid w:val="00FB461D"/>
    <w:rsid w:val="00FB50B3"/>
    <w:rsid w:val="00FB540B"/>
    <w:rsid w:val="00FB5C56"/>
    <w:rsid w:val="00FB69BF"/>
    <w:rsid w:val="00FB6CDB"/>
    <w:rsid w:val="00FB7108"/>
    <w:rsid w:val="00FB7C4A"/>
    <w:rsid w:val="00FC0023"/>
    <w:rsid w:val="00FC06E8"/>
    <w:rsid w:val="00FC133B"/>
    <w:rsid w:val="00FC21B8"/>
    <w:rsid w:val="00FC32BD"/>
    <w:rsid w:val="00FC36A3"/>
    <w:rsid w:val="00FC379F"/>
    <w:rsid w:val="00FC59D7"/>
    <w:rsid w:val="00FC5CBF"/>
    <w:rsid w:val="00FC6DE6"/>
    <w:rsid w:val="00FC742D"/>
    <w:rsid w:val="00FC789B"/>
    <w:rsid w:val="00FD02E6"/>
    <w:rsid w:val="00FD0631"/>
    <w:rsid w:val="00FD06C2"/>
    <w:rsid w:val="00FD070F"/>
    <w:rsid w:val="00FD1E80"/>
    <w:rsid w:val="00FD21D1"/>
    <w:rsid w:val="00FD401E"/>
    <w:rsid w:val="00FD447A"/>
    <w:rsid w:val="00FD4826"/>
    <w:rsid w:val="00FD4D79"/>
    <w:rsid w:val="00FD5544"/>
    <w:rsid w:val="00FD5FE4"/>
    <w:rsid w:val="00FD643E"/>
    <w:rsid w:val="00FD67CE"/>
    <w:rsid w:val="00FD6871"/>
    <w:rsid w:val="00FD68AE"/>
    <w:rsid w:val="00FD6BE6"/>
    <w:rsid w:val="00FD74F0"/>
    <w:rsid w:val="00FE033C"/>
    <w:rsid w:val="00FE09E5"/>
    <w:rsid w:val="00FE0A4D"/>
    <w:rsid w:val="00FE0FCF"/>
    <w:rsid w:val="00FE17E4"/>
    <w:rsid w:val="00FE263E"/>
    <w:rsid w:val="00FE3790"/>
    <w:rsid w:val="00FE426B"/>
    <w:rsid w:val="00FE4A4D"/>
    <w:rsid w:val="00FE5147"/>
    <w:rsid w:val="00FE5599"/>
    <w:rsid w:val="00FE669B"/>
    <w:rsid w:val="00FE6706"/>
    <w:rsid w:val="00FE70EA"/>
    <w:rsid w:val="00FE7317"/>
    <w:rsid w:val="00FE77C7"/>
    <w:rsid w:val="00FE7B61"/>
    <w:rsid w:val="00FE7E2E"/>
    <w:rsid w:val="00FF00FF"/>
    <w:rsid w:val="00FF02B8"/>
    <w:rsid w:val="00FF145E"/>
    <w:rsid w:val="00FF2796"/>
    <w:rsid w:val="00FF36C2"/>
    <w:rsid w:val="00FF3A21"/>
    <w:rsid w:val="00FF3DE4"/>
    <w:rsid w:val="00FF4586"/>
    <w:rsid w:val="00FF490C"/>
    <w:rsid w:val="00FF4A63"/>
    <w:rsid w:val="00FF57F9"/>
    <w:rsid w:val="00FF5954"/>
    <w:rsid w:val="00FF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D2EEF6-A24D-4C76-A253-D233358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522"/>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lang w:val="en-GB"/>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lang w:val="en-GB"/>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lang w:val="en-GB"/>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 w:id="2117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5750978917269469"/>
          <c:h val="0.7336296774724631"/>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103%</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600" dirty="0" smtClean="0"/>
                      <a:t>106%</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600" dirty="0" smtClean="0"/>
                      <a:t>99%</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000000000000092E-3"/>
                  <c:y val="-1.3275956784471705E-2"/>
                </c:manualLayout>
              </c:layout>
              <c:tx>
                <c:rich>
                  <a:bodyPr/>
                  <a:lstStyle/>
                  <a:p>
                    <a:r>
                      <a:rPr lang="en-US" sz="600" dirty="0" smtClean="0"/>
                      <a:t>141%</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
                  <c:y val="-7.0402964335340434E-3"/>
                </c:manualLayout>
              </c:layout>
              <c:tx>
                <c:rich>
                  <a:bodyPr/>
                  <a:lstStyle/>
                  <a:p>
                    <a:pPr>
                      <a:defRPr lang="el-GR" sz="600" b="1"/>
                    </a:pPr>
                    <a:r>
                      <a:rPr lang="en-US" sz="600" b="1" dirty="0" smtClean="0"/>
                      <a:t>120,0%</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
                  <c:y val="-2.2027444144695203E-3"/>
                </c:manualLayout>
              </c:layout>
              <c:tx>
                <c:rich>
                  <a:bodyPr wrap="square" lIns="38100" tIns="19050" rIns="38100" bIns="19050" anchor="ctr">
                    <a:spAutoFit/>
                  </a:bodyPr>
                  <a:lstStyle/>
                  <a:p>
                    <a:pPr>
                      <a:defRPr lang="el-GR" sz="600" b="1"/>
                    </a:pPr>
                    <a:r>
                      <a:rPr lang="en-US" sz="600" dirty="0" smtClean="0"/>
                      <a:t>118,9%</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6.4219842836380159E-2</c:v>
                </c:pt>
                <c:pt idx="1">
                  <c:v>0.16178829476450837</c:v>
                </c:pt>
                <c:pt idx="2">
                  <c:v>0.25288096875260879</c:v>
                </c:pt>
                <c:pt idx="3">
                  <c:v>9.243281884984357E-2</c:v>
                </c:pt>
                <c:pt idx="4">
                  <c:v>8.6710192143373693E-2</c:v>
                </c:pt>
                <c:pt idx="5">
                  <c:v>8.586423257625582E-2</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-1.6577140824602515E-3</c:v>
                </c:pt>
                <c:pt idx="1">
                  <c:v>-8.8347179300111156E-3</c:v>
                </c:pt>
                <c:pt idx="2">
                  <c:v>3.1941483823704764E-3</c:v>
                </c:pt>
                <c:pt idx="3">
                  <c:v>-2.6810499670651133E-2</c:v>
                </c:pt>
                <c:pt idx="4">
                  <c:v>-1.4427202020172725E-2</c:v>
                </c:pt>
                <c:pt idx="5">
                  <c:v>-1.3678199318431103E-2</c:v>
                </c:pt>
              </c:numCache>
            </c:numRef>
          </c:val>
        </c:ser>
        <c:ser>
          <c:idx val="2"/>
          <c:order val="2"/>
          <c:tx>
            <c:strRef>
              <c:f>Sheet1!$A$4</c:f>
              <c:strCache>
                <c:ptCount val="1"/>
                <c:pt idx="0">
                  <c:v>NPLs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layout/>
              <c:tx>
                <c:rich>
                  <a:bodyPr/>
                  <a:lstStyle/>
                  <a:p>
                    <a:pPr>
                      <a:defRPr lang="el-GR" sz="600" b="1">
                        <a:latin typeface="Segoe UI" pitchFamily="34" charset="0"/>
                        <a:ea typeface="Segoe UI" pitchFamily="34" charset="0"/>
                        <a:cs typeface="Segoe UI" pitchFamily="34" charset="0"/>
                      </a:defRPr>
                    </a:pPr>
                    <a:r>
                      <a:rPr lang="en-US"/>
                      <a:t>7,2%</a:t>
                    </a:r>
                    <a:r>
                      <a:rPr lang="en-US" baseline="30000"/>
                      <a:t>2</a:t>
                    </a:r>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pPr>
                      <a:defRPr lang="el-GR" sz="600" b="1">
                        <a:latin typeface="Segoe UI" pitchFamily="34" charset="0"/>
                        <a:ea typeface="Segoe UI" pitchFamily="34" charset="0"/>
                        <a:cs typeface="Segoe UI" pitchFamily="34" charset="0"/>
                      </a:defRPr>
                    </a:pPr>
                    <a:r>
                      <a:rPr lang="en-US"/>
                      <a:t>7,2%</a:t>
                    </a:r>
                    <a:r>
                      <a:rPr lang="en-US" baseline="30000"/>
                      <a:t>2</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6.2562128753919907E-2</c:v>
                </c:pt>
                <c:pt idx="1">
                  <c:v>0.15295357683449726</c:v>
                </c:pt>
                <c:pt idx="2">
                  <c:v>0.25607511713497927</c:v>
                </c:pt>
                <c:pt idx="3">
                  <c:v>6.5622319179192437E-2</c:v>
                </c:pt>
                <c:pt idx="4">
                  <c:v>7.2282990123200969E-2</c:v>
                </c:pt>
                <c:pt idx="5">
                  <c:v>7.2186033257824717E-2</c:v>
                </c:pt>
              </c:numCache>
            </c:numRef>
          </c:val>
        </c:ser>
        <c:dLbls>
          <c:showLegendKey val="0"/>
          <c:showVal val="0"/>
          <c:showCatName val="0"/>
          <c:showSerName val="0"/>
          <c:showPercent val="0"/>
          <c:showBubbleSize val="0"/>
        </c:dLbls>
        <c:gapWidth val="500"/>
        <c:overlap val="100"/>
        <c:axId val="260610176"/>
        <c:axId val="260610960"/>
      </c:barChart>
      <c:catAx>
        <c:axId val="260610176"/>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pPr>
            <a:endParaRPr lang="el-GR"/>
          </a:p>
        </c:txPr>
        <c:crossAx val="260610960"/>
        <c:crosses val="autoZero"/>
        <c:auto val="1"/>
        <c:lblAlgn val="ctr"/>
        <c:lblOffset val="100"/>
        <c:noMultiLvlLbl val="0"/>
      </c:catAx>
      <c:valAx>
        <c:axId val="260610960"/>
        <c:scaling>
          <c:orientation val="minMax"/>
          <c:max val="0.4"/>
          <c:min val="0"/>
        </c:scaling>
        <c:delete val="1"/>
        <c:axPos val="l"/>
        <c:numFmt formatCode="0.0%" sourceLinked="1"/>
        <c:majorTickMark val="out"/>
        <c:minorTickMark val="none"/>
        <c:tickLblPos val="nextTo"/>
        <c:crossAx val="260610176"/>
        <c:crosses val="autoZero"/>
        <c:crossBetween val="between"/>
        <c:majorUnit val="2"/>
        <c:minorUnit val="2"/>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7251075313091897"/>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dPt>
          <c:dPt>
            <c:idx val="5"/>
            <c:invertIfNegative val="0"/>
            <c:bubble3D val="0"/>
            <c:spPr>
              <a:solidFill>
                <a:srgbClr val="FF7415"/>
              </a:solidFill>
              <a:ln>
                <a:solidFill>
                  <a:srgbClr val="FF7415"/>
                </a:solidFill>
              </a:ln>
            </c:spPr>
          </c:dPt>
          <c:dLbls>
            <c:dLbl>
              <c:idx val="0"/>
              <c:layout>
                <c:manualLayout>
                  <c:x val="-5.0000000000000018E-3"/>
                  <c:y val="-3.6457608496612462E-2"/>
                </c:manualLayout>
              </c:layout>
              <c:tx>
                <c:rich>
                  <a:bodyPr/>
                  <a:lstStyle/>
                  <a:p>
                    <a:r>
                      <a:rPr lang="en-US" sz="600" dirty="0" smtClean="0"/>
                      <a:t>39%</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600" dirty="0" smtClean="0"/>
                      <a:t>83%</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600" dirty="0" smtClean="0"/>
                      <a:t>84%</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5.000000000000092E-3"/>
                  <c:y val="-1.3275956784471705E-2"/>
                </c:manualLayout>
              </c:layout>
              <c:tx>
                <c:rich>
                  <a:bodyPr/>
                  <a:lstStyle/>
                  <a:p>
                    <a:r>
                      <a:rPr lang="en-US" sz="600" dirty="0" smtClean="0"/>
                      <a:t>72%</a:t>
                    </a:r>
                    <a:endParaRPr lang="en-US" dirty="0"/>
                  </a:p>
                </c:rich>
              </c:tx>
              <c:dLblPos val="ctr"/>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
                  <c:y val="-7.0402964335340434E-3"/>
                </c:manualLayout>
              </c:layout>
              <c:tx>
                <c:rich>
                  <a:bodyPr/>
                  <a:lstStyle/>
                  <a:p>
                    <a:pPr>
                      <a:defRPr lang="el-GR" sz="600" b="1"/>
                    </a:pPr>
                    <a:r>
                      <a:rPr lang="en-US" sz="600" b="1" dirty="0" smtClean="0"/>
                      <a:t>62,8%</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
                  <c:y val="-1.118343592771604E-2"/>
                </c:manualLayout>
              </c:layout>
              <c:tx>
                <c:rich>
                  <a:bodyPr wrap="square" lIns="38100" tIns="19050" rIns="38100" bIns="19050" anchor="ctr">
                    <a:spAutoFit/>
                  </a:bodyPr>
                  <a:lstStyle/>
                  <a:p>
                    <a:pPr>
                      <a:defRPr lang="el-GR" sz="600" b="1"/>
                    </a:pPr>
                    <a:r>
                      <a:rPr lang="en-US" sz="600" dirty="0" smtClean="0"/>
                      <a:t>63,3%</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6.4219842836380145E-2</c:v>
                </c:pt>
                <c:pt idx="1">
                  <c:v>0.16178829476450837</c:v>
                </c:pt>
                <c:pt idx="2">
                  <c:v>0.25288096875260879</c:v>
                </c:pt>
                <c:pt idx="3">
                  <c:v>9.2934652645833837E-2</c:v>
                </c:pt>
                <c:pt idx="4">
                  <c:v>8.6954266551989345E-2</c:v>
                </c:pt>
                <c:pt idx="5">
                  <c:v>8.6114400021670645E-2</c:v>
                </c:pt>
              </c:numCache>
            </c:numRef>
          </c:val>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dPt>
          <c:dPt>
            <c:idx val="5"/>
            <c:invertIfNegative val="0"/>
            <c:bubble3D val="0"/>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0.10038935183940066</c:v>
                </c:pt>
                <c:pt idx="1">
                  <c:v>3.2229214681765123E-2</c:v>
                </c:pt>
                <c:pt idx="2">
                  <c:v>4.9283247904981342E-2</c:v>
                </c:pt>
                <c:pt idx="3">
                  <c:v>3.5731897477667279E-2</c:v>
                </c:pt>
                <c:pt idx="4">
                  <c:v>5.1524778072737504E-2</c:v>
                </c:pt>
                <c:pt idx="5">
                  <c:v>4.9945408837570454E-2</c:v>
                </c:pt>
              </c:numCache>
            </c:numRef>
          </c:val>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dLbl>
              <c:idx val="4"/>
              <c:layout/>
              <c:tx>
                <c:rich>
                  <a:bodyPr/>
                  <a:lstStyle/>
                  <a:p>
                    <a:pPr>
                      <a:defRPr lang="el-GR" sz="600" b="1">
                        <a:latin typeface="Segoe UI" pitchFamily="34" charset="0"/>
                        <a:ea typeface="Segoe UI" pitchFamily="34" charset="0"/>
                        <a:cs typeface="Segoe UI" pitchFamily="34" charset="0"/>
                      </a:defRPr>
                    </a:pPr>
                    <a:r>
                      <a:rPr lang="en-US"/>
                      <a:t>13,8%</a:t>
                    </a:r>
                    <a:r>
                      <a:rPr lang="en-US" baseline="30000"/>
                      <a:t>2</a:t>
                    </a:r>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pPr>
                      <a:defRPr lang="el-GR" sz="600" b="1">
                        <a:latin typeface="Segoe UI" pitchFamily="34" charset="0"/>
                        <a:ea typeface="Segoe UI" pitchFamily="34" charset="0"/>
                        <a:cs typeface="Segoe UI" pitchFamily="34" charset="0"/>
                      </a:defRPr>
                    </a:pPr>
                    <a:r>
                      <a:rPr lang="en-US"/>
                      <a:t>13,6%</a:t>
                    </a:r>
                    <a:r>
                      <a:rPr lang="en-US" baseline="30000"/>
                      <a:t>2</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0.16460919467578081</c:v>
                </c:pt>
                <c:pt idx="1">
                  <c:v>0.1940175094462735</c:v>
                </c:pt>
                <c:pt idx="2">
                  <c:v>0.30216421665759013</c:v>
                </c:pt>
                <c:pt idx="3">
                  <c:v>0.12866655012350112</c:v>
                </c:pt>
                <c:pt idx="4">
                  <c:v>0.13847904462472685</c:v>
                </c:pt>
                <c:pt idx="5">
                  <c:v>0.1360598088592411</c:v>
                </c:pt>
              </c:numCache>
            </c:numRef>
          </c:val>
        </c:ser>
        <c:dLbls>
          <c:showLegendKey val="0"/>
          <c:showVal val="0"/>
          <c:showCatName val="0"/>
          <c:showSerName val="0"/>
          <c:showPercent val="0"/>
          <c:showBubbleSize val="0"/>
        </c:dLbls>
        <c:gapWidth val="500"/>
        <c:overlap val="100"/>
        <c:axId val="260613312"/>
        <c:axId val="260613704"/>
      </c:barChart>
      <c:catAx>
        <c:axId val="260613312"/>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pPr>
            <a:endParaRPr lang="el-GR"/>
          </a:p>
        </c:txPr>
        <c:crossAx val="260613704"/>
        <c:crosses val="autoZero"/>
        <c:auto val="1"/>
        <c:lblAlgn val="ctr"/>
        <c:lblOffset val="100"/>
        <c:noMultiLvlLbl val="0"/>
      </c:catAx>
      <c:valAx>
        <c:axId val="260613704"/>
        <c:scaling>
          <c:orientation val="minMax"/>
          <c:max val="0.4"/>
          <c:min val="0"/>
        </c:scaling>
        <c:delete val="1"/>
        <c:axPos val="l"/>
        <c:numFmt formatCode="0.0%" sourceLinked="1"/>
        <c:majorTickMark val="out"/>
        <c:minorTickMark val="none"/>
        <c:tickLblPos val="nextTo"/>
        <c:crossAx val="260613312"/>
        <c:crosses val="autoZero"/>
        <c:crossBetween val="between"/>
        <c:majorUnit val="2"/>
        <c:minorUnit val="2"/>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199230954097569E-2"/>
          <c:y val="3.9845955404248165E-2"/>
          <c:w val="0.97111309175754579"/>
          <c:h val="0.53172073859512092"/>
        </c:manualLayout>
      </c:layout>
      <c:barChart>
        <c:barDir val="col"/>
        <c:grouping val="stacked"/>
        <c:varyColors val="0"/>
        <c:ser>
          <c:idx val="0"/>
          <c:order val="0"/>
          <c:tx>
            <c:strRef>
              <c:f>Sheet1!$B$1</c:f>
              <c:strCache>
                <c:ptCount val="1"/>
                <c:pt idx="0">
                  <c:v>Series 1</c:v>
                </c:pt>
              </c:strCache>
            </c:strRef>
          </c:tx>
          <c:spPr>
            <a:noFill/>
            <a:ln>
              <a:noFill/>
            </a:ln>
            <a:effectLst/>
          </c:spPr>
          <c:invertIfNegative val="0"/>
          <c:cat>
            <c:strRef>
              <c:f>Sheet1!$A$2:$A$32</c:f>
              <c:strCache>
                <c:ptCount val="30"/>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pt idx="19">
                  <c:v>Οργανική μείωση ΜΕΑ</c:v>
                </c:pt>
                <c:pt idx="20">
                  <c:v>Πωλήσεις</c:v>
                </c:pt>
                <c:pt idx="21">
                  <c:v>Λογιστικές διαγραφές</c:v>
                </c:pt>
                <c:pt idx="22">
                  <c:v>ΜΕΑ B' τρίμηνο 2020</c:v>
                </c:pt>
                <c:pt idx="23">
                  <c:v>Οργανική μείωση ΜΕΑ</c:v>
                </c:pt>
                <c:pt idx="24">
                  <c:v>Λογιστικές διαγραφές</c:v>
                </c:pt>
                <c:pt idx="25">
                  <c:v>ΜΕΑ Γ' τρίμηνο 2020</c:v>
                </c:pt>
                <c:pt idx="26">
                  <c:v>Οργανική μείωση ΜΕΑ</c:v>
                </c:pt>
                <c:pt idx="27">
                  <c:v>Πωλήσεις</c:v>
                </c:pt>
                <c:pt idx="28">
                  <c:v>Λογιστικές διαγραφές</c:v>
                </c:pt>
                <c:pt idx="29">
                  <c:v>ΜΕΑ Δ' τρίμηνο 2020</c:v>
                </c:pt>
              </c:strCache>
            </c:strRef>
          </c:cat>
          <c:val>
            <c:numRef>
              <c:f>Sheet1!$B$2:$B$32</c:f>
              <c:numCache>
                <c:formatCode>0.000</c:formatCode>
                <c:ptCount val="30"/>
                <c:pt idx="1">
                  <c:v>20.348000000000003</c:v>
                </c:pt>
                <c:pt idx="2">
                  <c:v>19.147000000000002</c:v>
                </c:pt>
                <c:pt idx="4">
                  <c:v>18.952999999999999</c:v>
                </c:pt>
                <c:pt idx="5">
                  <c:v>17.696999999999996</c:v>
                </c:pt>
                <c:pt idx="7">
                  <c:v>17.073999999999995</c:v>
                </c:pt>
                <c:pt idx="8">
                  <c:v>16.266999999999996</c:v>
                </c:pt>
                <c:pt idx="9" formatCode="0.00">
                  <c:v>15.554999999999994</c:v>
                </c:pt>
                <c:pt idx="11">
                  <c:v>14.151999999999994</c:v>
                </c:pt>
                <c:pt idx="12">
                  <c:v>11.075999999999993</c:v>
                </c:pt>
                <c:pt idx="13">
                  <c:v>10.809999999999993</c:v>
                </c:pt>
                <c:pt idx="15">
                  <c:v>10.693999999999994</c:v>
                </c:pt>
                <c:pt idx="16">
                  <c:v>10.647999999999994</c:v>
                </c:pt>
                <c:pt idx="17">
                  <c:v>10.636999999999995</c:v>
                </c:pt>
                <c:pt idx="19">
                  <c:v>10.350999999999996</c:v>
                </c:pt>
                <c:pt idx="20">
                  <c:v>10.339999999999996</c:v>
                </c:pt>
                <c:pt idx="21">
                  <c:v>10.289999999999996</c:v>
                </c:pt>
                <c:pt idx="23">
                  <c:v>10.132999999999996</c:v>
                </c:pt>
                <c:pt idx="24">
                  <c:v>10.116999999999996</c:v>
                </c:pt>
                <c:pt idx="26">
                  <c:v>9.9919999999999956</c:v>
                </c:pt>
                <c:pt idx="27">
                  <c:v>4.3209999999999953</c:v>
                </c:pt>
                <c:pt idx="28">
                  <c:v>4.3099999999999952</c:v>
                </c:pt>
              </c:numCache>
            </c:numRef>
          </c:val>
        </c:ser>
        <c:ser>
          <c:idx val="1"/>
          <c:order val="1"/>
          <c:tx>
            <c:strRef>
              <c:f>Sheet1!$C$1</c:f>
              <c:strCache>
                <c:ptCount val="1"/>
                <c:pt idx="0">
                  <c:v>Series 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dPt>
          <c:dPt>
            <c:idx val="3"/>
            <c:invertIfNegative val="0"/>
            <c:bubble3D val="0"/>
            <c:spPr>
              <a:solidFill>
                <a:srgbClr val="008080"/>
              </a:solidFill>
              <a:ln>
                <a:solidFill>
                  <a:srgbClr val="008080"/>
                </a:solidFill>
              </a:ln>
              <a:effectLst/>
            </c:spPr>
          </c:dPt>
          <c:dPt>
            <c:idx val="6"/>
            <c:invertIfNegative val="0"/>
            <c:bubble3D val="0"/>
            <c:spPr>
              <a:solidFill>
                <a:srgbClr val="008080"/>
              </a:solidFill>
              <a:ln>
                <a:solidFill>
                  <a:srgbClr val="008080"/>
                </a:solidFill>
              </a:ln>
              <a:effectLst/>
            </c:spPr>
          </c:dPt>
          <c:dPt>
            <c:idx val="10"/>
            <c:invertIfNegative val="0"/>
            <c:bubble3D val="0"/>
            <c:spPr>
              <a:solidFill>
                <a:srgbClr val="008080"/>
              </a:solidFill>
              <a:ln>
                <a:solidFill>
                  <a:srgbClr val="008080"/>
                </a:solidFill>
              </a:ln>
              <a:effectLst/>
            </c:spPr>
          </c:dPt>
          <c:dPt>
            <c:idx val="14"/>
            <c:invertIfNegative val="0"/>
            <c:bubble3D val="0"/>
            <c:spPr>
              <a:solidFill>
                <a:srgbClr val="008080"/>
              </a:solidFill>
              <a:ln>
                <a:solidFill>
                  <a:srgbClr val="008080"/>
                </a:solidFill>
              </a:ln>
              <a:effectLst/>
            </c:spPr>
          </c:dPt>
          <c:dPt>
            <c:idx val="18"/>
            <c:invertIfNegative val="0"/>
            <c:bubble3D val="0"/>
            <c:spPr>
              <a:solidFill>
                <a:srgbClr val="008080"/>
              </a:solidFill>
              <a:ln>
                <a:solidFill>
                  <a:srgbClr val="008080"/>
                </a:solidFill>
              </a:ln>
              <a:effectLst/>
            </c:spPr>
          </c:dPt>
          <c:dPt>
            <c:idx val="19"/>
            <c:invertIfNegative val="0"/>
            <c:bubble3D val="0"/>
            <c:spPr>
              <a:solidFill>
                <a:srgbClr val="008080"/>
              </a:solidFill>
              <a:ln>
                <a:solidFill>
                  <a:srgbClr val="008080"/>
                </a:solidFill>
              </a:ln>
              <a:effectLst/>
            </c:spPr>
          </c:dPt>
          <c:dPt>
            <c:idx val="22"/>
            <c:invertIfNegative val="0"/>
            <c:bubble3D val="0"/>
            <c:spPr>
              <a:solidFill>
                <a:srgbClr val="008080"/>
              </a:solidFill>
              <a:ln>
                <a:noFill/>
              </a:ln>
              <a:effectLst/>
            </c:spPr>
          </c:dPt>
          <c:dPt>
            <c:idx val="25"/>
            <c:invertIfNegative val="0"/>
            <c:bubble3D val="0"/>
            <c:spPr>
              <a:solidFill>
                <a:srgbClr val="008080"/>
              </a:solidFill>
              <a:ln>
                <a:solidFill>
                  <a:srgbClr val="008080"/>
                </a:solidFill>
              </a:ln>
              <a:effectLst/>
            </c:spPr>
          </c:dPt>
          <c:dPt>
            <c:idx val="26"/>
            <c:invertIfNegative val="0"/>
            <c:bubble3D val="0"/>
            <c:spPr>
              <a:solidFill>
                <a:srgbClr val="FF7E10"/>
              </a:solidFill>
              <a:ln>
                <a:solidFill>
                  <a:srgbClr val="008080"/>
                </a:solidFill>
              </a:ln>
              <a:effectLst/>
            </c:spPr>
          </c:dPt>
          <c:dPt>
            <c:idx val="29"/>
            <c:invertIfNegative val="0"/>
            <c:bubble3D val="0"/>
            <c:spPr>
              <a:solidFill>
                <a:srgbClr val="008080"/>
              </a:solidFill>
              <a:ln>
                <a:solidFill>
                  <a:srgbClr val="008080"/>
                </a:solidFill>
              </a:ln>
              <a:effectLst/>
            </c:spPr>
          </c:dPt>
          <c:dLbls>
            <c:dLbl>
              <c:idx val="0"/>
              <c:layout>
                <c:manualLayout>
                  <c:x val="2.4032684450853172E-3"/>
                  <c:y val="-0.27067669172932346"/>
                </c:manualLayout>
              </c:layout>
              <c:tx>
                <c:rich>
                  <a:bodyPr/>
                  <a:lstStyle/>
                  <a:p>
                    <a:r>
                      <a:rPr lang="en-US"/>
                      <a:t>22,0</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1.1009802903834937E-17"/>
                  <c:y val="6.7845383753790706E-2"/>
                </c:manualLayout>
              </c:layout>
              <c:tx>
                <c:rich>
                  <a:bodyPr/>
                  <a:lstStyle/>
                  <a:p>
                    <a:r>
                      <a:rPr lang="en-US"/>
                      <a:t>-1,6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2.4021665650947417E-3"/>
                  <c:y val="6.0307007781147316E-2"/>
                </c:manualLayout>
              </c:layout>
              <c:tx>
                <c:rich>
                  <a:bodyPr/>
                  <a:lstStyle/>
                  <a:p>
                    <a:r>
                      <a:rPr lang="en-US"/>
                      <a:t>-1,2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3"/>
              <c:layout>
                <c:manualLayout>
                  <c:x val="-2.4021665650947642E-3"/>
                  <c:y val="-0.24122803112458921"/>
                </c:manualLayout>
              </c:layout>
              <c:tx>
                <c:rich>
                  <a:bodyPr/>
                  <a:lstStyle/>
                  <a:p>
                    <a:r>
                      <a:rPr lang="en-US"/>
                      <a:t>19,2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4"/>
              <c:layout>
                <c:manualLayout>
                  <c:x val="0"/>
                  <c:y val="4.5230255835860482E-2"/>
                </c:manualLayout>
              </c:layout>
              <c:tx>
                <c:rich>
                  <a:bodyPr/>
                  <a:lstStyle/>
                  <a:p>
                    <a:r>
                      <a:rPr lang="en-US"/>
                      <a:t>-0,2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5"/>
              <c:layout>
                <c:manualLayout>
                  <c:x val="0"/>
                  <c:y val="4.5230255835860482E-2"/>
                </c:manualLayout>
              </c:layout>
              <c:tx>
                <c:rich>
                  <a:bodyPr/>
                  <a:lstStyle/>
                  <a:p>
                    <a:r>
                      <a:rPr lang="en-US"/>
                      <a:t>-1,3</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6"/>
              <c:layout>
                <c:manualLayout>
                  <c:x val="-2.4021665650947417E-3"/>
                  <c:y val="-0.22615127917930233"/>
                </c:manualLayout>
              </c:layout>
              <c:tx>
                <c:rich>
                  <a:bodyPr/>
                  <a:lstStyle/>
                  <a:p>
                    <a:r>
                      <a:rPr lang="en-US"/>
                      <a:t>17,7</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7"/>
              <c:layout>
                <c:manualLayout>
                  <c:x val="-4.4039211615339774E-17"/>
                  <c:y val="4.5230255835860482E-2"/>
                </c:manualLayout>
              </c:layout>
              <c:tx>
                <c:rich>
                  <a:bodyPr/>
                  <a:lstStyle/>
                  <a:p>
                    <a:r>
                      <a:rPr lang="en-US"/>
                      <a:t>-0,6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8"/>
              <c:layout>
                <c:manualLayout>
                  <c:x val="4.4039211615339774E-17"/>
                  <c:y val="6.0307007781147316E-2"/>
                </c:manualLayout>
              </c:layout>
              <c:tx>
                <c:rich>
                  <a:bodyPr/>
                  <a:lstStyle/>
                  <a:p>
                    <a:r>
                      <a:rPr lang="en-US"/>
                      <a:t>-0,8</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9"/>
              <c:layout>
                <c:manualLayout>
                  <c:x val="0"/>
                  <c:y val="5.2768631808503934E-2"/>
                </c:manualLayout>
              </c:layout>
              <c:tx>
                <c:rich>
                  <a:bodyPr/>
                  <a:lstStyle/>
                  <a:p>
                    <a:r>
                      <a:rPr lang="en-US"/>
                      <a:t>-0,7</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0"/>
              <c:layout>
                <c:manualLayout>
                  <c:x val="0"/>
                  <c:y val="-0.2110745272340154"/>
                </c:manualLayout>
              </c:layout>
              <c:tx>
                <c:rich>
                  <a:bodyPr/>
                  <a:lstStyle/>
                  <a:p>
                    <a:r>
                      <a:rPr lang="en-US"/>
                      <a:t>15,6</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1"/>
              <c:layout>
                <c:manualLayout>
                  <c:x val="0"/>
                  <c:y val="5.2768631808503934E-2"/>
                </c:manualLayout>
              </c:layout>
              <c:tx>
                <c:rich>
                  <a:bodyPr/>
                  <a:lstStyle/>
                  <a:p>
                    <a:r>
                      <a:rPr lang="en-US"/>
                      <a:t>-1,4</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2"/>
              <c:layout>
                <c:manualLayout>
                  <c:x val="0"/>
                  <c:y val="6.7791968590283122E-2"/>
                </c:manualLayout>
              </c:layout>
              <c:tx>
                <c:rich>
                  <a:bodyPr/>
                  <a:lstStyle/>
                  <a:p>
                    <a:r>
                      <a:rPr lang="en-US"/>
                      <a:t>-3,1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3"/>
              <c:layout>
                <c:manualLayout>
                  <c:x val="0"/>
                  <c:y val="4.5230255835860496E-2"/>
                </c:manualLayout>
              </c:layout>
              <c:tx>
                <c:rich>
                  <a:bodyPr/>
                  <a:lstStyle/>
                  <a:p>
                    <a:r>
                      <a:rPr lang="en-US"/>
                      <a:t>-0,3</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4"/>
              <c:layout>
                <c:manualLayout>
                  <c:x val="-1.9723865877712033E-3"/>
                  <c:y val="-0.17277000414624352"/>
                </c:manualLayout>
              </c:layout>
              <c:tx>
                <c:rich>
                  <a:bodyPr/>
                  <a:lstStyle/>
                  <a:p>
                    <a:r>
                      <a:rPr lang="en-US"/>
                      <a:t>10,8</a:t>
                    </a:r>
                  </a:p>
                </c:rich>
              </c:tx>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
                  <c:y val="4.5230255835860482E-2"/>
                </c:manualLayout>
              </c:layout>
              <c:tx>
                <c:rich>
                  <a:bodyPr/>
                  <a:lstStyle/>
                  <a:p>
                    <a:r>
                      <a:rPr lang="en-US"/>
                      <a:t>-0,1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6"/>
              <c:layout>
                <c:manualLayout>
                  <c:x val="8.8078423230679573E-17"/>
                  <c:y val="5.2768631808503934E-2"/>
                </c:manualLayout>
              </c:layout>
              <c:tx>
                <c:rich>
                  <a:bodyPr/>
                  <a:lstStyle/>
                  <a:p>
                    <a:r>
                      <a:rPr lang="en-US"/>
                      <a:t>-0,05</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7"/>
              <c:layout>
                <c:manualLayout>
                  <c:x val="0"/>
                  <c:y val="4.5230255835860482E-2"/>
                </c:manualLayout>
              </c:layout>
              <c:tx>
                <c:rich>
                  <a:bodyPr/>
                  <a:lstStyle/>
                  <a:p>
                    <a:r>
                      <a:rPr lang="en-US"/>
                      <a:t>-0,01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18"/>
              <c:layout>
                <c:manualLayout>
                  <c:x val="0"/>
                  <c:y val="-0.18092102334344193"/>
                </c:manualLayout>
              </c:layout>
              <c:tx>
                <c:rich>
                  <a:bodyPr/>
                  <a:lstStyle/>
                  <a:p>
                    <a:pPr>
                      <a:defRPr lang="el-GR" sz="600" b="0"/>
                    </a:pPr>
                    <a:r>
                      <a:rPr lang="en-US" b="0"/>
                      <a:t>10,6</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9"/>
              <c:layout>
                <c:manualLayout>
                  <c:x val="0"/>
                  <c:y val="4.5230255835860496E-2"/>
                </c:manualLayout>
              </c:layout>
              <c:tx>
                <c:rich>
                  <a:bodyPr/>
                  <a:lstStyle/>
                  <a:p>
                    <a:r>
                      <a:rPr lang="en-US"/>
                      <a:t>-0,3</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0"/>
              <c:layout>
                <c:manualLayout>
                  <c:x val="0"/>
                  <c:y val="4.5230255835860482E-2"/>
                </c:manualLayout>
              </c:layout>
              <c:tx>
                <c:rich>
                  <a:bodyPr/>
                  <a:lstStyle/>
                  <a:p>
                    <a:r>
                      <a:rPr lang="en-US"/>
                      <a:t>-0,01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1"/>
              <c:layout>
                <c:manualLayout>
                  <c:x val="0"/>
                  <c:y val="4.5230255835860482E-2"/>
                </c:manualLayout>
              </c:layout>
              <c:tx>
                <c:rich>
                  <a:bodyPr/>
                  <a:lstStyle/>
                  <a:p>
                    <a:r>
                      <a:rPr lang="en-US"/>
                      <a:t>-0,05</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2"/>
              <c:layout>
                <c:manualLayout>
                  <c:x val="-8.5800905546765224E-4"/>
                  <c:y val="-0.16586683710759384"/>
                </c:manualLayout>
              </c:layout>
              <c:tx>
                <c:rich>
                  <a:bodyPr wrap="square" lIns="38100" tIns="19050" rIns="38100" bIns="19050" anchor="ctr">
                    <a:noAutofit/>
                  </a:bodyPr>
                  <a:lstStyle/>
                  <a:p>
                    <a:pPr>
                      <a:defRPr lang="el-GR" sz="600"/>
                    </a:pPr>
                    <a:r>
                      <a:rPr lang="en-US" b="0"/>
                      <a:t>10,3</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manualLayout>
                      <c:w val="4.5388259583858614E-2"/>
                      <c:h val="9.6655392709507709E-2"/>
                    </c:manualLayout>
                  </c15:layout>
                </c:ext>
              </c:extLst>
            </c:dLbl>
            <c:dLbl>
              <c:idx val="23"/>
              <c:layout>
                <c:manualLayout>
                  <c:x val="0"/>
                  <c:y val="4.5230255835860482E-2"/>
                </c:manualLayout>
              </c:layout>
              <c:tx>
                <c:rich>
                  <a:bodyPr/>
                  <a:lstStyle/>
                  <a:p>
                    <a:r>
                      <a:rPr lang="en-US"/>
                      <a:t>-0,2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4"/>
              <c:layout>
                <c:manualLayout>
                  <c:x val="0"/>
                  <c:y val="5.2768631808503934E-2"/>
                </c:manualLayout>
              </c:layout>
              <c:tx>
                <c:rich>
                  <a:bodyPr/>
                  <a:lstStyle/>
                  <a:p>
                    <a:r>
                      <a:rPr lang="en-US"/>
                      <a:t>-0,02</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5"/>
              <c:layout>
                <c:manualLayout>
                  <c:x val="4.2923755572281787E-4"/>
                  <c:y val="-0.15770105963361122"/>
                </c:manualLayout>
              </c:layout>
              <c:tx>
                <c:rich>
                  <a:bodyPr/>
                  <a:lstStyle/>
                  <a:p>
                    <a:pPr>
                      <a:defRPr lang="el-GR" sz="600" b="0"/>
                    </a:pPr>
                    <a:r>
                      <a:rPr lang="en-US" b="0"/>
                      <a:t>10,1</a:t>
                    </a:r>
                  </a:p>
                </c:rich>
              </c:tx>
              <c:numFmt formatCode="#,##0.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26"/>
              <c:layout>
                <c:manualLayout>
                  <c:x val="0"/>
                  <c:y val="4.4625340659925898E-2"/>
                </c:manualLayout>
              </c:layout>
              <c:tx>
                <c:rich>
                  <a:bodyPr wrap="square" lIns="38100" tIns="19050" rIns="38100" bIns="19050" anchor="ctr">
                    <a:spAutoFit/>
                  </a:bodyPr>
                  <a:lstStyle/>
                  <a:p>
                    <a:pPr>
                      <a:defRPr lang="el-GR" sz="600" b="0"/>
                    </a:pPr>
                    <a:r>
                      <a:rPr lang="en-US" b="0"/>
                      <a:t>-0,1</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dLbl>
              <c:idx val="27"/>
              <c:layout>
                <c:manualLayout>
                  <c:x val="-1.4468281777684751E-16"/>
                  <c:y val="9.0191657271702294E-2"/>
                </c:manualLayout>
              </c:layout>
              <c:tx>
                <c:rich>
                  <a:bodyPr/>
                  <a:lstStyle/>
                  <a:p>
                    <a:r>
                      <a:rPr lang="en-US"/>
                      <a:t>-5,7</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8"/>
              <c:layout>
                <c:manualLayout>
                  <c:x val="0"/>
                  <c:y val="4.5095828635851112E-2"/>
                </c:manualLayout>
              </c:layout>
              <c:tx>
                <c:rich>
                  <a:bodyPr/>
                  <a:lstStyle/>
                  <a:p>
                    <a:r>
                      <a:rPr lang="en-US"/>
                      <a:t>-0,01</a:t>
                    </a:r>
                  </a:p>
                </c:rich>
              </c:tx>
              <c:showLegendKey val="0"/>
              <c:showVal val="1"/>
              <c:showCatName val="0"/>
              <c:showSerName val="0"/>
              <c:showPercent val="0"/>
              <c:showBubbleSize val="0"/>
              <c:separator>. </c:separator>
              <c:extLst>
                <c:ext xmlns:c15="http://schemas.microsoft.com/office/drawing/2012/chart" uri="{CE6537A1-D6FC-4f65-9D91-7224C49458BB}">
                  <c15:layout/>
                </c:ext>
              </c:extLst>
            </c:dLbl>
            <c:dLbl>
              <c:idx val="29"/>
              <c:layout>
                <c:manualLayout>
                  <c:x val="0"/>
                  <c:y val="-8.2675685832393903E-2"/>
                </c:manualLayout>
              </c:layout>
              <c:tx>
                <c:rich>
                  <a:bodyPr/>
                  <a:lstStyle/>
                  <a:p>
                    <a:pPr>
                      <a:defRPr lang="el-GR" sz="600" b="1"/>
                    </a:pPr>
                    <a:r>
                      <a:rPr lang="en-US" b="1"/>
                      <a:t>4,3</a:t>
                    </a:r>
                  </a:p>
                </c:rich>
              </c:tx>
              <c:numFmt formatCode="#,##0.0" sourceLinked="0"/>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ext>
              </c:extLst>
            </c:dLbl>
            <c:numFmt formatCode="#,##0.00" sourceLinked="0"/>
            <c:spPr>
              <a:noFill/>
              <a:ln>
                <a:noFill/>
              </a:ln>
              <a:effectLst/>
            </c:spPr>
            <c:txPr>
              <a:bodyPr/>
              <a:lstStyle/>
              <a:p>
                <a:pPr>
                  <a:defRPr lang="el-GR" sz="600"/>
                </a:pPr>
                <a:endParaRPr lang="el-GR"/>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Sheet1!$A$2:$A$32</c:f>
              <c:strCache>
                <c:ptCount val="30"/>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pt idx="19">
                  <c:v>Οργανική μείωση ΜΕΑ</c:v>
                </c:pt>
                <c:pt idx="20">
                  <c:v>Πωλήσεις</c:v>
                </c:pt>
                <c:pt idx="21">
                  <c:v>Λογιστικές διαγραφές</c:v>
                </c:pt>
                <c:pt idx="22">
                  <c:v>ΜΕΑ B' τρίμηνο 2020</c:v>
                </c:pt>
                <c:pt idx="23">
                  <c:v>Οργανική μείωση ΜΕΑ</c:v>
                </c:pt>
                <c:pt idx="24">
                  <c:v>Λογιστικές διαγραφές</c:v>
                </c:pt>
                <c:pt idx="25">
                  <c:v>ΜΕΑ Γ' τρίμηνο 2020</c:v>
                </c:pt>
                <c:pt idx="26">
                  <c:v>Οργανική μείωση ΜΕΑ</c:v>
                </c:pt>
                <c:pt idx="27">
                  <c:v>Πωλήσεις</c:v>
                </c:pt>
                <c:pt idx="28">
                  <c:v>Λογιστικές διαγραφές</c:v>
                </c:pt>
                <c:pt idx="29">
                  <c:v>ΜΕΑ Δ' τρίμηνο 2020</c:v>
                </c:pt>
              </c:strCache>
            </c:strRef>
          </c:cat>
          <c:val>
            <c:numRef>
              <c:f>Sheet1!$C$2:$C$32</c:f>
              <c:numCache>
                <c:formatCode>0.000</c:formatCode>
                <c:ptCount val="30"/>
                <c:pt idx="0">
                  <c:v>21.981000000000002</c:v>
                </c:pt>
                <c:pt idx="1">
                  <c:v>1.633</c:v>
                </c:pt>
                <c:pt idx="2">
                  <c:v>1.2010000000000001</c:v>
                </c:pt>
                <c:pt idx="3">
                  <c:v>19.189</c:v>
                </c:pt>
                <c:pt idx="4">
                  <c:v>0.23600000000000002</c:v>
                </c:pt>
                <c:pt idx="5" formatCode="0.00">
                  <c:v>1.2560000000000029</c:v>
                </c:pt>
                <c:pt idx="6">
                  <c:v>17.696999999999996</c:v>
                </c:pt>
                <c:pt idx="7">
                  <c:v>0.623</c:v>
                </c:pt>
                <c:pt idx="8">
                  <c:v>0.80699999999999994</c:v>
                </c:pt>
                <c:pt idx="9">
                  <c:v>0.70699999999999996</c:v>
                </c:pt>
                <c:pt idx="10">
                  <c:v>15.554999999999994</c:v>
                </c:pt>
                <c:pt idx="11">
                  <c:v>1.403</c:v>
                </c:pt>
                <c:pt idx="12">
                  <c:v>3.0759999999999996</c:v>
                </c:pt>
                <c:pt idx="13">
                  <c:v>0.26700000000000002</c:v>
                </c:pt>
                <c:pt idx="14">
                  <c:v>10.809999999999993</c:v>
                </c:pt>
                <c:pt idx="15">
                  <c:v>0.11600000000000001</c:v>
                </c:pt>
                <c:pt idx="16">
                  <c:v>4.5999999999999999E-2</c:v>
                </c:pt>
                <c:pt idx="17">
                  <c:v>1.0999999999999999E-2</c:v>
                </c:pt>
                <c:pt idx="18">
                  <c:v>10.636999999999995</c:v>
                </c:pt>
                <c:pt idx="19">
                  <c:v>0.28599999999999998</c:v>
                </c:pt>
                <c:pt idx="20">
                  <c:v>1.0999999999999999E-2</c:v>
                </c:pt>
                <c:pt idx="21">
                  <c:v>0.05</c:v>
                </c:pt>
                <c:pt idx="22">
                  <c:v>10.289999999999996</c:v>
                </c:pt>
                <c:pt idx="23">
                  <c:v>0.157</c:v>
                </c:pt>
                <c:pt idx="24">
                  <c:v>1.6E-2</c:v>
                </c:pt>
                <c:pt idx="25">
                  <c:v>10.116999999999996</c:v>
                </c:pt>
                <c:pt idx="26">
                  <c:v>0.125</c:v>
                </c:pt>
                <c:pt idx="27">
                  <c:v>5.6710000000000003</c:v>
                </c:pt>
                <c:pt idx="28">
                  <c:v>1.0999999999999999E-2</c:v>
                </c:pt>
                <c:pt idx="29">
                  <c:v>4.3099999999999952</c:v>
                </c:pt>
              </c:numCache>
            </c:numRef>
          </c:val>
        </c:ser>
        <c:dLbls>
          <c:showLegendKey val="0"/>
          <c:showVal val="0"/>
          <c:showCatName val="0"/>
          <c:showSerName val="0"/>
          <c:showPercent val="0"/>
          <c:showBubbleSize val="0"/>
        </c:dLbls>
        <c:gapWidth val="150"/>
        <c:overlap val="100"/>
        <c:axId val="260615664"/>
        <c:axId val="260616448"/>
      </c:barChart>
      <c:catAx>
        <c:axId val="2606156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260616448"/>
        <c:crosses val="autoZero"/>
        <c:auto val="1"/>
        <c:lblAlgn val="ctr"/>
        <c:lblOffset val="100"/>
        <c:noMultiLvlLbl val="0"/>
      </c:catAx>
      <c:valAx>
        <c:axId val="260616448"/>
        <c:scaling>
          <c:orientation val="minMax"/>
          <c:min val="0"/>
        </c:scaling>
        <c:delete val="1"/>
        <c:axPos val="l"/>
        <c:numFmt formatCode="0.000" sourceLinked="1"/>
        <c:majorTickMark val="out"/>
        <c:minorTickMark val="none"/>
        <c:tickLblPos val="nextTo"/>
        <c:crossAx val="26061566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732631427552933E-2"/>
          <c:y val="0.1404235193266257"/>
          <c:w val="0.84241266708989271"/>
          <c:h val="0.70086758277692995"/>
        </c:manualLayout>
      </c:layout>
      <c:barChart>
        <c:barDir val="col"/>
        <c:grouping val="stacked"/>
        <c:varyColors val="0"/>
        <c:ser>
          <c:idx val="0"/>
          <c:order val="0"/>
          <c:tx>
            <c:strRef>
              <c:f>Sheet1!$B$1</c:f>
              <c:strCache>
                <c:ptCount val="1"/>
                <c:pt idx="0">
                  <c:v>Series 1</c:v>
                </c:pt>
              </c:strCache>
            </c:strRef>
          </c:tx>
          <c:spPr>
            <a:noFill/>
            <a:ln>
              <a:solidFill>
                <a:srgbClr val="008080"/>
              </a:solidFill>
            </a:ln>
            <a:effectLst/>
          </c:spPr>
          <c:invertIfNegative val="0"/>
          <c:dPt>
            <c:idx val="0"/>
            <c:invertIfNegative val="0"/>
            <c:bubble3D val="0"/>
            <c:spPr>
              <a:solidFill>
                <a:srgbClr val="008080"/>
              </a:solidFill>
              <a:ln w="3175">
                <a:solidFill>
                  <a:srgbClr val="008080"/>
                </a:solidFill>
              </a:ln>
              <a:effectLst/>
            </c:spPr>
          </c:dPt>
          <c:dPt>
            <c:idx val="1"/>
            <c:invertIfNegative val="0"/>
            <c:bubble3D val="0"/>
            <c:spPr>
              <a:noFill/>
              <a:ln>
                <a:noFill/>
              </a:ln>
              <a:effectLst/>
            </c:spPr>
          </c:dPt>
          <c:dPt>
            <c:idx val="2"/>
            <c:invertIfNegative val="0"/>
            <c:bubble3D val="0"/>
            <c:spPr>
              <a:noFill/>
              <a:ln>
                <a:noFill/>
              </a:ln>
              <a:effectLst/>
            </c:spPr>
          </c:dPt>
          <c:dPt>
            <c:idx val="3"/>
            <c:invertIfNegative val="0"/>
            <c:bubble3D val="0"/>
            <c:spPr>
              <a:noFill/>
              <a:ln>
                <a:noFill/>
              </a:ln>
              <a:effectLst/>
            </c:spPr>
          </c:dPt>
          <c:dPt>
            <c:idx val="4"/>
            <c:invertIfNegative val="0"/>
            <c:bubble3D val="0"/>
            <c:spPr>
              <a:solidFill>
                <a:srgbClr val="008080"/>
              </a:solidFill>
              <a:ln>
                <a:solidFill>
                  <a:srgbClr val="008080"/>
                </a:solidFill>
              </a:ln>
              <a:effectLst/>
            </c:spPr>
          </c:dPt>
          <c:dPt>
            <c:idx val="5"/>
            <c:invertIfNegative val="0"/>
            <c:bubble3D val="0"/>
            <c:spPr>
              <a:noFill/>
              <a:ln>
                <a:noFill/>
              </a:ln>
              <a:effectLst/>
            </c:spPr>
          </c:dPt>
          <c:dPt>
            <c:idx val="6"/>
            <c:invertIfNegative val="0"/>
            <c:bubble3D val="0"/>
            <c:spPr>
              <a:noFill/>
              <a:ln>
                <a:noFill/>
              </a:ln>
              <a:effectLst/>
            </c:spPr>
          </c:dPt>
          <c:dPt>
            <c:idx val="7"/>
            <c:invertIfNegative val="0"/>
            <c:bubble3D val="0"/>
            <c:spPr>
              <a:solidFill>
                <a:srgbClr val="FF7415"/>
              </a:solidFill>
              <a:ln>
                <a:solidFill>
                  <a:srgbClr val="FF7415"/>
                </a:solidFill>
              </a:ln>
              <a:effectLst/>
            </c:spPr>
          </c:dPt>
          <c:dPt>
            <c:idx val="9"/>
            <c:invertIfNegative val="0"/>
            <c:bubble3D val="0"/>
            <c:spPr>
              <a:solidFill>
                <a:srgbClr val="FF7415"/>
              </a:solidFill>
              <a:ln>
                <a:solidFill>
                  <a:srgbClr val="FF7415"/>
                </a:solidFill>
              </a:ln>
              <a:effectLst/>
            </c:spPr>
          </c:dPt>
          <c:dLbls>
            <c:dLbl>
              <c:idx val="0"/>
              <c:layout>
                <c:manualLayout>
                  <c:x val="1.9652707261009926E-3"/>
                  <c:y val="-2.3498875199509151E-2"/>
                </c:manualLayout>
              </c:layout>
              <c:tx>
                <c:rich>
                  <a:bodyPr/>
                  <a:lstStyle/>
                  <a:p>
                    <a:r>
                      <a:rPr lang="en-US" b="1"/>
                      <a:t>15,9%</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15,7%</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pPr>
                      <a:defRPr sz="600" b="1">
                        <a:latin typeface="Segoe UI" panose="020B0502040204020203" pitchFamily="34" charset="0"/>
                        <a:cs typeface="Segoe UI" panose="020B0502040204020203" pitchFamily="34" charset="0"/>
                      </a:defRPr>
                    </a:pPr>
                    <a:r>
                      <a:rPr lang="en-US"/>
                      <a:t>6,19%</a:t>
                    </a:r>
                    <a:r>
                      <a:rPr lang="en-US" baseline="30000"/>
                      <a:t>4</a:t>
                    </a:r>
                  </a:p>
                </c:rich>
              </c:tx>
              <c:numFmt formatCode="0.00%" sourceLinked="0"/>
              <c:spPr>
                <a:solidFill>
                  <a:sysClr val="window" lastClr="FFFFFF"/>
                </a:solidFill>
                <a:ln>
                  <a:solidFill>
                    <a:srgbClr val="FF7415"/>
                  </a:solidFill>
                </a:ln>
              </c:spPr>
              <c:showLegendKey val="0"/>
              <c:showVal val="1"/>
              <c:showCatName val="0"/>
              <c:showSerName val="0"/>
              <c:showPercent val="0"/>
              <c:showBubbleSize val="0"/>
              <c:extLst>
                <c:ext xmlns:c15="http://schemas.microsoft.com/office/drawing/2012/chart" uri="{CE6537A1-D6FC-4f65-9D91-7224C49458BB}">
                  <c15:layout/>
                </c:ext>
              </c:extLst>
            </c:dLbl>
            <c:dLbl>
              <c:idx val="9"/>
              <c:tx>
                <c:rich>
                  <a:bodyPr/>
                  <a:lstStyle/>
                  <a:p>
                    <a:pPr>
                      <a:defRPr sz="600" b="1">
                        <a:latin typeface="Segoe UI" panose="020B0502040204020203" pitchFamily="34" charset="0"/>
                        <a:cs typeface="Segoe UI" panose="020B0502040204020203" pitchFamily="34" charset="0"/>
                      </a:defRPr>
                    </a:pPr>
                    <a:r>
                      <a:rPr lang="en-US" sz="600" b="1">
                        <a:latin typeface="Segoe UI" panose="020B0502040204020203" pitchFamily="34" charset="0"/>
                        <a:cs typeface="Segoe UI" panose="020B0502040204020203" pitchFamily="34" charset="0"/>
                      </a:rPr>
                      <a:t>6.19%</a:t>
                    </a:r>
                    <a:r>
                      <a:rPr lang="en-US" sz="600" b="1" baseline="30000">
                        <a:latin typeface="Segoe UI" panose="020B0502040204020203" pitchFamily="34" charset="0"/>
                        <a:cs typeface="Segoe UI" panose="020B0502040204020203" pitchFamily="34" charset="0"/>
                      </a:rPr>
                      <a:t>4</a:t>
                    </a:r>
                    <a:endParaRPr lang="en-US" sz="600" baseline="30000">
                      <a:latin typeface="Segoe UI" panose="020B0502040204020203" pitchFamily="34" charset="0"/>
                      <a:cs typeface="Segoe UI" panose="020B0502040204020203" pitchFamily="34" charset="0"/>
                    </a:endParaRPr>
                  </a:p>
                </c:rich>
              </c:tx>
              <c:numFmt formatCode="0.00%" sourceLinked="0"/>
              <c:spPr>
                <a:solidFill>
                  <a:sysClr val="window" lastClr="FFFFFF"/>
                </a:solidFill>
                <a:ln>
                  <a:solidFill>
                    <a:srgbClr val="FF7415"/>
                  </a:solidFill>
                </a:ln>
              </c:spPr>
              <c:showLegendKey val="0"/>
              <c:showVal val="1"/>
              <c:showCatName val="0"/>
              <c:showSerName val="0"/>
              <c:showPercent val="0"/>
              <c:showBubbleSize val="0"/>
              <c:extLst>
                <c:ext xmlns:c15="http://schemas.microsoft.com/office/drawing/2012/chart" uri="{CE6537A1-D6FC-4f65-9D91-7224C49458BB}"/>
              </c:extLst>
            </c:dLbl>
            <c:numFmt formatCode="0.00%" sourceLinked="0"/>
            <c:spPr>
              <a:solidFill>
                <a:sysClr val="window" lastClr="FFFFFF"/>
              </a:solidFill>
              <a:ln>
                <a:solidFill>
                  <a:srgbClr val="008080"/>
                </a:solidFill>
              </a:ln>
            </c:spPr>
            <c:txPr>
              <a:bodyPr/>
              <a:lstStyle/>
              <a:p>
                <a:pPr>
                  <a:defRPr sz="600" b="1">
                    <a:latin typeface="Segoe UI" panose="020B0502040204020203" pitchFamily="34" charset="0"/>
                    <a:cs typeface="Segoe UI" panose="020B0502040204020203" pitchFamily="34" charset="0"/>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Sheet1!$A$2:$A$9</c:f>
              <c:strCache>
                <c:ptCount val="8"/>
                <c:pt idx="0">
                  <c:v>Δείκτης CET1 Γ' τριμήνου 2020</c:v>
                </c:pt>
                <c:pt idx="1">
                  <c:v>Αποτέλεσμα μετά φόρων Δ' τριμήνου 2020 </c:v>
                </c:pt>
                <c:pt idx="2">
                  <c:v>Συναλλαγή Frontier </c:v>
                </c:pt>
                <c:pt idx="3">
                  <c:v>Λοιπά</c:v>
                </c:pt>
                <c:pt idx="4">
                  <c:v>Δείκτης CET1 Δ' τριμήνου 2020</c:v>
                </c:pt>
                <c:pt idx="5">
                  <c:v>Ολοκλήρωση συναλλαγών Frontier &amp; Εθνικής Ασφαλιστικής</c:v>
                </c:pt>
                <c:pt idx="7">
                  <c:v>Κεφαλαικές απαιτήσεις 2021 </c:v>
                </c:pt>
              </c:strCache>
            </c:strRef>
          </c:cat>
          <c:val>
            <c:numRef>
              <c:f>Sheet1!$B$2:$B$9</c:f>
              <c:numCache>
                <c:formatCode>0.00%</c:formatCode>
                <c:ptCount val="8"/>
                <c:pt idx="0">
                  <c:v>0.15890000000000001</c:v>
                </c:pt>
                <c:pt idx="1">
                  <c:v>0.15890000000000001</c:v>
                </c:pt>
                <c:pt idx="2">
                  <c:v>0.15778</c:v>
                </c:pt>
                <c:pt idx="3">
                  <c:v>0.15702869999999999</c:v>
                </c:pt>
                <c:pt idx="4">
                  <c:v>0.15702869999999999</c:v>
                </c:pt>
                <c:pt idx="5">
                  <c:v>0.16699999999999998</c:v>
                </c:pt>
                <c:pt idx="7">
                  <c:v>6.1899999999999997E-2</c:v>
                </c:pt>
              </c:numCache>
            </c:numRef>
          </c:val>
        </c:ser>
        <c:ser>
          <c:idx val="1"/>
          <c:order val="1"/>
          <c:tx>
            <c:strRef>
              <c:f>Sheet1!$C$1</c:f>
              <c:strCache>
                <c:ptCount val="1"/>
                <c:pt idx="0">
                  <c:v>Series 2</c:v>
                </c:pt>
              </c:strCache>
            </c:strRef>
          </c:tx>
          <c:spPr>
            <a:noFill/>
            <a:ln w="9525">
              <a:solidFill>
                <a:srgbClr val="008080"/>
              </a:solidFill>
            </a:ln>
            <a:effectLst/>
          </c:spPr>
          <c:invertIfNegative val="0"/>
          <c:dPt>
            <c:idx val="0"/>
            <c:invertIfNegative val="0"/>
            <c:bubble3D val="0"/>
            <c:spPr>
              <a:noFill/>
              <a:ln w="9525">
                <a:solidFill>
                  <a:srgbClr val="008080"/>
                </a:solidFill>
                <a:prstDash val="dash"/>
              </a:ln>
              <a:effectLst/>
            </c:spPr>
          </c:dPt>
          <c:dPt>
            <c:idx val="1"/>
            <c:invertIfNegative val="0"/>
            <c:bubble3D val="0"/>
          </c:dPt>
          <c:dPt>
            <c:idx val="2"/>
            <c:invertIfNegative val="0"/>
            <c:bubble3D val="0"/>
            <c:spPr>
              <a:noFill/>
              <a:ln w="9525">
                <a:solidFill>
                  <a:srgbClr val="FF0000"/>
                </a:solidFill>
              </a:ln>
              <a:effectLst/>
            </c:spPr>
          </c:dPt>
          <c:dPt>
            <c:idx val="3"/>
            <c:invertIfNegative val="0"/>
            <c:bubble3D val="0"/>
            <c:spPr>
              <a:noFill/>
              <a:ln w="9525">
                <a:solidFill>
                  <a:srgbClr val="FF0000"/>
                </a:solidFill>
              </a:ln>
              <a:effectLst/>
            </c:spPr>
          </c:dPt>
          <c:dPt>
            <c:idx val="4"/>
            <c:invertIfNegative val="0"/>
            <c:bubble3D val="0"/>
            <c:spPr>
              <a:noFill/>
              <a:ln w="9525">
                <a:solidFill>
                  <a:srgbClr val="008080"/>
                </a:solidFill>
                <a:prstDash val="dash"/>
              </a:ln>
              <a:effectLst/>
            </c:spPr>
          </c:dPt>
          <c:dPt>
            <c:idx val="5"/>
            <c:invertIfNegative val="0"/>
            <c:bubble3D val="0"/>
            <c:spPr>
              <a:noFill/>
              <a:ln w="9525">
                <a:solidFill>
                  <a:srgbClr val="008080"/>
                </a:solidFill>
                <a:prstDash val="solid"/>
              </a:ln>
              <a:effectLst/>
            </c:spPr>
          </c:dPt>
          <c:dPt>
            <c:idx val="6"/>
            <c:invertIfNegative val="0"/>
            <c:bubble3D val="0"/>
          </c:dPt>
          <c:dPt>
            <c:idx val="7"/>
            <c:invertIfNegative val="0"/>
            <c:bubble3D val="0"/>
            <c:spPr>
              <a:noFill/>
              <a:ln w="9525">
                <a:solidFill>
                  <a:srgbClr val="FF7415"/>
                </a:solidFill>
                <a:prstDash val="dash"/>
              </a:ln>
              <a:effectLst/>
            </c:spPr>
          </c:dPt>
          <c:dPt>
            <c:idx val="8"/>
            <c:invertIfNegative val="0"/>
            <c:bubble3D val="0"/>
          </c:dPt>
          <c:dPt>
            <c:idx val="9"/>
            <c:invertIfNegative val="0"/>
            <c:bubble3D val="0"/>
            <c:spPr>
              <a:noFill/>
              <a:ln w="9525">
                <a:solidFill>
                  <a:srgbClr val="FF7415"/>
                </a:solidFill>
                <a:prstDash val="dash"/>
              </a:ln>
              <a:effectLst/>
            </c:spPr>
          </c:dPt>
          <c:dPt>
            <c:idx val="10"/>
            <c:invertIfNegative val="0"/>
            <c:bubble3D val="0"/>
            <c:spPr>
              <a:noFill/>
              <a:ln w="9525">
                <a:solidFill>
                  <a:srgbClr val="FF7419"/>
                </a:solidFill>
              </a:ln>
              <a:effectLst/>
            </c:spPr>
          </c:dPt>
          <c:dPt>
            <c:idx val="11"/>
            <c:invertIfNegative val="0"/>
            <c:bubble3D val="0"/>
            <c:spPr>
              <a:noFill/>
              <a:ln w="9525">
                <a:solidFill>
                  <a:srgbClr val="FF7415"/>
                </a:solidFill>
              </a:ln>
              <a:effectLst/>
            </c:spPr>
          </c:dPt>
          <c:dLbls>
            <c:dLbl>
              <c:idx val="0"/>
              <c:layout>
                <c:manualLayout>
                  <c:x val="-1.2379658117171608E-6"/>
                  <c:y val="-6.8804361984948867E-2"/>
                </c:manualLayout>
              </c:layout>
              <c:tx>
                <c:rich>
                  <a:bodyPr/>
                  <a:lstStyle/>
                  <a:p>
                    <a:pPr>
                      <a:defRPr lang="el-GR" sz="600" b="1"/>
                    </a:pPr>
                    <a:r>
                      <a:rPr lang="en-US" sz="600" b="1"/>
                      <a:t>16,9%</a:t>
                    </a:r>
                  </a:p>
                </c:rich>
              </c:tx>
              <c:numFmt formatCode="0.0%" sourceLinked="0"/>
              <c:spPr>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469753769476227E-7"/>
                  <c:y val="-4.2207877389743041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663381959376886E-3"/>
                  <c:y val="4.7099183024657126E-2"/>
                </c:manualLayout>
              </c:layout>
              <c:tx>
                <c:rich>
                  <a:bodyPr/>
                  <a:lstStyle/>
                  <a:p>
                    <a:r>
                      <a:rPr lang="en-US"/>
                      <a:t> -1,1%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2014618668560507E-17"/>
                  <c:y val="3.7508544655756607E-2"/>
                </c:manualLayout>
              </c:layout>
              <c:tx>
                <c:rich>
                  <a:bodyPr wrap="square" lIns="38100" tIns="19050" rIns="38100" bIns="19050" anchor="ctr">
                    <a:spAutoFit/>
                  </a:bodyPr>
                  <a:lstStyle/>
                  <a:p>
                    <a:pPr>
                      <a:defRPr lang="el-GR" sz="600"/>
                    </a:pPr>
                    <a:r>
                      <a:rPr lang="en-US" sz="600"/>
                      <a:t>-0,1%</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37201727989499E-6"/>
                  <c:y val="-6.3625446631465785E-2"/>
                </c:manualLayout>
              </c:layout>
              <c:tx>
                <c:rich>
                  <a:bodyPr wrap="square" lIns="38100" tIns="19050" rIns="38100" bIns="19050" anchor="ctr">
                    <a:spAutoFit/>
                  </a:bodyPr>
                  <a:lstStyle/>
                  <a:p>
                    <a:pPr>
                      <a:defRPr lang="el-GR" sz="600" b="1"/>
                    </a:pPr>
                    <a:r>
                      <a:rPr lang="en-US" sz="600" b="1"/>
                      <a:t>16,7%</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5474572646464509E-6"/>
                  <c:y val="-6.6749042281708318E-2"/>
                </c:manualLayout>
              </c:layout>
              <c:tx>
                <c:rich>
                  <a:bodyPr wrap="square" lIns="38100" tIns="19050" rIns="38100" bIns="19050" anchor="ctr">
                    <a:spAutoFit/>
                  </a:bodyPr>
                  <a:lstStyle/>
                  <a:p>
                    <a:pPr>
                      <a:defRPr lang="el-GR" sz="600" b="1"/>
                    </a:pPr>
                    <a:r>
                      <a:rPr lang="en-US" sz="600"/>
                      <a:t>+1,7%</a:t>
                    </a:r>
                  </a:p>
                </c:rich>
              </c:tx>
              <c:numFmt formatCode="0.0%" sourceLinked="0"/>
              <c:spPr>
                <a:noFill/>
                <a:ln>
                  <a:solidFill>
                    <a:srgbClr val="008080"/>
                  </a:solidFill>
                  <a:prstDash val="dash"/>
                </a:ln>
                <a:effectLst/>
              </c:spP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2790129619016449E-7"/>
                  <c:y val="-6.3540831445811186E-2"/>
                </c:manualLayout>
              </c:layout>
              <c:tx>
                <c:rich>
                  <a:bodyPr wrap="square" lIns="38100" tIns="19050" rIns="38100" bIns="19050" anchor="ctr">
                    <a:spAutoFit/>
                  </a:bodyPr>
                  <a:lstStyle/>
                  <a:p>
                    <a:pPr>
                      <a:defRPr lang="el-GR" sz="600" b="0"/>
                    </a:pPr>
                    <a:r>
                      <a:rPr lang="en-US" sz="600" b="1"/>
                      <a:t>+1,5%</a:t>
                    </a:r>
                  </a:p>
                </c:rich>
              </c:tx>
              <c:numFmt formatCode="0.0%" sourceLinked="0"/>
              <c:spPr>
                <a:noFill/>
                <a:ln>
                  <a:solidFill>
                    <a:srgbClr val="008080"/>
                  </a:solidFill>
                  <a:prstDash val="dash"/>
                </a:ln>
                <a:effectLst/>
              </c:spPr>
              <c:showLegendKey val="0"/>
              <c:showVal val="1"/>
              <c:showCatName val="0"/>
              <c:showSerName val="0"/>
              <c:showPercent val="0"/>
              <c:showBubbleSize val="0"/>
              <c:extLst>
                <c:ext xmlns:c15="http://schemas.microsoft.com/office/drawing/2012/chart" uri="{CE6537A1-D6FC-4f65-9D91-7224C49458BB}"/>
              </c:extLst>
            </c:dLbl>
            <c:dLbl>
              <c:idx val="7"/>
              <c:layout>
                <c:manualLayout>
                  <c:x val="-1.4402923733712101E-16"/>
                  <c:y val="-0.12678680298702691"/>
                </c:manualLayout>
              </c:layout>
              <c:tx>
                <c:rich>
                  <a:bodyPr/>
                  <a:lstStyle/>
                  <a:p>
                    <a:pPr>
                      <a:defRPr lang="el-GR" sz="600" b="1"/>
                    </a:pPr>
                    <a:r>
                      <a:rPr lang="en-US" b="1"/>
                      <a:t>11,0%</a:t>
                    </a:r>
                    <a:r>
                      <a:rPr lang="en-US" b="1" baseline="30000"/>
                      <a:t>4</a:t>
                    </a:r>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3036779893362696"/>
                </c:manualLayout>
              </c:layout>
              <c:numFmt formatCode="0.0%" sourceLinked="0"/>
              <c:spPr>
                <a:noFill/>
                <a:ln>
                  <a:noFill/>
                </a:ln>
                <a:effectLst/>
              </c:spPr>
              <c:txPr>
                <a:bodyPr/>
                <a:lstStyle/>
                <a:p>
                  <a:pPr>
                    <a:defRPr lang="el-GR" sz="600" b="1"/>
                  </a:pPr>
                  <a:endParaRPr lang="el-GR"/>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3.9305414522019851E-3"/>
                  <c:y val="-0.11245159599978684"/>
                </c:manualLayout>
              </c:layout>
              <c:tx>
                <c:rich>
                  <a:bodyPr/>
                  <a:lstStyle/>
                  <a:p>
                    <a:pPr>
                      <a:defRPr lang="el-GR" sz="600" b="1"/>
                    </a:pPr>
                    <a:r>
                      <a:rPr lang="en-US" sz="600" b="1"/>
                      <a:t>11.0%</a:t>
                    </a:r>
                    <a:r>
                      <a:rPr lang="en-US" sz="600" b="1" baseline="30000"/>
                      <a:t>4</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0.12670107930549038"/>
                </c:manualLayout>
              </c:layout>
              <c:numFmt formatCode="0.0%" sourceLinked="0"/>
              <c:spPr>
                <a:noFill/>
                <a:ln>
                  <a:noFill/>
                </a:ln>
                <a:effectLst/>
              </c:spPr>
              <c:txPr>
                <a:bodyPr/>
                <a:lstStyle/>
                <a:p>
                  <a:pPr>
                    <a:defRPr lang="el-GR" sz="600" b="1"/>
                  </a:pPr>
                  <a:endParaRPr lang="el-GR"/>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lang="el-GR" sz="6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Δείκτης CET1 Γ' τριμήνου 2020</c:v>
                </c:pt>
                <c:pt idx="1">
                  <c:v>Αποτέλεσμα μετά φόρων Δ' τριμήνου 2020 </c:v>
                </c:pt>
                <c:pt idx="2">
                  <c:v>Συναλλαγή Frontier </c:v>
                </c:pt>
                <c:pt idx="3">
                  <c:v>Λοιπά</c:v>
                </c:pt>
                <c:pt idx="4">
                  <c:v>Δείκτης CET1 Δ' τριμήνου 2020</c:v>
                </c:pt>
                <c:pt idx="5">
                  <c:v>Ολοκλήρωση συναλλαγών Frontier &amp; Εθνικής Ασφαλιστικής</c:v>
                </c:pt>
                <c:pt idx="7">
                  <c:v>Κεφαλαικές απαιτήσεις 2021 </c:v>
                </c:pt>
              </c:strCache>
            </c:strRef>
          </c:cat>
          <c:val>
            <c:numRef>
              <c:f>Sheet1!$C$2:$C$9</c:f>
              <c:numCache>
                <c:formatCode>0.00%</c:formatCode>
                <c:ptCount val="8"/>
                <c:pt idx="0">
                  <c:v>9.5999999999999974E-3</c:v>
                </c:pt>
                <c:pt idx="1">
                  <c:v>9.9299999999999996E-3</c:v>
                </c:pt>
                <c:pt idx="2">
                  <c:v>1.1050000000000001E-2</c:v>
                </c:pt>
                <c:pt idx="3">
                  <c:v>7.5129999999999999E-4</c:v>
                </c:pt>
                <c:pt idx="4">
                  <c:v>9.9712999999999885E-3</c:v>
                </c:pt>
                <c:pt idx="5">
                  <c:v>1.7000000000000001E-2</c:v>
                </c:pt>
                <c:pt idx="7">
                  <c:v>4.8100000000000004E-2</c:v>
                </c:pt>
              </c:numCache>
            </c:numRef>
          </c:val>
        </c:ser>
        <c:ser>
          <c:idx val="2"/>
          <c:order val="2"/>
          <c:tx>
            <c:strRef>
              <c:f>Sheet1!$D$1</c:f>
              <c:strCache>
                <c:ptCount val="1"/>
                <c:pt idx="0">
                  <c:v>&amp;</c:v>
                </c:pt>
              </c:strCache>
            </c:strRef>
          </c:tx>
          <c:invertIfNegative val="0"/>
          <c:cat>
            <c:strRef>
              <c:f>Sheet1!$A$2:$A$9</c:f>
              <c:strCache>
                <c:ptCount val="8"/>
                <c:pt idx="0">
                  <c:v>Δείκτης CET1 Γ' τριμήνου 2020</c:v>
                </c:pt>
                <c:pt idx="1">
                  <c:v>Αποτέλεσμα μετά φόρων Δ' τριμήνου 2020 </c:v>
                </c:pt>
                <c:pt idx="2">
                  <c:v>Συναλλαγή Frontier </c:v>
                </c:pt>
                <c:pt idx="3">
                  <c:v>Λοιπά</c:v>
                </c:pt>
                <c:pt idx="4">
                  <c:v>Δείκτης CET1 Δ' τριμήνου 2020</c:v>
                </c:pt>
                <c:pt idx="5">
                  <c:v>Ολοκλήρωση συναλλαγών Frontier &amp; Εθνικής Ασφαλιστικής</c:v>
                </c:pt>
                <c:pt idx="7">
                  <c:v>Κεφαλαικές απαιτήσεις 2021 </c:v>
                </c:pt>
              </c:strCache>
            </c:strRef>
          </c:cat>
          <c:val>
            <c:numRef>
              <c:f>Sheet1!$D$2:$D$9</c:f>
              <c:numCache>
                <c:formatCode>General</c:formatCode>
                <c:ptCount val="8"/>
              </c:numCache>
            </c:numRef>
          </c:val>
        </c:ser>
        <c:dLbls>
          <c:showLegendKey val="0"/>
          <c:showVal val="0"/>
          <c:showCatName val="0"/>
          <c:showSerName val="0"/>
          <c:showPercent val="0"/>
          <c:showBubbleSize val="0"/>
        </c:dLbls>
        <c:gapWidth val="317"/>
        <c:overlap val="100"/>
        <c:axId val="277467480"/>
        <c:axId val="467973560"/>
      </c:barChart>
      <c:catAx>
        <c:axId val="2774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467973560"/>
        <c:crosses val="autoZero"/>
        <c:auto val="1"/>
        <c:lblAlgn val="ctr"/>
        <c:lblOffset val="100"/>
        <c:noMultiLvlLbl val="0"/>
      </c:catAx>
      <c:valAx>
        <c:axId val="467973560"/>
        <c:scaling>
          <c:orientation val="minMax"/>
        </c:scaling>
        <c:delete val="1"/>
        <c:axPos val="l"/>
        <c:numFmt formatCode="0.00%" sourceLinked="1"/>
        <c:majorTickMark val="out"/>
        <c:minorTickMark val="none"/>
        <c:tickLblPos val="nextTo"/>
        <c:crossAx val="277467480"/>
        <c:crosses val="autoZero"/>
        <c:crossBetween val="between"/>
      </c:valAx>
      <c:spPr>
        <a:noFill/>
        <a:ln w="25400">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sz="500">
          <a:latin typeface="Segoe UI" panose="020B0502040204020203" pitchFamily="34" charset="0"/>
          <a:cs typeface="Segoe UI" panose="020B0502040204020203" pitchFamily="34" charset="0"/>
        </a:defRPr>
      </a:pPr>
      <a:endParaRPr lang="el-G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829273440210294E-2"/>
          <c:y val="1.8661049468644303E-2"/>
          <c:w val="0.90161406359420004"/>
          <c:h val="0.86227112151521601"/>
        </c:manualLayout>
      </c:layout>
      <c:barChart>
        <c:barDir val="col"/>
        <c:grouping val="stacked"/>
        <c:varyColors val="0"/>
        <c:ser>
          <c:idx val="4"/>
          <c:order val="0"/>
          <c:tx>
            <c:strRef>
              <c:f>Sheet1!$A$2</c:f>
              <c:strCache>
                <c:ptCount val="1"/>
                <c:pt idx="0">
                  <c:v>ECB</c:v>
                </c:pt>
              </c:strCache>
            </c:strRef>
          </c:tx>
          <c:spPr>
            <a:solidFill>
              <a:srgbClr val="008080"/>
            </a:solidFill>
            <a:ln w="3175">
              <a:solidFill>
                <a:srgbClr val="008080"/>
              </a:solidFill>
              <a:prstDash val="solid"/>
            </a:ln>
          </c:spPr>
          <c:invertIfNegative val="1"/>
          <c:dPt>
            <c:idx val="0"/>
            <c:invertIfNegative val="1"/>
            <c:bubble3D val="0"/>
          </c:dPt>
          <c:dPt>
            <c:idx val="1"/>
            <c:invertIfNegative val="1"/>
            <c:bubble3D val="0"/>
          </c:dPt>
          <c:dPt>
            <c:idx val="2"/>
            <c:invertIfNegative val="1"/>
            <c:bubble3D val="0"/>
          </c:dPt>
          <c:dPt>
            <c:idx val="3"/>
            <c:invertIfNegative val="1"/>
            <c:bubble3D val="0"/>
          </c:dPt>
          <c:dPt>
            <c:idx val="4"/>
            <c:invertIfNegative val="1"/>
            <c:bubble3D val="0"/>
          </c:dPt>
          <c:dPt>
            <c:idx val="5"/>
            <c:invertIfNegative val="1"/>
            <c:bubble3D val="0"/>
          </c:dPt>
          <c:dPt>
            <c:idx val="6"/>
            <c:invertIfNegative val="1"/>
            <c:bubble3D val="0"/>
          </c:dPt>
          <c:dPt>
            <c:idx val="7"/>
            <c:invertIfNegative val="1"/>
            <c:bubble3D val="0"/>
          </c:dPt>
          <c:dPt>
            <c:idx val="8"/>
            <c:invertIfNegative val="1"/>
            <c:bubble3D val="0"/>
          </c:dPt>
          <c:dPt>
            <c:idx val="9"/>
            <c:invertIfNegative val="1"/>
            <c:bubble3D val="0"/>
            <c:spPr>
              <a:solidFill>
                <a:srgbClr val="FF7415"/>
              </a:solidFill>
              <a:ln w="3175">
                <a:solidFill>
                  <a:srgbClr val="FF7415"/>
                </a:solidFill>
                <a:prstDash val="solid"/>
              </a:ln>
            </c:spPr>
          </c:dPt>
          <c:dLbls>
            <c:dLbl>
              <c:idx val="0"/>
              <c:layout/>
              <c:tx>
                <c:rich>
                  <a:bodyPr/>
                  <a:lstStyle/>
                  <a:p>
                    <a:pPr>
                      <a:defRPr sz="600"/>
                    </a:pPr>
                    <a:r>
                      <a:rPr lang="en-US" sz="600"/>
                      <a:t>10,0</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pPr>
                      <a:defRPr sz="600"/>
                    </a:pPr>
                    <a:r>
                      <a:rPr lang="en-US" sz="600"/>
                      <a:t>12,5</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pPr>
                      <a:defRPr sz="600"/>
                    </a:pPr>
                    <a:r>
                      <a:rPr lang="en-US" sz="600"/>
                      <a:t>6,7</a:t>
                    </a:r>
                    <a:endParaRPr lang="en-US" sz="700"/>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600"/>
                </a:pPr>
                <a:endParaRPr lang="el-G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Sheet1!$B$1:$AT$1</c:f>
              <c:strCache>
                <c:ptCount val="10"/>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Γ' τρίμηνο 2020</c:v>
                </c:pt>
                <c:pt idx="9">
                  <c:v>Δ' τρίμηνο 2020</c:v>
                </c:pt>
              </c:strCache>
            </c:strRef>
          </c:cat>
          <c:val>
            <c:numRef>
              <c:f>Sheet1!$B$2:$AT$2</c:f>
              <c:numCache>
                <c:formatCode>0.0</c:formatCode>
                <c:ptCount val="10"/>
                <c:pt idx="0">
                  <c:v>10</c:v>
                </c:pt>
                <c:pt idx="1">
                  <c:v>12.529</c:v>
                </c:pt>
                <c:pt idx="2" formatCode="General">
                  <c:v>6.7</c:v>
                </c:pt>
                <c:pt idx="3" formatCode="General">
                  <c:v>2.75</c:v>
                </c:pt>
                <c:pt idx="4">
                  <c:v>2.2490000000000001</c:v>
                </c:pt>
                <c:pt idx="5">
                  <c:v>2.2490000000000001</c:v>
                </c:pt>
                <c:pt idx="6" formatCode="General">
                  <c:v>3.4</c:v>
                </c:pt>
                <c:pt idx="7" formatCode="General">
                  <c:v>10.5</c:v>
                </c:pt>
                <c:pt idx="8">
                  <c:v>10.5</c:v>
                </c:pt>
                <c:pt idx="9">
                  <c:v>10.5</c:v>
                </c:pt>
              </c:numCache>
            </c:numRef>
          </c:val>
          <c:extLst>
            <c:ext xmlns:c14="http://schemas.microsoft.com/office/drawing/2007/8/2/chart" uri="{6F2FDCE9-48DA-4B69-8628-5D25D57E5C99}">
              <c14:invertSolidFillFmt>
                <c14:spPr xmlns:c14="http://schemas.microsoft.com/office/drawing/2007/8/2/chart">
                  <a:solidFill>
                    <a:srgbClr val="FFFFFF"/>
                  </a:solidFill>
                  <a:ln w="3175">
                    <a:solidFill>
                      <a:srgbClr val="008080"/>
                    </a:solidFill>
                    <a:prstDash val="solid"/>
                  </a:ln>
                </c14:spPr>
              </c14:invertSolidFillFmt>
            </c:ext>
          </c:extLst>
        </c:ser>
        <c:ser>
          <c:idx val="0"/>
          <c:order val="1"/>
          <c:tx>
            <c:strRef>
              <c:f>Sheet1!$A$3</c:f>
              <c:strCache>
                <c:ptCount val="1"/>
                <c:pt idx="0">
                  <c:v>ELA</c:v>
                </c:pt>
              </c:strCache>
            </c:strRef>
          </c:tx>
          <c:spPr>
            <a:noFill/>
            <a:ln>
              <a:solidFill>
                <a:srgbClr val="008080"/>
              </a:solidFill>
            </a:ln>
          </c:spPr>
          <c:invertIfNegative val="0"/>
          <c:dLbls>
            <c:dLbl>
              <c:idx val="0"/>
              <c:layout/>
              <c:tx>
                <c:rich>
                  <a:bodyPr/>
                  <a:lstStyle/>
                  <a:p>
                    <a:pPr>
                      <a:defRPr sz="600"/>
                    </a:pPr>
                    <a:r>
                      <a:rPr lang="en-US"/>
                      <a:t>17,6</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pPr>
                      <a:defRPr sz="600"/>
                    </a:pPr>
                    <a:r>
                      <a:rPr lang="en-US"/>
                      <a:t>11,5</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pPr>
                      <a:defRPr sz="600"/>
                    </a:pPr>
                    <a:r>
                      <a:rPr lang="en-US"/>
                      <a:t>5,6</a:t>
                    </a:r>
                  </a:p>
                </c:rich>
              </c:tx>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layout/>
                </c:ext>
              </c:extLst>
            </c:dLbl>
            <c:spPr>
              <a:solidFill>
                <a:sysClr val="window" lastClr="FFFFFF"/>
              </a:solidFill>
            </c:spPr>
            <c:txPr>
              <a:bodyPr/>
              <a:lstStyle/>
              <a:p>
                <a:pPr>
                  <a:defRPr sz="600"/>
                </a:pPr>
                <a:endParaRPr lang="el-G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Sheet1!$B$1:$AT$1</c:f>
              <c:strCache>
                <c:ptCount val="10"/>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Γ' τρίμηνο 2020</c:v>
                </c:pt>
                <c:pt idx="9">
                  <c:v>Δ' τρίμηνο 2020</c:v>
                </c:pt>
              </c:strCache>
            </c:strRef>
          </c:cat>
          <c:val>
            <c:numRef>
              <c:f>Sheet1!$B$3:$AT$3</c:f>
              <c:numCache>
                <c:formatCode>0.0</c:formatCode>
                <c:ptCount val="10"/>
                <c:pt idx="0">
                  <c:v>17.600000000000001</c:v>
                </c:pt>
                <c:pt idx="1">
                  <c:v>11.5</c:v>
                </c:pt>
                <c:pt idx="2" formatCode="General">
                  <c:v>5.6</c:v>
                </c:pt>
                <c:pt idx="3" formatCode="General">
                  <c:v>0</c:v>
                </c:pt>
                <c:pt idx="4">
                  <c:v>0</c:v>
                </c:pt>
                <c:pt idx="5">
                  <c:v>0</c:v>
                </c:pt>
                <c:pt idx="6" formatCode="General">
                  <c:v>0</c:v>
                </c:pt>
                <c:pt idx="7" formatCode="General">
                  <c:v>0</c:v>
                </c:pt>
                <c:pt idx="8" formatCode="General">
                  <c:v>0</c:v>
                </c:pt>
                <c:pt idx="9" formatCode="General">
                  <c:v>0</c:v>
                </c:pt>
              </c:numCache>
            </c:numRef>
          </c:val>
        </c:ser>
        <c:ser>
          <c:idx val="1"/>
          <c:order val="2"/>
          <c:tx>
            <c:strRef>
              <c:f>Sheet1!$A$4</c:f>
              <c:strCache>
                <c:ptCount val="1"/>
              </c:strCache>
            </c:strRef>
          </c:tx>
          <c:spPr>
            <a:noFill/>
            <a:ln>
              <a:noFill/>
            </a:ln>
          </c:spPr>
          <c:invertIfNegative val="0"/>
          <c:dLbls>
            <c:dLbl>
              <c:idx val="0"/>
              <c:layout/>
              <c:tx>
                <c:rich>
                  <a:bodyPr/>
                  <a:lstStyle/>
                  <a:p>
                    <a:r>
                      <a:rPr lang="en-US"/>
                      <a:t>27,6</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24,0</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12,3</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576687928845689E-7"/>
                  <c:y val="-6.8821263496077209E-3"/>
                </c:manualLayout>
              </c:layout>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2534605529372064E-17"/>
                  <c:y val="-1.4065558387042945E-2"/>
                </c:manualLayout>
              </c:layout>
              <c:tx>
                <c:rich>
                  <a:bodyPr/>
                  <a:lstStyle/>
                  <a:p>
                    <a:r>
                      <a:rPr lang="en-US"/>
                      <a:t>2,2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1.4065558387043049E-2"/>
                </c:manualLayout>
              </c:layout>
              <c:tx>
                <c:rich>
                  <a:bodyPr/>
                  <a:lstStyle/>
                  <a:p>
                    <a:r>
                      <a:rPr lang="en-US"/>
                      <a:t>2,2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2.493718694204723E-3"/>
                </c:manualLayout>
              </c:layout>
              <c:tx>
                <c:rich>
                  <a:bodyPr/>
                  <a:lstStyle/>
                  <a:p>
                    <a:r>
                      <a:rPr lang="en-US"/>
                      <a:t>3,4</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10,5</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10,5</a:t>
                    </a:r>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9"/>
              <c:layout/>
              <c:tx>
                <c:rich>
                  <a:bodyPr/>
                  <a:lstStyle/>
                  <a:p>
                    <a:pPr>
                      <a:defRPr lang="el-GR" sz="700" b="1"/>
                    </a:pPr>
                    <a:r>
                      <a:rPr lang="en-US" b="1"/>
                      <a:t>10,5</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9206430101420039E-3"/>
                  <c:y val="-8.5256710476247968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2.8560261477063743E-3"/>
                  <c:y val="-2.0510411808670847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1.0471974901776102E-16"/>
                  <c:y val="6.406174077902717E-3"/>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lang="el-GR" sz="700"/>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Sheet1!$B$1:$AT$1</c:f>
              <c:strCache>
                <c:ptCount val="10"/>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Γ' τρίμηνο 2020</c:v>
                </c:pt>
                <c:pt idx="9">
                  <c:v>Δ' τρίμηνο 2020</c:v>
                </c:pt>
              </c:strCache>
            </c:strRef>
          </c:cat>
          <c:val>
            <c:numRef>
              <c:f>Sheet1!$B$4:$AT$4</c:f>
              <c:numCache>
                <c:formatCode>0.0</c:formatCode>
                <c:ptCount val="10"/>
                <c:pt idx="0">
                  <c:v>27.6</c:v>
                </c:pt>
                <c:pt idx="1">
                  <c:v>24.029</c:v>
                </c:pt>
                <c:pt idx="2" formatCode="General">
                  <c:v>12.3</c:v>
                </c:pt>
                <c:pt idx="3" formatCode="General">
                  <c:v>2.75</c:v>
                </c:pt>
                <c:pt idx="4">
                  <c:v>2.2490000000000001</c:v>
                </c:pt>
                <c:pt idx="5">
                  <c:v>2.2490000000000001</c:v>
                </c:pt>
                <c:pt idx="6" formatCode="General">
                  <c:v>3.4</c:v>
                </c:pt>
                <c:pt idx="7" formatCode="General">
                  <c:v>10.5</c:v>
                </c:pt>
                <c:pt idx="8">
                  <c:v>10.5</c:v>
                </c:pt>
                <c:pt idx="9">
                  <c:v>10.5</c:v>
                </c:pt>
              </c:numCache>
            </c:numRef>
          </c:val>
        </c:ser>
        <c:dLbls>
          <c:showLegendKey val="0"/>
          <c:showVal val="0"/>
          <c:showCatName val="0"/>
          <c:showSerName val="0"/>
          <c:showPercent val="0"/>
          <c:showBubbleSize val="0"/>
        </c:dLbls>
        <c:gapWidth val="500"/>
        <c:overlap val="100"/>
        <c:axId val="467975520"/>
        <c:axId val="467975128"/>
      </c:barChart>
      <c:catAx>
        <c:axId val="467975520"/>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defRPr lang="el-GR" sz="500"/>
            </a:pPr>
            <a:endParaRPr lang="el-GR"/>
          </a:p>
        </c:txPr>
        <c:crossAx val="467975128"/>
        <c:crosses val="autoZero"/>
        <c:auto val="1"/>
        <c:lblAlgn val="ctr"/>
        <c:lblOffset val="100"/>
        <c:noMultiLvlLbl val="0"/>
      </c:catAx>
      <c:valAx>
        <c:axId val="467975128"/>
        <c:scaling>
          <c:orientation val="minMax"/>
          <c:max val="30"/>
          <c:min val="0"/>
        </c:scaling>
        <c:delete val="1"/>
        <c:axPos val="l"/>
        <c:numFmt formatCode="0.0" sourceLinked="1"/>
        <c:majorTickMark val="out"/>
        <c:minorTickMark val="none"/>
        <c:tickLblPos val="nextTo"/>
        <c:crossAx val="467975520"/>
        <c:crosses val="autoZero"/>
        <c:crossBetween val="between"/>
      </c:valAx>
      <c:spPr>
        <a:noFill/>
        <a:ln w="25361">
          <a:noFill/>
        </a:ln>
      </c:spPr>
    </c:plotArea>
    <c:plotVisOnly val="1"/>
    <c:dispBlanksAs val="zero"/>
    <c:showDLblsOverMax val="0"/>
  </c:chart>
  <c:spPr>
    <a:noFill/>
    <a:ln>
      <a:solidFill>
        <a:sysClr val="window" lastClr="FFFFFF">
          <a:lumMod val="75000"/>
        </a:sysClr>
      </a:solidFill>
    </a:ln>
  </c:spPr>
  <c:txPr>
    <a:bodyPr/>
    <a:lstStyle/>
    <a:p>
      <a:pPr>
        <a:defRPr sz="801" b="0" i="0" u="none" strike="noStrike" baseline="0">
          <a:solidFill>
            <a:schemeClr val="tx1"/>
          </a:solidFill>
          <a:latin typeface="Segoe UI" panose="020B0502040204020203" pitchFamily="34" charset="0"/>
          <a:ea typeface="Calibri"/>
          <a:cs typeface="Segoe UI" panose="020B0502040204020203" pitchFamily="34" charset="0"/>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57861875195121E-2"/>
          <c:y val="9.3851132686084193E-2"/>
          <c:w val="0.95407214066754287"/>
          <c:h val="0.69410950341825828"/>
        </c:manualLayout>
      </c:layout>
      <c:barChart>
        <c:barDir val="col"/>
        <c:grouping val="stacked"/>
        <c:varyColors val="0"/>
        <c:ser>
          <c:idx val="0"/>
          <c:order val="0"/>
          <c:tx>
            <c:strRef>
              <c:f>Sheet1!$A$3</c:f>
              <c:strCache>
                <c:ptCount val="1"/>
                <c:pt idx="0">
                  <c:v>Depos</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2020</c:v>
                </c:pt>
              </c:strCache>
            </c:strRef>
          </c:cat>
          <c:val>
            <c:numRef>
              <c:f>Sheet1!$B$3:$W$3</c:f>
            </c:numRef>
          </c:val>
        </c:ser>
        <c:ser>
          <c:idx val="1"/>
          <c:order val="1"/>
          <c:tx>
            <c:strRef>
              <c:f>Sheet1!$A$4</c:f>
              <c:strCache>
                <c:ptCount val="1"/>
                <c:pt idx="0">
                  <c:v>Sight</c:v>
                </c:pt>
              </c:strCache>
            </c:strRef>
          </c:tx>
          <c:invertIfNegative val="0"/>
          <c:dLbls>
            <c:spPr>
              <a:noFill/>
              <a:ln>
                <a:noFill/>
              </a:ln>
              <a:effectLst/>
            </c:spPr>
            <c:txPr>
              <a:bodyPr/>
              <a:lstStyle/>
              <a:p>
                <a:pPr>
                  <a:defRPr sz="799">
                    <a:solidFill>
                      <a:schemeClr val="bg1"/>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2020</c:v>
                </c:pt>
              </c:strCache>
            </c:strRef>
          </c:cat>
          <c:val>
            <c:numRef>
              <c:f>Sheet1!$B$4:$W$4</c:f>
            </c:numRef>
          </c:val>
        </c:ser>
        <c:ser>
          <c:idx val="2"/>
          <c:order val="2"/>
          <c:tx>
            <c:strRef>
              <c:f>Sheet1!$A$5</c:f>
              <c:strCache>
                <c:ptCount val="1"/>
                <c:pt idx="0">
                  <c:v>Time &amp; other</c:v>
                </c:pt>
              </c:strCache>
            </c:strRef>
          </c:tx>
          <c:invertIfNegative val="0"/>
          <c:dLbls>
            <c:spPr>
              <a:noFill/>
              <a:ln>
                <a:noFill/>
              </a:ln>
              <a:effectLst/>
            </c:spPr>
            <c:txPr>
              <a:bodyPr/>
              <a:lstStyle/>
              <a:p>
                <a:pPr>
                  <a:defRPr sz="799"/>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2020</c:v>
                </c:pt>
              </c:strCache>
            </c:strRef>
          </c:cat>
          <c:val>
            <c:numRef>
              <c:f>Sheet1!$B$5:$W$5</c:f>
            </c:numRef>
          </c:val>
        </c:ser>
        <c:ser>
          <c:idx val="3"/>
          <c:order val="3"/>
          <c:tx>
            <c:strRef>
              <c:f>Sheet1!$A$6</c:f>
              <c:strCache>
                <c:ptCount val="1"/>
                <c:pt idx="0">
                  <c:v>Total</c:v>
                </c:pt>
              </c:strCache>
            </c:strRef>
          </c:tx>
          <c:spPr>
            <a:solidFill>
              <a:schemeClr val="bg1"/>
            </a:solidFill>
            <a:ln>
              <a:solidFill>
                <a:srgbClr val="008080"/>
              </a:solidFill>
            </a:ln>
          </c:spPr>
          <c:invertIfNegative val="0"/>
          <c:dPt>
            <c:idx val="0"/>
            <c:invertIfNegative val="0"/>
            <c:bubble3D val="0"/>
            <c:spPr>
              <a:solidFill>
                <a:schemeClr val="bg1"/>
              </a:solidFill>
              <a:ln>
                <a:solidFill>
                  <a:srgbClr val="FF0000"/>
                </a:solidFill>
              </a:ln>
            </c:spPr>
          </c:dPt>
          <c:dPt>
            <c:idx val="1"/>
            <c:invertIfNegative val="0"/>
            <c:bubble3D val="0"/>
            <c:spPr>
              <a:solidFill>
                <a:schemeClr val="bg1"/>
              </a:solidFill>
              <a:ln>
                <a:solidFill>
                  <a:srgbClr val="FF0000"/>
                </a:solidFill>
              </a:ln>
            </c:spPr>
          </c:dPt>
          <c:dPt>
            <c:idx val="2"/>
            <c:invertIfNegative val="0"/>
            <c:bubble3D val="0"/>
            <c:spPr>
              <a:solidFill>
                <a:schemeClr val="bg1"/>
              </a:solidFill>
              <a:ln>
                <a:solidFill>
                  <a:srgbClr val="FF0000"/>
                </a:solidFill>
              </a:ln>
            </c:spPr>
          </c:dPt>
          <c:dPt>
            <c:idx val="3"/>
            <c:invertIfNegative val="0"/>
            <c:bubble3D val="0"/>
            <c:spPr>
              <a:noFill/>
              <a:ln>
                <a:solidFill>
                  <a:srgbClr val="008080"/>
                </a:solidFill>
              </a:ln>
            </c:spPr>
          </c:dPt>
          <c:dPt>
            <c:idx val="4"/>
            <c:invertIfNegative val="0"/>
            <c:bubble3D val="0"/>
            <c:spPr>
              <a:noFill/>
              <a:ln>
                <a:solidFill>
                  <a:srgbClr val="008080"/>
                </a:solidFill>
              </a:ln>
            </c:spPr>
          </c:dPt>
          <c:dPt>
            <c:idx val="5"/>
            <c:invertIfNegative val="0"/>
            <c:bubble3D val="0"/>
            <c:spPr>
              <a:noFill/>
              <a:ln>
                <a:solidFill>
                  <a:srgbClr val="008080"/>
                </a:solidFill>
              </a:ln>
            </c:spPr>
          </c:dPt>
          <c:dPt>
            <c:idx val="6"/>
            <c:invertIfNegative val="0"/>
            <c:bubble3D val="0"/>
            <c:spPr>
              <a:noFill/>
              <a:ln>
                <a:solidFill>
                  <a:srgbClr val="008080"/>
                </a:solidFill>
              </a:ln>
            </c:spPr>
          </c:dPt>
          <c:dPt>
            <c:idx val="10"/>
            <c:invertIfNegative val="0"/>
            <c:bubble3D val="0"/>
            <c:spPr>
              <a:solidFill>
                <a:schemeClr val="bg1"/>
              </a:solidFill>
              <a:ln>
                <a:solidFill>
                  <a:srgbClr val="FF0000"/>
                </a:solidFill>
              </a:ln>
            </c:spPr>
          </c:dPt>
          <c:dLbls>
            <c:dLbl>
              <c:idx val="0"/>
              <c:layout>
                <c:manualLayout>
                  <c:x val="3.1523644470876889E-3"/>
                  <c:y val="-0.14715965920897681"/>
                </c:manualLayout>
              </c:layout>
              <c:tx>
                <c:rich>
                  <a:bodyPr/>
                  <a:lstStyle/>
                  <a:p>
                    <a:r>
                      <a:rPr lang="en-US"/>
                      <a:t>-2,2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1258329564561664E-3"/>
                  <c:y val="-0.20277287525109092"/>
                </c:manualLayout>
              </c:layout>
              <c:tx>
                <c:rich>
                  <a:bodyPr/>
                  <a:lstStyle/>
                  <a:p>
                    <a:r>
                      <a:rPr lang="en-US"/>
                      <a:t>-4,8</a:t>
                    </a:r>
                  </a:p>
                </c:rich>
              </c:tx>
              <c:dLblPos val="ctr"/>
              <c:showLegendKey val="0"/>
              <c:showVal val="1"/>
              <c:showCatName val="0"/>
              <c:showSerName val="0"/>
              <c:showPercent val="0"/>
              <c:showBubbleSize val="0"/>
              <c:extLst>
                <c:ext xmlns:c15="http://schemas.microsoft.com/office/drawing/2012/chart" uri="{CE6537A1-D6FC-4f65-9D91-7224C49458BB}">
                  <c15:layout>
                    <c:manualLayout>
                      <c:w val="7.9012897886724373E-2"/>
                      <c:h val="0.10469820599847614"/>
                    </c:manualLayout>
                  </c15:layout>
                </c:ext>
              </c:extLst>
            </c:dLbl>
            <c:dLbl>
              <c:idx val="2"/>
              <c:layout>
                <c:manualLayout>
                  <c:x val="-2.7790450668971458E-3"/>
                  <c:y val="-0.18118224007757841"/>
                </c:manualLayout>
              </c:layout>
              <c:tx>
                <c:rich>
                  <a:bodyPr/>
                  <a:lstStyle/>
                  <a:p>
                    <a:r>
                      <a:rPr lang="en-US"/>
                      <a:t>-3,6</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3796216269080179E-3"/>
                  <c:y val="-9.812731176837301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6655493850672842E-3"/>
                  <c:y val="-8.0440057153559161E-2"/>
                </c:manualLayout>
              </c:layout>
              <c:tx>
                <c:rich>
                  <a:bodyPr/>
                  <a:lstStyle/>
                  <a:p>
                    <a:r>
                      <a:rPr lang="en-US"/>
                      <a:t>1,1</a:t>
                    </a:r>
                  </a:p>
                </c:rich>
              </c:tx>
              <c:dLblPos val="ctr"/>
              <c:showLegendKey val="0"/>
              <c:showVal val="1"/>
              <c:showCatName val="0"/>
              <c:showSerName val="0"/>
              <c:showPercent val="0"/>
              <c:showBubbleSize val="0"/>
              <c:extLst>
                <c:ext xmlns:c15="http://schemas.microsoft.com/office/drawing/2012/chart" uri="{CE6537A1-D6FC-4f65-9D91-7224C49458BB}">
                  <c15:layout>
                    <c:manualLayout>
                      <c:w val="6.6196426559092428E-2"/>
                      <c:h val="8.3585786520745303E-2"/>
                    </c:manualLayout>
                  </c15:layout>
                </c:ext>
              </c:extLst>
            </c:dLbl>
            <c:dLbl>
              <c:idx val="5"/>
              <c:layout>
                <c:manualLayout>
                  <c:x val="3.2416140648375679E-3"/>
                  <c:y val="-6.6146406543619571E-2"/>
                </c:manualLayout>
              </c:layout>
              <c:tx>
                <c:rich>
                  <a:bodyPr/>
                  <a:lstStyle/>
                  <a:p>
                    <a:r>
                      <a:rPr lang="en-US"/>
                      <a:t>0,2</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256705860235736E-3"/>
                  <c:y val="-8.3464503136501514E-2"/>
                </c:manualLayout>
              </c:layout>
              <c:tx>
                <c:rich>
                  <a:bodyPr/>
                  <a:lstStyle/>
                  <a:p>
                    <a:r>
                      <a:rPr lang="en-US"/>
                      <a:t>1,5</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2.1121265509218808E-3"/>
                  <c:y val="-0.11779504262317166"/>
                </c:manualLayout>
              </c:layout>
              <c:tx>
                <c:rich>
                  <a:bodyPr/>
                  <a:lstStyle/>
                  <a:p>
                    <a:r>
                      <a:rPr lang="en-US"/>
                      <a:t>3,4</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5245480445558674E-3"/>
                  <c:y val="-7.0727529455336724E-2"/>
                </c:manualLayout>
              </c:layout>
              <c:tx>
                <c:rich>
                  <a:bodyPr/>
                  <a:lstStyle/>
                  <a:p>
                    <a:r>
                      <a:rPr lang="en-US"/>
                      <a:t>0,5</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4502617658498003E-16"/>
                  <c:y val="-0.16297127828471542"/>
                </c:manualLayout>
              </c:layout>
              <c:tx>
                <c:rich>
                  <a:bodyPr/>
                  <a:lstStyle/>
                  <a:p>
                    <a:r>
                      <a:rPr lang="en-US"/>
                      <a:t>4,7</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6.81770727523081E-4"/>
                  <c:y val="-7.96945395615573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8.1006656982702527E-2"/>
                      <c:h val="9.820821500311698E-2"/>
                    </c:manualLayout>
                  </c15:layout>
                </c:ext>
              </c:extLst>
            </c:dLbl>
            <c:dLbl>
              <c:idx val="11"/>
              <c:layout>
                <c:manualLayout>
                  <c:x val="-2.6764611539638918E-3"/>
                  <c:y val="-8.28964466301863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3.2414902585560699E-3"/>
                  <c:y val="-0.1170891459444482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3.1003068881690866E-3"/>
                  <c:y val="-9.632305880723145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2.9783583570155816E-3"/>
                  <c:y val="-7.561958855717947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2.9783583570156917E-3"/>
                  <c:y val="-8.96945348756667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9783583570155816E-3"/>
                  <c:y val="-8.265706171642313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7"/>
              <c:layout>
                <c:manualLayout>
                  <c:x val="-2.9862004619911858E-3"/>
                  <c:y val="-9.458625048882553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8"/>
              <c:layout>
                <c:manualLayout>
                  <c:x val="-5.5248607365117781E-3"/>
                  <c:y val="-7.878134305965237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9"/>
              <c:layout>
                <c:manualLayout>
                  <c:x val="0"/>
                  <c:y val="-9.730309132723312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0"/>
              <c:layout>
                <c:manualLayout>
                  <c:x val="-1.0499922387384902E-2"/>
                  <c:y val="-6.3018141520542595E-2"/>
                </c:manualLayout>
              </c:layout>
              <c:dLblPos val="ctr"/>
              <c:showLegendKey val="0"/>
              <c:showVal val="1"/>
              <c:showCatName val="0"/>
              <c:showSerName val="0"/>
              <c:showPercent val="0"/>
              <c:showBubbleSize val="0"/>
              <c:extLst>
                <c:ext xmlns:c15="http://schemas.microsoft.com/office/drawing/2012/chart" uri="{CE6537A1-D6FC-4f65-9D91-7224C49458BB}"/>
              </c:extLst>
            </c:dLbl>
            <c:spPr>
              <a:solidFill>
                <a:schemeClr val="bg1"/>
              </a:solidFill>
              <a:ln>
                <a:noFill/>
              </a:ln>
              <a:effectLst/>
            </c:spPr>
            <c:txPr>
              <a:bodyPr/>
              <a:lstStyle/>
              <a:p>
                <a:pPr>
                  <a:defRPr lang="el-GR" sz="7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2020</c:v>
                </c:pt>
              </c:strCache>
            </c:strRef>
          </c:cat>
          <c:val>
            <c:numRef>
              <c:f>Sheet1!$B$6:$AE$6</c:f>
              <c:numCache>
                <c:formatCode>0.0</c:formatCode>
                <c:ptCount val="10"/>
                <c:pt idx="0" formatCode="General">
                  <c:v>-2.2000000000000002</c:v>
                </c:pt>
                <c:pt idx="1">
                  <c:v>-4.8049999999999997</c:v>
                </c:pt>
                <c:pt idx="2">
                  <c:v>-3.5609999999999999</c:v>
                </c:pt>
                <c:pt idx="4">
                  <c:v>1.1379999999999999</c:v>
                </c:pt>
                <c:pt idx="5">
                  <c:v>0.22599999999999998</c:v>
                </c:pt>
                <c:pt idx="6">
                  <c:v>1.5389999999999999</c:v>
                </c:pt>
                <c:pt idx="7">
                  <c:v>3.35688005</c:v>
                </c:pt>
                <c:pt idx="8">
                  <c:v>0.49611994999999981</c:v>
                </c:pt>
                <c:pt idx="9">
                  <c:v>4.7</c:v>
                </c:pt>
              </c:numCache>
            </c:numRef>
          </c:val>
        </c:ser>
        <c:dLbls>
          <c:showLegendKey val="0"/>
          <c:showVal val="0"/>
          <c:showCatName val="0"/>
          <c:showSerName val="0"/>
          <c:showPercent val="0"/>
          <c:showBubbleSize val="0"/>
        </c:dLbls>
        <c:gapWidth val="500"/>
        <c:overlap val="100"/>
        <c:axId val="467970032"/>
        <c:axId val="467971208"/>
      </c:barChart>
      <c:catAx>
        <c:axId val="467970032"/>
        <c:scaling>
          <c:orientation val="minMax"/>
        </c:scaling>
        <c:delete val="0"/>
        <c:axPos val="b"/>
        <c:numFmt formatCode="General" sourceLinked="1"/>
        <c:majorTickMark val="none"/>
        <c:minorTickMark val="none"/>
        <c:tickLblPos val="low"/>
        <c:txPr>
          <a:bodyPr/>
          <a:lstStyle/>
          <a:p>
            <a:pPr>
              <a:defRPr lang="el-GR" sz="700"/>
            </a:pPr>
            <a:endParaRPr lang="el-GR"/>
          </a:p>
        </c:txPr>
        <c:crossAx val="467971208"/>
        <c:crosses val="autoZero"/>
        <c:auto val="1"/>
        <c:lblAlgn val="ctr"/>
        <c:lblOffset val="100"/>
        <c:noMultiLvlLbl val="0"/>
      </c:catAx>
      <c:valAx>
        <c:axId val="467971208"/>
        <c:scaling>
          <c:orientation val="minMax"/>
          <c:min val="-10"/>
        </c:scaling>
        <c:delete val="1"/>
        <c:axPos val="l"/>
        <c:numFmt formatCode="General" sourceLinked="1"/>
        <c:majorTickMark val="out"/>
        <c:minorTickMark val="none"/>
        <c:tickLblPos val="nextTo"/>
        <c:crossAx val="467970032"/>
        <c:crosses val="autoZero"/>
        <c:crossBetween val="between"/>
      </c:valAx>
      <c:spPr>
        <a:noFill/>
        <a:ln w="25375">
          <a:noFill/>
        </a:ln>
      </c:spPr>
    </c:plotArea>
    <c:plotVisOnly val="1"/>
    <c:dispBlanksAs val="gap"/>
    <c:showDLblsOverMax val="0"/>
  </c:chart>
  <c:spPr>
    <a:ln>
      <a:noFill/>
    </a:ln>
  </c:spPr>
  <c:txPr>
    <a:bodyPr/>
    <a:lstStyle/>
    <a:p>
      <a:pPr>
        <a:defRPr sz="600">
          <a:latin typeface="Segoe UI" pitchFamily="34" charset="0"/>
          <a:ea typeface="Segoe UI" pitchFamily="34" charset="0"/>
          <a:cs typeface="Segoe UI" pitchFamily="34" charset="0"/>
        </a:defRPr>
      </a:pPr>
      <a:endParaRPr lang="el-G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0.15614</cdr:x>
      <cdr:y>0.49303</cdr:y>
    </cdr:from>
    <cdr:to>
      <cdr:x>0.27092</cdr:x>
      <cdr:y>0.58615</cdr:y>
    </cdr:to>
    <cdr:sp macro="" textlink="">
      <cdr:nvSpPr>
        <cdr:cNvPr id="3" name="Rectangular Callout 28"/>
        <cdr:cNvSpPr>
          <a:spLocks xmlns:a="http://schemas.openxmlformats.org/drawingml/2006/main"/>
        </cdr:cNvSpPr>
      </cdr:nvSpPr>
      <cdr:spPr>
        <a:xfrm xmlns:a="http://schemas.openxmlformats.org/drawingml/2006/main">
          <a:off x="1009605" y="1334322"/>
          <a:ext cx="742191" cy="252017"/>
        </a:xfrm>
        <a:prstGeom xmlns:a="http://schemas.openxmlformats.org/drawingml/2006/main" prst="wedgeRectCallout">
          <a:avLst>
            <a:gd name="adj1" fmla="val -37758"/>
            <a:gd name="adj2" fmla="val 40854"/>
          </a:avLst>
        </a:prstGeom>
        <a:noFill xmlns:a="http://schemas.openxmlformats.org/drawingml/2006/main"/>
        <a:ln xmlns:a="http://schemas.openxmlformats.org/drawingml/2006/main" w="9525" cap="flat" cmpd="sng" algn="ctr">
          <a:no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600">
              <a:latin typeface="Segoe UI" panose="020B0502040204020203" pitchFamily="34" charset="0"/>
              <a:cs typeface="Segoe UI" panose="020B0502040204020203" pitchFamily="34" charset="0"/>
            </a:rPr>
            <a:t>CET1 FL: 13</a:t>
          </a:r>
          <a:r>
            <a:rPr lang="el-GR" sz="600">
              <a:latin typeface="Segoe UI" panose="020B0502040204020203" pitchFamily="34" charset="0"/>
              <a:cs typeface="Segoe UI" panose="020B0502040204020203" pitchFamily="34" charset="0"/>
            </a:rPr>
            <a:t>,</a:t>
          </a:r>
          <a:r>
            <a:rPr lang="en-US" sz="600">
              <a:latin typeface="Segoe UI" panose="020B0502040204020203" pitchFamily="34" charset="0"/>
              <a:cs typeface="Segoe UI" panose="020B0502040204020203" pitchFamily="34" charset="0"/>
            </a:rPr>
            <a:t>0%</a:t>
          </a:r>
          <a:endParaRPr lang="el-GR" sz="600">
            <a:latin typeface="Segoe UI" panose="020B0502040204020203" pitchFamily="34" charset="0"/>
            <a:cs typeface="Segoe UI" panose="020B0502040204020203" pitchFamily="34" charset="0"/>
          </a:endParaRPr>
        </a:p>
      </cdr:txBody>
    </cdr:sp>
  </cdr:relSizeAnchor>
  <cdr:relSizeAnchor xmlns:cdr="http://schemas.openxmlformats.org/drawingml/2006/chartDrawing">
    <cdr:from>
      <cdr:x>0.46978</cdr:x>
      <cdr:y>0.84969</cdr:y>
    </cdr:from>
    <cdr:to>
      <cdr:x>0.47813</cdr:x>
      <cdr:y>0.88295</cdr:y>
    </cdr:to>
    <cdr:sp macro="" textlink="">
      <cdr:nvSpPr>
        <cdr:cNvPr id="4" name="Rectangle 15"/>
        <cdr:cNvSpPr>
          <a:spLocks xmlns:a="http://schemas.openxmlformats.org/drawingml/2006/main"/>
        </cdr:cNvSpPr>
      </cdr:nvSpPr>
      <cdr:spPr>
        <a:xfrm xmlns:a="http://schemas.openxmlformats.org/drawingml/2006/main">
          <a:off x="3037682" y="2299571"/>
          <a:ext cx="53993" cy="90014"/>
        </a:xfrm>
        <a:prstGeom xmlns:a="http://schemas.openxmlformats.org/drawingml/2006/main" prst="rect">
          <a:avLst/>
        </a:prstGeom>
        <a:noFill xmlns:a="http://schemas.openxmlformats.org/drawingml/2006/main"/>
        <a:ln xmlns:a="http://schemas.openxmlformats.org/drawingml/2006/main" w="9525" cap="flat" cmpd="sng" algn="ctr">
          <a:no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r>
            <a:rPr lang="en-US" sz="500"/>
            <a:t>*</a:t>
          </a:r>
          <a:endParaRPr lang="el-GR" sz="500"/>
        </a:p>
      </cdr:txBody>
    </cdr:sp>
  </cdr:relSizeAnchor>
  <cdr:relSizeAnchor xmlns:cdr="http://schemas.openxmlformats.org/drawingml/2006/chartDrawing">
    <cdr:from>
      <cdr:x>0.02357</cdr:x>
      <cdr:y>0.49261</cdr:y>
    </cdr:from>
    <cdr:to>
      <cdr:x>0.09035</cdr:x>
      <cdr:y>0.57238</cdr:y>
    </cdr:to>
    <cdr:sp macro="" textlink="">
      <cdr:nvSpPr>
        <cdr:cNvPr id="8" name="Rectangle 15"/>
        <cdr:cNvSpPr>
          <a:spLocks xmlns:a="http://schemas.openxmlformats.org/drawingml/2006/main"/>
        </cdr:cNvSpPr>
      </cdr:nvSpPr>
      <cdr:spPr>
        <a:xfrm xmlns:a="http://schemas.openxmlformats.org/drawingml/2006/main">
          <a:off x="152400" y="1333189"/>
          <a:ext cx="431813" cy="215888"/>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no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l-GR" sz="500" b="1"/>
            <a:t>Δείκτης </a:t>
          </a:r>
          <a:r>
            <a:rPr lang="en-US" sz="500" b="1"/>
            <a:t>CET1</a:t>
          </a:r>
          <a:endParaRPr lang="el-GR" sz="500" b="1"/>
        </a:p>
      </cdr:txBody>
    </cdr:sp>
  </cdr:relSizeAnchor>
  <cdr:relSizeAnchor xmlns:cdr="http://schemas.openxmlformats.org/drawingml/2006/chartDrawing">
    <cdr:from>
      <cdr:x>0.08976</cdr:x>
      <cdr:y>0.62135</cdr:y>
    </cdr:from>
    <cdr:to>
      <cdr:x>0.19822</cdr:x>
      <cdr:y>0.71446</cdr:y>
    </cdr:to>
    <cdr:sp macro="" textlink="">
      <cdr:nvSpPr>
        <cdr:cNvPr id="5" name="Rectangle 15"/>
        <cdr:cNvSpPr>
          <a:spLocks xmlns:a="http://schemas.openxmlformats.org/drawingml/2006/main"/>
        </cdr:cNvSpPr>
      </cdr:nvSpPr>
      <cdr:spPr>
        <a:xfrm xmlns:a="http://schemas.openxmlformats.org/drawingml/2006/main">
          <a:off x="580410" y="1681595"/>
          <a:ext cx="701325" cy="251990"/>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008080"/>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600">
              <a:latin typeface="+mj-lt"/>
            </a:rPr>
            <a:t>CET1</a:t>
          </a:r>
          <a:r>
            <a:rPr lang="el-GR" sz="600">
              <a:latin typeface="+mj-lt"/>
            </a:rPr>
            <a:t>:</a:t>
          </a:r>
          <a:r>
            <a:rPr lang="en-US" sz="600" baseline="0">
              <a:latin typeface="+mj-lt"/>
            </a:rPr>
            <a:t> €5</a:t>
          </a:r>
          <a:r>
            <a:rPr lang="el-GR" sz="600" baseline="0">
              <a:latin typeface="+mj-lt"/>
            </a:rPr>
            <a:t>,8</a:t>
          </a:r>
          <a:r>
            <a:rPr lang="en-US" sz="600" baseline="0">
              <a:latin typeface="+mj-lt"/>
            </a:rPr>
            <a:t> </a:t>
          </a:r>
          <a:r>
            <a:rPr lang="el-GR" sz="600" baseline="0">
              <a:latin typeface="+mj-lt"/>
            </a:rPr>
            <a:t>δισ.</a:t>
          </a:r>
        </a:p>
        <a:p xmlns:a="http://schemas.openxmlformats.org/drawingml/2006/main">
          <a:pPr algn="ctr"/>
          <a:r>
            <a:rPr lang="el-GR" sz="600" baseline="0">
              <a:latin typeface="+mj-lt"/>
            </a:rPr>
            <a:t>ΣτΕ: €36,2 δισ. </a:t>
          </a:r>
        </a:p>
      </cdr:txBody>
    </cdr:sp>
  </cdr:relSizeAnchor>
  <cdr:relSizeAnchor xmlns:cdr="http://schemas.openxmlformats.org/drawingml/2006/chartDrawing">
    <cdr:from>
      <cdr:x>0.51181</cdr:x>
      <cdr:y>0.63382</cdr:y>
    </cdr:from>
    <cdr:to>
      <cdr:x>0.62027</cdr:x>
      <cdr:y>0.72693</cdr:y>
    </cdr:to>
    <cdr:sp macro="" textlink="">
      <cdr:nvSpPr>
        <cdr:cNvPr id="6" name="Rectangle 15"/>
        <cdr:cNvSpPr>
          <a:spLocks xmlns:a="http://schemas.openxmlformats.org/drawingml/2006/main"/>
        </cdr:cNvSpPr>
      </cdr:nvSpPr>
      <cdr:spPr>
        <a:xfrm xmlns:a="http://schemas.openxmlformats.org/drawingml/2006/main">
          <a:off x="3309442" y="1715350"/>
          <a:ext cx="701325" cy="251990"/>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008080"/>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US" sz="600"/>
            <a:t>CET1: €5</a:t>
          </a:r>
          <a:r>
            <a:rPr lang="el-GR" sz="600"/>
            <a:t>,</a:t>
          </a:r>
          <a:r>
            <a:rPr lang="en-US" sz="600"/>
            <a:t>7</a:t>
          </a:r>
          <a:r>
            <a:rPr lang="en-US" sz="600" baseline="0"/>
            <a:t> </a:t>
          </a:r>
          <a:r>
            <a:rPr lang="el-GR" sz="600" baseline="0"/>
            <a:t>δισ.</a:t>
          </a:r>
        </a:p>
        <a:p xmlns:a="http://schemas.openxmlformats.org/drawingml/2006/main">
          <a:pPr algn="ctr"/>
          <a:r>
            <a:rPr lang="el-GR" sz="600" baseline="0"/>
            <a:t>ΣτΕ: €36,6 δισ. </a:t>
          </a:r>
          <a:r>
            <a:rPr lang="en-US" sz="600" baseline="0"/>
            <a:t> </a:t>
          </a:r>
          <a:endParaRPr lang="el-GR" sz="600"/>
        </a:p>
      </cdr:txBody>
    </cdr:sp>
  </cdr:relSizeAnchor>
  <cdr:relSizeAnchor xmlns:cdr="http://schemas.openxmlformats.org/drawingml/2006/chartDrawing">
    <cdr:from>
      <cdr:x>0.71896</cdr:x>
      <cdr:y>0.04983</cdr:y>
    </cdr:from>
    <cdr:to>
      <cdr:x>0.86317</cdr:x>
      <cdr:y>0.2449</cdr:y>
    </cdr:to>
    <cdr:sp macro="" textlink="">
      <cdr:nvSpPr>
        <cdr:cNvPr id="7" name="Rectangular Callout 18"/>
        <cdr:cNvSpPr>
          <a:spLocks xmlns:a="http://schemas.openxmlformats.org/drawingml/2006/main"/>
        </cdr:cNvSpPr>
      </cdr:nvSpPr>
      <cdr:spPr>
        <a:xfrm xmlns:a="http://schemas.openxmlformats.org/drawingml/2006/main">
          <a:off x="4648959" y="134849"/>
          <a:ext cx="932444" cy="527949"/>
        </a:xfrm>
        <a:prstGeom xmlns:a="http://schemas.openxmlformats.org/drawingml/2006/main" prst="wedgeRectCallout">
          <a:avLst>
            <a:gd name="adj1" fmla="val -62787"/>
            <a:gd name="adj2" fmla="val -2392"/>
          </a:avLst>
        </a:prstGeom>
        <a:solidFill xmlns:a="http://schemas.openxmlformats.org/drawingml/2006/main">
          <a:sysClr val="window" lastClr="FFFFFF"/>
        </a:solidFill>
        <a:ln xmlns:a="http://schemas.openxmlformats.org/drawingml/2006/main" w="9525" cap="flat" cmpd="sng" algn="ctr">
          <a:solidFill>
            <a:schemeClr val="bg1">
              <a:lumMod val="50000"/>
            </a:schemeClr>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l-GR" sz="500"/>
            <a:t>κεφαλαιακό</a:t>
          </a:r>
          <a:r>
            <a:rPr lang="el-GR" sz="500" baseline="0"/>
            <a:t> όφελος από την ολοκλήρωση της τιτλοποίησης </a:t>
          </a:r>
          <a:r>
            <a:rPr lang="en-US" sz="500" baseline="0"/>
            <a:t>Frontier </a:t>
          </a:r>
          <a:r>
            <a:rPr lang="el-GR" sz="500" baseline="0"/>
            <a:t>και της πώλησης της Εθνικής Ασφαλιστικής</a:t>
          </a:r>
          <a:endParaRPr lang="el-GR" sz="500"/>
        </a:p>
      </cdr:txBody>
    </cdr:sp>
  </cdr:relSizeAnchor>
</c:userShapes>
</file>

<file path=word/drawings/drawing2.xml><?xml version="1.0" encoding="utf-8"?>
<c:userShapes xmlns:c="http://schemas.openxmlformats.org/drawingml/2006/chart">
  <cdr:relSizeAnchor xmlns:cdr="http://schemas.openxmlformats.org/drawingml/2006/chartDrawing">
    <cdr:from>
      <cdr:x>0.66593</cdr:x>
      <cdr:y>0.61205</cdr:y>
    </cdr:from>
    <cdr:to>
      <cdr:x>0.73468</cdr:x>
      <cdr:y>0.70914</cdr:y>
    </cdr:to>
    <cdr:sp macro="" textlink="">
      <cdr:nvSpPr>
        <cdr:cNvPr id="2" name="TextBox 1"/>
        <cdr:cNvSpPr txBox="1"/>
      </cdr:nvSpPr>
      <cdr:spPr>
        <a:xfrm xmlns:a="http://schemas.openxmlformats.org/drawingml/2006/main">
          <a:off x="2398712" y="2401887"/>
          <a:ext cx="2476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A373-CAEB-44D4-A1E6-9A657F16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6297</Words>
  <Characters>37007</Characters>
  <Application>Microsoft Office Word</Application>
  <DocSecurity>0</DocSecurity>
  <Lines>1143</Lines>
  <Paragraphs>748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NBG</Company>
  <LinksUpToDate>false</LinksUpToDate>
  <CharactersWithSpaces>42899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ΚΑΝΕΛΛΟΠΟΥΛΟΥ ΜΑΡΙΑ</cp:lastModifiedBy>
  <cp:revision>56</cp:revision>
  <cp:lastPrinted>2021-03-26T11:48:00Z</cp:lastPrinted>
  <dcterms:created xsi:type="dcterms:W3CDTF">2021-03-26T07:32:00Z</dcterms:created>
  <dcterms:modified xsi:type="dcterms:W3CDTF">2021-03-26T12:43:00Z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